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DF28" w14:textId="625B669C" w:rsidR="00731E9B" w:rsidRPr="00F84D04" w:rsidRDefault="00511FAC" w:rsidP="00F84D04">
      <w:pPr>
        <w:pBdr>
          <w:top w:val="nil"/>
          <w:left w:val="nil"/>
          <w:bottom w:val="nil"/>
          <w:right w:val="nil"/>
          <w:between w:val="nil"/>
        </w:pBdr>
        <w:spacing w:before="180" w:after="180"/>
        <w:jc w:val="center"/>
        <w:rPr>
          <w:b/>
          <w:sz w:val="32"/>
          <w:szCs w:val="32"/>
        </w:rPr>
      </w:pPr>
      <w:r w:rsidRPr="00F84D04">
        <w:rPr>
          <w:b/>
          <w:sz w:val="32"/>
          <w:szCs w:val="32"/>
        </w:rPr>
        <w:t>Cost of reducing nutrients from riparian buffers</w:t>
      </w:r>
      <w:r w:rsidR="00732427" w:rsidRPr="00F84D04">
        <w:rPr>
          <w:b/>
          <w:sz w:val="32"/>
          <w:szCs w:val="32"/>
        </w:rPr>
        <w:br/>
      </w:r>
      <w:r w:rsidRPr="00F84D04">
        <w:rPr>
          <w:b/>
          <w:sz w:val="32"/>
          <w:szCs w:val="32"/>
        </w:rPr>
        <w:t>in western Maryland</w:t>
      </w:r>
    </w:p>
    <w:p w14:paraId="3DA99394" w14:textId="77777777" w:rsidR="00C0715E" w:rsidRPr="00F84D04" w:rsidRDefault="00C0715E">
      <w:pPr>
        <w:rPr>
          <w:b/>
          <w:bCs/>
          <w:sz w:val="32"/>
          <w:szCs w:val="32"/>
        </w:rPr>
      </w:pPr>
    </w:p>
    <w:p w14:paraId="02A31182" w14:textId="77777777" w:rsidR="001975D6" w:rsidRPr="00F84D04" w:rsidRDefault="001975D6">
      <w:pPr>
        <w:rPr>
          <w:b/>
          <w:bCs/>
          <w:sz w:val="32"/>
          <w:szCs w:val="32"/>
        </w:rPr>
      </w:pPr>
    </w:p>
    <w:p w14:paraId="77D83602" w14:textId="77777777" w:rsidR="00D61A52" w:rsidRPr="00F84D04" w:rsidRDefault="00C0715E" w:rsidP="00C0715E">
      <w:pPr>
        <w:jc w:val="center"/>
        <w:rPr>
          <w:b/>
          <w:bCs/>
          <w:i/>
          <w:iCs/>
          <w:sz w:val="28"/>
          <w:szCs w:val="28"/>
        </w:rPr>
      </w:pPr>
      <w:r w:rsidRPr="00F84D04">
        <w:rPr>
          <w:b/>
          <w:bCs/>
          <w:i/>
          <w:iCs/>
          <w:sz w:val="28"/>
          <w:szCs w:val="28"/>
        </w:rPr>
        <w:t xml:space="preserve">Online Appendix </w:t>
      </w:r>
    </w:p>
    <w:p w14:paraId="35C695CD" w14:textId="77777777" w:rsidR="00D61A52" w:rsidRPr="00F84D04" w:rsidRDefault="00D61A52" w:rsidP="00C0715E">
      <w:pPr>
        <w:jc w:val="center"/>
        <w:rPr>
          <w:b/>
          <w:bCs/>
          <w:i/>
          <w:iCs/>
          <w:color w:val="FF0000"/>
          <w:sz w:val="28"/>
          <w:szCs w:val="28"/>
        </w:rPr>
      </w:pPr>
    </w:p>
    <w:p w14:paraId="60585803" w14:textId="77777777" w:rsidR="00D61A52" w:rsidRPr="00F84D04" w:rsidRDefault="00D61A52" w:rsidP="00C0715E">
      <w:pPr>
        <w:jc w:val="center"/>
        <w:rPr>
          <w:b/>
          <w:bCs/>
          <w:i/>
          <w:iCs/>
          <w:color w:val="FF0000"/>
          <w:sz w:val="28"/>
          <w:szCs w:val="28"/>
        </w:rPr>
      </w:pPr>
    </w:p>
    <w:p w14:paraId="3ACE8701" w14:textId="77777777" w:rsidR="00E84626" w:rsidRPr="00F84D04" w:rsidRDefault="00E84626" w:rsidP="00D61A52">
      <w:pPr>
        <w:ind w:left="720" w:right="720"/>
        <w:jc w:val="both"/>
        <w:rPr>
          <w:i/>
          <w:iCs/>
          <w:color w:val="FF0000"/>
          <w:sz w:val="22"/>
          <w:szCs w:val="22"/>
        </w:rPr>
      </w:pPr>
    </w:p>
    <w:p w14:paraId="2EBF100C" w14:textId="77777777" w:rsidR="00E84626" w:rsidRPr="00F84D04" w:rsidRDefault="00E84626" w:rsidP="00D61A52">
      <w:pPr>
        <w:ind w:left="720" w:right="720"/>
        <w:jc w:val="both"/>
        <w:rPr>
          <w:i/>
          <w:iCs/>
          <w:color w:val="FF0000"/>
          <w:sz w:val="22"/>
          <w:szCs w:val="22"/>
        </w:rPr>
      </w:pPr>
    </w:p>
    <w:p w14:paraId="0B249CF6" w14:textId="77777777" w:rsidR="00E84626" w:rsidRPr="00F84D04" w:rsidRDefault="00E84626" w:rsidP="00D61A52">
      <w:pPr>
        <w:ind w:left="720" w:right="720"/>
        <w:jc w:val="both"/>
        <w:rPr>
          <w:i/>
          <w:iCs/>
          <w:color w:val="FF0000"/>
          <w:sz w:val="22"/>
          <w:szCs w:val="22"/>
        </w:rPr>
      </w:pPr>
    </w:p>
    <w:p w14:paraId="623BF923" w14:textId="77777777" w:rsidR="00E84626" w:rsidRPr="00F84D04" w:rsidRDefault="00E84626" w:rsidP="00D61A52">
      <w:pPr>
        <w:ind w:left="720" w:right="720"/>
        <w:jc w:val="both"/>
        <w:rPr>
          <w:i/>
          <w:iCs/>
          <w:color w:val="FF0000"/>
          <w:sz w:val="22"/>
          <w:szCs w:val="22"/>
        </w:rPr>
      </w:pPr>
    </w:p>
    <w:p w14:paraId="4E3AD4DA" w14:textId="77777777" w:rsidR="00E84626" w:rsidRPr="00F84D04" w:rsidRDefault="00E84626" w:rsidP="00D61A52">
      <w:pPr>
        <w:ind w:left="720" w:right="720"/>
        <w:jc w:val="both"/>
        <w:rPr>
          <w:i/>
          <w:iCs/>
          <w:color w:val="FF0000"/>
          <w:sz w:val="22"/>
          <w:szCs w:val="22"/>
        </w:rPr>
      </w:pPr>
    </w:p>
    <w:p w14:paraId="1D0D73B5" w14:textId="77777777" w:rsidR="00E84626" w:rsidRPr="00F84D04" w:rsidRDefault="00E84626" w:rsidP="00D61A52">
      <w:pPr>
        <w:ind w:left="720" w:right="720"/>
        <w:jc w:val="both"/>
        <w:rPr>
          <w:i/>
          <w:iCs/>
          <w:color w:val="FF0000"/>
          <w:sz w:val="22"/>
          <w:szCs w:val="22"/>
        </w:rPr>
      </w:pPr>
    </w:p>
    <w:p w14:paraId="0C6F604A" w14:textId="77777777" w:rsidR="00E84626" w:rsidRPr="00F84D04" w:rsidRDefault="00E84626" w:rsidP="00D61A52">
      <w:pPr>
        <w:ind w:left="720" w:right="720"/>
        <w:jc w:val="both"/>
        <w:rPr>
          <w:i/>
          <w:iCs/>
          <w:color w:val="FF0000"/>
          <w:sz w:val="22"/>
          <w:szCs w:val="22"/>
        </w:rPr>
      </w:pPr>
    </w:p>
    <w:p w14:paraId="5345D659" w14:textId="77777777" w:rsidR="00E84626" w:rsidRPr="00F84D04" w:rsidRDefault="00E84626" w:rsidP="00D61A52">
      <w:pPr>
        <w:ind w:left="720" w:right="720"/>
        <w:jc w:val="both"/>
        <w:rPr>
          <w:i/>
          <w:iCs/>
          <w:color w:val="FF0000"/>
          <w:sz w:val="22"/>
          <w:szCs w:val="22"/>
        </w:rPr>
      </w:pPr>
    </w:p>
    <w:p w14:paraId="15B3924C" w14:textId="77777777" w:rsidR="00E84626" w:rsidRPr="00F84D04" w:rsidRDefault="00E84626" w:rsidP="00D61A52">
      <w:pPr>
        <w:ind w:left="720" w:right="720"/>
        <w:jc w:val="both"/>
        <w:rPr>
          <w:i/>
          <w:iCs/>
          <w:color w:val="FF0000"/>
          <w:sz w:val="22"/>
          <w:szCs w:val="22"/>
        </w:rPr>
      </w:pPr>
    </w:p>
    <w:p w14:paraId="6FB2A68B" w14:textId="77777777" w:rsidR="00E84626" w:rsidRPr="00F84D04" w:rsidRDefault="00E84626" w:rsidP="00D61A52">
      <w:pPr>
        <w:ind w:left="720" w:right="720"/>
        <w:jc w:val="both"/>
        <w:rPr>
          <w:i/>
          <w:iCs/>
          <w:color w:val="FF0000"/>
          <w:sz w:val="22"/>
          <w:szCs w:val="22"/>
        </w:rPr>
      </w:pPr>
    </w:p>
    <w:p w14:paraId="7916490A" w14:textId="77777777" w:rsidR="00E84626" w:rsidRPr="00F84D04" w:rsidRDefault="00E84626" w:rsidP="00D61A52">
      <w:pPr>
        <w:ind w:left="720" w:right="720"/>
        <w:jc w:val="both"/>
        <w:rPr>
          <w:i/>
          <w:iCs/>
          <w:color w:val="FF0000"/>
          <w:sz w:val="22"/>
          <w:szCs w:val="22"/>
        </w:rPr>
      </w:pPr>
    </w:p>
    <w:p w14:paraId="597C9200" w14:textId="77777777" w:rsidR="00E84626" w:rsidRPr="00F84D04" w:rsidRDefault="00E84626" w:rsidP="00D61A52">
      <w:pPr>
        <w:ind w:left="720" w:right="720"/>
        <w:jc w:val="both"/>
        <w:rPr>
          <w:i/>
          <w:iCs/>
          <w:color w:val="FF0000"/>
          <w:sz w:val="22"/>
          <w:szCs w:val="22"/>
        </w:rPr>
      </w:pPr>
    </w:p>
    <w:p w14:paraId="21D1B3EE" w14:textId="77777777" w:rsidR="00E84626" w:rsidRPr="00F84D04" w:rsidRDefault="00E84626" w:rsidP="00D61A52">
      <w:pPr>
        <w:ind w:left="720" w:right="720"/>
        <w:jc w:val="both"/>
        <w:rPr>
          <w:i/>
          <w:iCs/>
          <w:color w:val="FF0000"/>
          <w:sz w:val="22"/>
          <w:szCs w:val="22"/>
        </w:rPr>
      </w:pPr>
    </w:p>
    <w:p w14:paraId="06A62E9B" w14:textId="77777777" w:rsidR="00E84626" w:rsidRPr="00F84D04" w:rsidRDefault="00E84626" w:rsidP="00D61A52">
      <w:pPr>
        <w:ind w:left="720" w:right="720"/>
        <w:jc w:val="both"/>
        <w:rPr>
          <w:i/>
          <w:iCs/>
          <w:color w:val="FF0000"/>
          <w:sz w:val="22"/>
          <w:szCs w:val="22"/>
        </w:rPr>
      </w:pPr>
    </w:p>
    <w:p w14:paraId="55533BBB" w14:textId="77777777" w:rsidR="00E84626" w:rsidRPr="00F84D04" w:rsidRDefault="00E84626" w:rsidP="00D61A52">
      <w:pPr>
        <w:ind w:left="720" w:right="720"/>
        <w:jc w:val="both"/>
        <w:rPr>
          <w:i/>
          <w:iCs/>
          <w:color w:val="FF0000"/>
          <w:sz w:val="22"/>
          <w:szCs w:val="22"/>
        </w:rPr>
      </w:pPr>
    </w:p>
    <w:p w14:paraId="39F7BD34" w14:textId="77777777" w:rsidR="00E84626" w:rsidRPr="00F84D04" w:rsidRDefault="00E84626" w:rsidP="00D61A52">
      <w:pPr>
        <w:ind w:left="720" w:right="720"/>
        <w:jc w:val="both"/>
        <w:rPr>
          <w:i/>
          <w:iCs/>
          <w:color w:val="FF0000"/>
          <w:sz w:val="22"/>
          <w:szCs w:val="22"/>
        </w:rPr>
      </w:pPr>
    </w:p>
    <w:p w14:paraId="07605CFC" w14:textId="77777777" w:rsidR="00E84626" w:rsidRPr="00F84D04" w:rsidRDefault="00E84626" w:rsidP="00D61A52">
      <w:pPr>
        <w:ind w:left="720" w:right="720"/>
        <w:jc w:val="both"/>
        <w:rPr>
          <w:i/>
          <w:iCs/>
          <w:color w:val="FF0000"/>
          <w:sz w:val="22"/>
          <w:szCs w:val="22"/>
        </w:rPr>
      </w:pPr>
    </w:p>
    <w:p w14:paraId="541E80A7" w14:textId="77777777" w:rsidR="00E84626" w:rsidRPr="00F84D04" w:rsidRDefault="00E84626" w:rsidP="00D61A52">
      <w:pPr>
        <w:ind w:left="720" w:right="720"/>
        <w:jc w:val="both"/>
        <w:rPr>
          <w:i/>
          <w:iCs/>
          <w:color w:val="FF0000"/>
          <w:sz w:val="22"/>
          <w:szCs w:val="22"/>
        </w:rPr>
      </w:pPr>
    </w:p>
    <w:p w14:paraId="3C01DA31" w14:textId="77777777" w:rsidR="00E84626" w:rsidRPr="00F84D04" w:rsidRDefault="00E84626" w:rsidP="00D61A52">
      <w:pPr>
        <w:ind w:left="720" w:right="720"/>
        <w:jc w:val="both"/>
        <w:rPr>
          <w:i/>
          <w:iCs/>
          <w:color w:val="FF0000"/>
          <w:sz w:val="22"/>
          <w:szCs w:val="22"/>
        </w:rPr>
      </w:pPr>
    </w:p>
    <w:p w14:paraId="1A9B7EC7" w14:textId="77777777" w:rsidR="00E84626" w:rsidRPr="00F84D04" w:rsidRDefault="00E84626" w:rsidP="00D61A52">
      <w:pPr>
        <w:ind w:left="720" w:right="720"/>
        <w:jc w:val="both"/>
        <w:rPr>
          <w:i/>
          <w:iCs/>
          <w:color w:val="FF0000"/>
          <w:sz w:val="22"/>
          <w:szCs w:val="22"/>
        </w:rPr>
      </w:pPr>
    </w:p>
    <w:p w14:paraId="7441B1B8" w14:textId="77777777" w:rsidR="00E84626" w:rsidRPr="00F84D04" w:rsidRDefault="00E84626" w:rsidP="00D61A52">
      <w:pPr>
        <w:ind w:left="720" w:right="720"/>
        <w:jc w:val="both"/>
        <w:rPr>
          <w:i/>
          <w:iCs/>
          <w:color w:val="FF0000"/>
          <w:sz w:val="22"/>
          <w:szCs w:val="22"/>
        </w:rPr>
      </w:pPr>
    </w:p>
    <w:p w14:paraId="6CD8AE2B" w14:textId="77777777" w:rsidR="00E84626" w:rsidRPr="00A32723" w:rsidRDefault="00E84626" w:rsidP="00D61A52">
      <w:pPr>
        <w:ind w:left="720" w:right="720"/>
        <w:jc w:val="both"/>
        <w:rPr>
          <w:i/>
          <w:iCs/>
          <w:sz w:val="22"/>
          <w:szCs w:val="22"/>
        </w:rPr>
      </w:pPr>
    </w:p>
    <w:p w14:paraId="7B3BECE0" w14:textId="77777777" w:rsidR="00F16FF7" w:rsidRDefault="00F16FF7" w:rsidP="00D61A52">
      <w:pPr>
        <w:ind w:left="720" w:right="720"/>
        <w:jc w:val="both"/>
        <w:rPr>
          <w:i/>
          <w:iCs/>
          <w:sz w:val="22"/>
          <w:szCs w:val="22"/>
        </w:rPr>
      </w:pPr>
    </w:p>
    <w:p w14:paraId="753E36B8" w14:textId="77777777" w:rsidR="00F16FF7" w:rsidRDefault="00F16FF7" w:rsidP="00D61A52">
      <w:pPr>
        <w:ind w:left="720" w:right="720"/>
        <w:jc w:val="both"/>
        <w:rPr>
          <w:i/>
          <w:iCs/>
          <w:sz w:val="22"/>
          <w:szCs w:val="22"/>
        </w:rPr>
      </w:pPr>
    </w:p>
    <w:p w14:paraId="40C5342D" w14:textId="77777777" w:rsidR="00F16FF7" w:rsidRDefault="00F16FF7" w:rsidP="00D61A52">
      <w:pPr>
        <w:ind w:left="720" w:right="720"/>
        <w:jc w:val="both"/>
        <w:rPr>
          <w:i/>
          <w:iCs/>
          <w:sz w:val="22"/>
          <w:szCs w:val="22"/>
        </w:rPr>
      </w:pPr>
    </w:p>
    <w:p w14:paraId="1A51F436" w14:textId="77777777" w:rsidR="00F16FF7" w:rsidRDefault="00F16FF7" w:rsidP="00D61A52">
      <w:pPr>
        <w:ind w:left="720" w:right="720"/>
        <w:jc w:val="both"/>
        <w:rPr>
          <w:i/>
          <w:iCs/>
          <w:sz w:val="22"/>
          <w:szCs w:val="22"/>
        </w:rPr>
      </w:pPr>
    </w:p>
    <w:p w14:paraId="42F152B7" w14:textId="77777777" w:rsidR="00F16FF7" w:rsidRDefault="00F16FF7" w:rsidP="00D61A52">
      <w:pPr>
        <w:ind w:left="720" w:right="720"/>
        <w:jc w:val="both"/>
        <w:rPr>
          <w:i/>
          <w:iCs/>
          <w:sz w:val="22"/>
          <w:szCs w:val="22"/>
        </w:rPr>
      </w:pPr>
    </w:p>
    <w:p w14:paraId="577B89FB" w14:textId="77777777" w:rsidR="00F16FF7" w:rsidRDefault="00F16FF7" w:rsidP="00D61A52">
      <w:pPr>
        <w:ind w:left="720" w:right="720"/>
        <w:jc w:val="both"/>
        <w:rPr>
          <w:i/>
          <w:iCs/>
          <w:sz w:val="22"/>
          <w:szCs w:val="22"/>
        </w:rPr>
      </w:pPr>
    </w:p>
    <w:p w14:paraId="1724AD5A" w14:textId="77777777" w:rsidR="00F16FF7" w:rsidRDefault="00F16FF7" w:rsidP="00D61A52">
      <w:pPr>
        <w:ind w:left="720" w:right="720"/>
        <w:jc w:val="both"/>
        <w:rPr>
          <w:i/>
          <w:iCs/>
          <w:sz w:val="22"/>
          <w:szCs w:val="22"/>
        </w:rPr>
      </w:pPr>
    </w:p>
    <w:p w14:paraId="2AF09B00" w14:textId="77777777" w:rsidR="00F16FF7" w:rsidRDefault="00F16FF7" w:rsidP="00D61A52">
      <w:pPr>
        <w:ind w:left="720" w:right="720"/>
        <w:jc w:val="both"/>
        <w:rPr>
          <w:i/>
          <w:iCs/>
          <w:sz w:val="22"/>
          <w:szCs w:val="22"/>
        </w:rPr>
      </w:pPr>
    </w:p>
    <w:p w14:paraId="53782805" w14:textId="77777777" w:rsidR="00F16FF7" w:rsidRDefault="00F16FF7" w:rsidP="00D61A52">
      <w:pPr>
        <w:ind w:left="720" w:right="720"/>
        <w:jc w:val="both"/>
        <w:rPr>
          <w:i/>
          <w:iCs/>
          <w:sz w:val="22"/>
          <w:szCs w:val="22"/>
        </w:rPr>
      </w:pPr>
    </w:p>
    <w:p w14:paraId="0D5DDCAB" w14:textId="77777777" w:rsidR="00F16FF7" w:rsidRDefault="00F16FF7" w:rsidP="00D61A52">
      <w:pPr>
        <w:ind w:left="720" w:right="720"/>
        <w:jc w:val="both"/>
        <w:rPr>
          <w:i/>
          <w:iCs/>
          <w:sz w:val="22"/>
          <w:szCs w:val="22"/>
        </w:rPr>
      </w:pPr>
    </w:p>
    <w:p w14:paraId="17B0548C" w14:textId="77777777" w:rsidR="00F16FF7" w:rsidRDefault="00F16FF7" w:rsidP="00D61A52">
      <w:pPr>
        <w:ind w:left="720" w:right="720"/>
        <w:jc w:val="both"/>
        <w:rPr>
          <w:i/>
          <w:iCs/>
          <w:sz w:val="22"/>
          <w:szCs w:val="22"/>
        </w:rPr>
      </w:pPr>
    </w:p>
    <w:p w14:paraId="6D153714" w14:textId="77777777" w:rsidR="00F16FF7" w:rsidRDefault="00F16FF7" w:rsidP="00D61A52">
      <w:pPr>
        <w:ind w:left="720" w:right="720"/>
        <w:jc w:val="both"/>
        <w:rPr>
          <w:i/>
          <w:iCs/>
          <w:sz w:val="22"/>
          <w:szCs w:val="22"/>
        </w:rPr>
      </w:pPr>
    </w:p>
    <w:p w14:paraId="6C7C65EC" w14:textId="62A84969" w:rsidR="00D61A52" w:rsidRPr="00A32723" w:rsidRDefault="00D61A52" w:rsidP="00D61A52">
      <w:pPr>
        <w:ind w:left="720" w:right="720"/>
        <w:jc w:val="both"/>
        <w:rPr>
          <w:sz w:val="22"/>
          <w:szCs w:val="22"/>
        </w:rPr>
      </w:pPr>
      <w:r w:rsidRPr="00A32723">
        <w:rPr>
          <w:i/>
          <w:iCs/>
          <w:sz w:val="22"/>
          <w:szCs w:val="22"/>
        </w:rPr>
        <w:t>Key words:</w:t>
      </w:r>
      <w:r w:rsidRPr="00A32723">
        <w:rPr>
          <w:sz w:val="22"/>
          <w:szCs w:val="22"/>
        </w:rPr>
        <w:t xml:space="preserve"> costs of nutrients reduction, cost effective, riparian buffers</w:t>
      </w:r>
    </w:p>
    <w:p w14:paraId="7B5F02F2" w14:textId="77777777" w:rsidR="00D61A52" w:rsidRPr="00A32723" w:rsidRDefault="00D61A52" w:rsidP="00D61A52">
      <w:pPr>
        <w:ind w:left="720" w:right="720"/>
        <w:jc w:val="both"/>
        <w:rPr>
          <w:sz w:val="22"/>
          <w:szCs w:val="22"/>
        </w:rPr>
      </w:pPr>
    </w:p>
    <w:p w14:paraId="0700F3A1" w14:textId="77777777" w:rsidR="00D61A52" w:rsidRPr="00A32723" w:rsidRDefault="00D61A52" w:rsidP="00D61A52">
      <w:pPr>
        <w:ind w:left="720" w:right="720"/>
        <w:jc w:val="both"/>
        <w:rPr>
          <w:sz w:val="22"/>
          <w:szCs w:val="22"/>
        </w:rPr>
      </w:pPr>
      <w:r w:rsidRPr="00A32723">
        <w:rPr>
          <w:sz w:val="22"/>
          <w:szCs w:val="22"/>
        </w:rPr>
        <w:t>JEL Classification: Q15, Q52</w:t>
      </w:r>
    </w:p>
    <w:p w14:paraId="58D5F111" w14:textId="3A6BCC41" w:rsidR="009070CC" w:rsidRPr="00F84D04" w:rsidRDefault="00731E9B" w:rsidP="00CB5934">
      <w:pPr>
        <w:jc w:val="center"/>
        <w:rPr>
          <w:b/>
          <w:bCs/>
          <w:i/>
          <w:iCs/>
          <w:color w:val="000000"/>
          <w:sz w:val="28"/>
          <w:szCs w:val="28"/>
        </w:rPr>
      </w:pPr>
      <w:r w:rsidRPr="00CB5934">
        <w:rPr>
          <w:b/>
          <w:bCs/>
          <w:i/>
          <w:iCs/>
          <w:color w:val="000000"/>
          <w:sz w:val="28"/>
          <w:szCs w:val="28"/>
        </w:rPr>
        <w:br w:type="column"/>
      </w:r>
      <w:r w:rsidR="00511FAC" w:rsidRPr="00F84D04">
        <w:rPr>
          <w:b/>
          <w:bCs/>
          <w:i/>
          <w:iCs/>
          <w:color w:val="000000"/>
          <w:sz w:val="28"/>
          <w:szCs w:val="28"/>
        </w:rPr>
        <w:lastRenderedPageBreak/>
        <w:t>Supplementary Material</w:t>
      </w:r>
    </w:p>
    <w:p w14:paraId="369164AF" w14:textId="02D05150" w:rsidR="00A54DC8" w:rsidRDefault="00A54DC8">
      <w:pPr>
        <w:rPr>
          <w:b/>
          <w:bCs/>
          <w:color w:val="000000"/>
          <w:sz w:val="28"/>
          <w:szCs w:val="28"/>
        </w:rPr>
      </w:pPr>
    </w:p>
    <w:p w14:paraId="0CCC2556" w14:textId="41FA924C" w:rsidR="00A54DC8" w:rsidRDefault="00A54DC8">
      <w:pPr>
        <w:rPr>
          <w:color w:val="000000"/>
        </w:rPr>
      </w:pPr>
      <w:r>
        <w:rPr>
          <w:color w:val="000000"/>
        </w:rPr>
        <w:t xml:space="preserve">This </w:t>
      </w:r>
      <w:r w:rsidR="00DB666D">
        <w:rPr>
          <w:color w:val="000000"/>
        </w:rPr>
        <w:t xml:space="preserve">document contains supplementary material that is referenced in the main text. </w:t>
      </w:r>
      <w:r w:rsidR="00FC5374">
        <w:rPr>
          <w:color w:val="000000"/>
        </w:rPr>
        <w:t>It contains 2 sections:</w:t>
      </w:r>
    </w:p>
    <w:p w14:paraId="44CB34B7" w14:textId="1E35CBDD" w:rsidR="00FC5374" w:rsidRDefault="00FC5374">
      <w:pPr>
        <w:rPr>
          <w:color w:val="000000"/>
        </w:rPr>
      </w:pPr>
    </w:p>
    <w:p w14:paraId="10DAA811" w14:textId="03E14868" w:rsidR="00FC5374" w:rsidRDefault="00FC5374">
      <w:pPr>
        <w:rPr>
          <w:color w:val="000000"/>
        </w:rPr>
      </w:pPr>
      <w:r>
        <w:rPr>
          <w:color w:val="000000"/>
        </w:rPr>
        <w:t>Section S1</w:t>
      </w:r>
      <w:r w:rsidR="002144EC">
        <w:rPr>
          <w:color w:val="000000"/>
        </w:rPr>
        <w:t>.</w:t>
      </w:r>
      <w:r>
        <w:rPr>
          <w:color w:val="000000"/>
        </w:rPr>
        <w:t xml:space="preserve"> </w:t>
      </w:r>
      <w:r w:rsidR="00B00E31" w:rsidRPr="00B00E31">
        <w:rPr>
          <w:color w:val="000000"/>
        </w:rPr>
        <w:t>Description of methods used in the synoptic study to identify nutrient reduction rates of existing riparian forest buffer.</w:t>
      </w:r>
    </w:p>
    <w:p w14:paraId="31EC0631" w14:textId="0925BCF1" w:rsidR="00B00E31" w:rsidRDefault="00B00E31">
      <w:pPr>
        <w:rPr>
          <w:color w:val="000000"/>
        </w:rPr>
      </w:pPr>
    </w:p>
    <w:p w14:paraId="07CE1025" w14:textId="61F2E642" w:rsidR="00B00E31" w:rsidRPr="00B00E31" w:rsidRDefault="00B00E31">
      <w:pPr>
        <w:rPr>
          <w:color w:val="000000"/>
        </w:rPr>
      </w:pPr>
      <w:r>
        <w:rPr>
          <w:color w:val="000000"/>
        </w:rPr>
        <w:t>Section S2</w:t>
      </w:r>
      <w:r w:rsidR="002144EC">
        <w:rPr>
          <w:color w:val="000000"/>
        </w:rPr>
        <w:t>.</w:t>
      </w:r>
      <w:r>
        <w:rPr>
          <w:color w:val="000000"/>
        </w:rPr>
        <w:t xml:space="preserve"> </w:t>
      </w:r>
      <w:r w:rsidR="00A03056" w:rsidRPr="00625559">
        <w:rPr>
          <w:color w:val="000000"/>
        </w:rPr>
        <w:t>Study comparisons of cost effectiveness of nutrient reductions on riparian buffers in the Chesapeake Bay watershed.</w:t>
      </w:r>
    </w:p>
    <w:p w14:paraId="0A7967F3" w14:textId="6E9593FD" w:rsidR="00DB666D" w:rsidRDefault="00DB666D">
      <w:pPr>
        <w:rPr>
          <w:color w:val="000000"/>
        </w:rPr>
      </w:pPr>
    </w:p>
    <w:p w14:paraId="65AA5D6F" w14:textId="77777777" w:rsidR="00E947C9" w:rsidRDefault="00E947C9">
      <w:pPr>
        <w:rPr>
          <w:b/>
          <w:bCs/>
          <w:color w:val="000000"/>
          <w:sz w:val="28"/>
          <w:szCs w:val="28"/>
        </w:rPr>
      </w:pPr>
    </w:p>
    <w:p w14:paraId="5CD572A6" w14:textId="6D04F635" w:rsidR="0084420A" w:rsidRDefault="0084420A">
      <w:pPr>
        <w:rPr>
          <w:b/>
          <w:bCs/>
          <w:color w:val="000000"/>
          <w:sz w:val="28"/>
          <w:szCs w:val="28"/>
        </w:rPr>
      </w:pPr>
      <w:r w:rsidRPr="00DB44FC">
        <w:rPr>
          <w:b/>
          <w:bCs/>
          <w:color w:val="000000"/>
        </w:rPr>
        <w:t xml:space="preserve">Section S1. </w:t>
      </w:r>
      <w:r w:rsidR="00DB44FC" w:rsidRPr="00DB44FC">
        <w:rPr>
          <w:b/>
          <w:bCs/>
          <w:color w:val="000000"/>
        </w:rPr>
        <w:t>Description of methods used in the synoptic study to identify nutrient reduction rates of existing riparian forest buffer.</w:t>
      </w:r>
    </w:p>
    <w:p w14:paraId="582CEA33" w14:textId="4E219725" w:rsidR="007402C8" w:rsidRDefault="007402C8">
      <w:pPr>
        <w:rPr>
          <w:b/>
          <w:bCs/>
          <w:color w:val="000000"/>
          <w:sz w:val="28"/>
          <w:szCs w:val="28"/>
        </w:rPr>
      </w:pPr>
    </w:p>
    <w:p w14:paraId="79A77B70" w14:textId="77777777" w:rsidR="007402C8" w:rsidRPr="00156D58" w:rsidRDefault="007402C8" w:rsidP="007402C8">
      <w:pPr>
        <w:spacing w:line="360" w:lineRule="auto"/>
        <w:rPr>
          <w:color w:val="000000"/>
        </w:rPr>
      </w:pPr>
      <w:r w:rsidRPr="00156D58">
        <w:rPr>
          <w:color w:val="000000"/>
        </w:rPr>
        <w:t xml:space="preserve">Two synoptic studies were performed within the Ridge &amp; Valley (R&amp;V) physiographic province in two counties within western Maryland (Allegany and Washington counties). Studies were conducted using high-resolution topography data and Light Detection and Ranging (LiDAR) derived digital elevation models (DEMs) with 1 to 2 m pixel resolution to define the riparian area. </w:t>
      </w:r>
    </w:p>
    <w:p w14:paraId="29376B27" w14:textId="77777777" w:rsidR="007402C8" w:rsidRPr="00156D58" w:rsidRDefault="007402C8" w:rsidP="007402C8">
      <w:pPr>
        <w:spacing w:line="360" w:lineRule="auto"/>
        <w:rPr>
          <w:color w:val="000000"/>
        </w:rPr>
      </w:pPr>
    </w:p>
    <w:p w14:paraId="4E168D8F" w14:textId="77777777" w:rsidR="007402C8" w:rsidRPr="00156D58" w:rsidRDefault="007402C8" w:rsidP="007402C8">
      <w:pPr>
        <w:spacing w:line="360" w:lineRule="auto"/>
        <w:rPr>
          <w:color w:val="000000"/>
        </w:rPr>
      </w:pPr>
      <w:r w:rsidRPr="00156D58">
        <w:rPr>
          <w:color w:val="000000"/>
        </w:rPr>
        <w:t xml:space="preserve">Study 1 selected stream reaches with and without riparian forest buffers throughout the two counties. Stream reaches with riparian forest buffers included natural and those deliberately planted through CREP. Study 2 focused on four subwatersheds within the two counties that had a wide range of percent forested riparian areas along their mainstems and tributaries, where some riparian forests were implemented under CREP. The synoptic study included the subwatersheds’ entire mainstems from headwaters to the final outlet and all incoming tributaries and springs.  </w:t>
      </w:r>
      <w:bookmarkStart w:id="0" w:name="_heading=h.qsh70q" w:colFirst="0" w:colLast="0"/>
      <w:bookmarkEnd w:id="0"/>
    </w:p>
    <w:p w14:paraId="52419159" w14:textId="77777777" w:rsidR="007402C8" w:rsidRPr="00156D58" w:rsidRDefault="007402C8" w:rsidP="007402C8">
      <w:pPr>
        <w:spacing w:line="360" w:lineRule="auto"/>
        <w:rPr>
          <w:color w:val="000000"/>
        </w:rPr>
      </w:pPr>
    </w:p>
    <w:p w14:paraId="3871DA79" w14:textId="77777777" w:rsidR="007402C8" w:rsidRPr="00156D58" w:rsidRDefault="007402C8" w:rsidP="007402C8">
      <w:pPr>
        <w:spacing w:line="360" w:lineRule="auto"/>
        <w:rPr>
          <w:color w:val="000000"/>
        </w:rPr>
      </w:pPr>
      <w:r w:rsidRPr="00156D58">
        <w:rPr>
          <w:color w:val="000000"/>
        </w:rPr>
        <w:t>Instantaneous streamflow measurements and ‘grab’ samples were collected at the upstream and downstream ends of the stream segments and, for Study 2 only, near the downstream end of a spring or tributary before discharging into the mainstem. The downstream sites along the mainstem were before the spring/ tributary confluences. Study 1 was conducted in spring 2014 and Study 2 was conducted during two spring seasons (2016 &amp; 2017) and one fall season (2016). All measurements and samples were collected during baseflow conditions.</w:t>
      </w:r>
    </w:p>
    <w:p w14:paraId="02D73751" w14:textId="77777777" w:rsidR="007402C8" w:rsidRPr="00156D58" w:rsidRDefault="007402C8" w:rsidP="007402C8">
      <w:pPr>
        <w:spacing w:line="360" w:lineRule="auto"/>
        <w:rPr>
          <w:color w:val="000000"/>
        </w:rPr>
      </w:pPr>
    </w:p>
    <w:p w14:paraId="1571CC5C" w14:textId="4F57CEC2" w:rsidR="007402C8" w:rsidRPr="00156D58" w:rsidRDefault="007402C8" w:rsidP="007402C8">
      <w:pPr>
        <w:spacing w:line="360" w:lineRule="auto"/>
        <w:rPr>
          <w:color w:val="000000"/>
        </w:rPr>
      </w:pPr>
      <w:r w:rsidRPr="00156D58">
        <w:rPr>
          <w:color w:val="000000"/>
        </w:rPr>
        <w:lastRenderedPageBreak/>
        <w:t>Streamwater “grab’ samples were analyzed for nitrate-N (NO</w:t>
      </w:r>
      <w:r w:rsidRPr="00156D58">
        <w:rPr>
          <w:color w:val="000000"/>
          <w:vertAlign w:val="subscript"/>
        </w:rPr>
        <w:t>4</w:t>
      </w:r>
      <w:r w:rsidRPr="00156D58">
        <w:rPr>
          <w:color w:val="000000"/>
        </w:rPr>
        <w:t>-N), ammonium-N (NH</w:t>
      </w:r>
      <w:r w:rsidRPr="00156D58">
        <w:rPr>
          <w:color w:val="000000"/>
          <w:vertAlign w:val="subscript"/>
        </w:rPr>
        <w:t>4</w:t>
      </w:r>
      <w:r w:rsidRPr="00156D58">
        <w:rPr>
          <w:color w:val="000000"/>
        </w:rPr>
        <w:t>-N),</w:t>
      </w:r>
      <w:r w:rsidR="00893BF0">
        <w:rPr>
          <w:color w:val="000000"/>
        </w:rPr>
        <w:t xml:space="preserve"> </w:t>
      </w:r>
      <w:r w:rsidR="00893BF0" w:rsidRPr="00156D58">
        <w:rPr>
          <w:color w:val="000000"/>
        </w:rPr>
        <w:t>total dissolved nitrogen (TDN),</w:t>
      </w:r>
      <w:r w:rsidRPr="00156D58">
        <w:rPr>
          <w:color w:val="000000"/>
        </w:rPr>
        <w:t xml:space="preserve"> orthophosphate-P (PO</w:t>
      </w:r>
      <w:r w:rsidRPr="00156D58">
        <w:rPr>
          <w:color w:val="000000"/>
          <w:vertAlign w:val="subscript"/>
        </w:rPr>
        <w:t>4</w:t>
      </w:r>
      <w:r w:rsidRPr="00156D58">
        <w:rPr>
          <w:color w:val="000000"/>
        </w:rPr>
        <w:t xml:space="preserve">-P), </w:t>
      </w:r>
      <w:r w:rsidR="004638C4">
        <w:rPr>
          <w:color w:val="000000"/>
        </w:rPr>
        <w:t xml:space="preserve">and </w:t>
      </w:r>
      <w:r w:rsidRPr="00156D58">
        <w:rPr>
          <w:color w:val="000000"/>
        </w:rPr>
        <w:t xml:space="preserve">total dissolved phosphorus (TDP) in mg/L. </w:t>
      </w:r>
    </w:p>
    <w:p w14:paraId="49B9A629" w14:textId="77777777" w:rsidR="007402C8" w:rsidRPr="00156D58" w:rsidRDefault="007402C8" w:rsidP="007402C8">
      <w:pPr>
        <w:spacing w:line="360" w:lineRule="auto"/>
        <w:rPr>
          <w:color w:val="000000"/>
        </w:rPr>
      </w:pPr>
    </w:p>
    <w:p w14:paraId="72286156" w14:textId="77777777" w:rsidR="007402C8" w:rsidRPr="00156D58" w:rsidRDefault="007402C8" w:rsidP="007402C8">
      <w:pPr>
        <w:spacing w:line="360" w:lineRule="auto"/>
        <w:rPr>
          <w:color w:val="000000"/>
        </w:rPr>
      </w:pPr>
      <w:r w:rsidRPr="00156D58">
        <w:rPr>
          <w:color w:val="000000"/>
        </w:rPr>
        <w:t>Nutrient concentrations of net lateral (lat) inflow (</w:t>
      </w:r>
      <w:r w:rsidRPr="00156D58">
        <w:rPr>
          <w:i/>
          <w:color w:val="000000"/>
        </w:rPr>
        <w:t>C</w:t>
      </w:r>
      <w:r w:rsidRPr="00156D58">
        <w:rPr>
          <w:color w:val="000000"/>
          <w:vertAlign w:val="subscript"/>
        </w:rPr>
        <w:t>lat</w:t>
      </w:r>
      <w:r w:rsidRPr="00156D58">
        <w:rPr>
          <w:color w:val="000000"/>
        </w:rPr>
        <w:t>) (or the groundwater contribution) of each stream reach were quantified using a steady-state reach mass balance model that neglects in-stream nutrient processing:</w:t>
      </w:r>
    </w:p>
    <w:p w14:paraId="122B1668" w14:textId="77777777" w:rsidR="007402C8" w:rsidRPr="00156D58" w:rsidRDefault="007402C8" w:rsidP="007402C8">
      <w:pPr>
        <w:spacing w:line="360" w:lineRule="auto"/>
        <w:rPr>
          <w:color w:val="000000"/>
        </w:rPr>
      </w:pPr>
    </w:p>
    <w:p w14:paraId="1A07587E" w14:textId="77777777" w:rsidR="007402C8" w:rsidRPr="00156D58" w:rsidRDefault="007402C8" w:rsidP="007402C8">
      <w:pPr>
        <w:spacing w:line="360" w:lineRule="auto"/>
        <w:rPr>
          <w:color w:val="000000"/>
        </w:rPr>
      </w:pPr>
      <w:r w:rsidRPr="00156D58">
        <w:rPr>
          <w:color w:val="000000"/>
        </w:rPr>
        <w:t xml:space="preserve">(1)     </w:t>
      </w:r>
      <m:oMath>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lat</m:t>
            </m:r>
          </m:sub>
        </m:sSub>
        <m: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D</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D</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U</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U</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T</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T</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S</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S</m:t>
                </m:r>
              </m:sub>
            </m:sSub>
            <m:r>
              <w:rPr>
                <w:rFonts w:ascii="Cambria Math" w:hAnsi="Cambria Math"/>
                <w:color w:val="000000"/>
              </w:rPr>
              <m:t>)]</m:t>
            </m:r>
          </m:num>
          <m:den>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 xml:space="preserve">D- </m:t>
                </m:r>
              </m:sub>
            </m:sSub>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U-</m:t>
                </m:r>
              </m:sub>
            </m:sSub>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 xml:space="preserve">T- </m:t>
                </m:r>
              </m:sub>
            </m:sSub>
            <m:sSub>
              <m:sSubPr>
                <m:ctrlPr>
                  <w:rPr>
                    <w:rFonts w:ascii="Cambria Math" w:hAnsi="Cambria Math"/>
                    <w:i/>
                    <w:color w:val="000000"/>
                  </w:rPr>
                </m:ctrlPr>
              </m:sSubPr>
              <m:e>
                <m:r>
                  <w:rPr>
                    <w:rFonts w:ascii="Cambria Math" w:hAnsi="Cambria Math"/>
                    <w:color w:val="000000"/>
                  </w:rPr>
                  <m:t>Q</m:t>
                </m:r>
              </m:e>
              <m:sub>
                <m:r>
                  <w:rPr>
                    <w:rFonts w:ascii="Cambria Math" w:hAnsi="Cambria Math"/>
                    <w:color w:val="000000"/>
                  </w:rPr>
                  <m:t>S</m:t>
                </m:r>
              </m:sub>
            </m:sSub>
            <m:r>
              <w:rPr>
                <w:rFonts w:ascii="Cambria Math" w:hAnsi="Cambria Math"/>
                <w:color w:val="000000"/>
              </w:rPr>
              <m:t>)</m:t>
            </m:r>
          </m:den>
        </m:f>
      </m:oMath>
      <w:r w:rsidRPr="00156D58">
        <w:rPr>
          <w:color w:val="000000"/>
        </w:rPr>
        <w:t xml:space="preserve">  ,     </w:t>
      </w:r>
      <w:r w:rsidRPr="00156D58">
        <w:rPr>
          <w:color w:val="000000"/>
        </w:rPr>
        <w:tab/>
      </w:r>
      <w:r w:rsidRPr="00156D58">
        <w:rPr>
          <w:color w:val="000000"/>
        </w:rPr>
        <w:tab/>
      </w:r>
      <w:r w:rsidRPr="00156D58">
        <w:rPr>
          <w:color w:val="000000"/>
        </w:rPr>
        <w:tab/>
        <w:t xml:space="preserve">    </w:t>
      </w:r>
    </w:p>
    <w:p w14:paraId="26DAA2E8" w14:textId="77777777" w:rsidR="007402C8" w:rsidRPr="00156D58" w:rsidRDefault="007402C8" w:rsidP="007402C8">
      <w:pPr>
        <w:spacing w:line="360" w:lineRule="auto"/>
        <w:rPr>
          <w:color w:val="000000"/>
        </w:rPr>
      </w:pPr>
    </w:p>
    <w:p w14:paraId="2CA85C8C" w14:textId="77777777" w:rsidR="007402C8" w:rsidRPr="00156D58" w:rsidRDefault="007402C8" w:rsidP="007402C8">
      <w:pPr>
        <w:spacing w:line="360" w:lineRule="auto"/>
        <w:rPr>
          <w:color w:val="000000"/>
        </w:rPr>
      </w:pPr>
      <w:r w:rsidRPr="00156D58">
        <w:rPr>
          <w:color w:val="000000"/>
        </w:rPr>
        <w:t xml:space="preserve">where </w:t>
      </w:r>
      <m:oMath>
        <m:r>
          <w:rPr>
            <w:rFonts w:ascii="Cambria Math" w:hAnsi="Cambria Math"/>
            <w:color w:val="000000"/>
          </w:rPr>
          <m:t>Q</m:t>
        </m:r>
      </m:oMath>
      <w:r w:rsidRPr="00156D58">
        <w:rPr>
          <w:color w:val="000000"/>
        </w:rPr>
        <w:t xml:space="preserve"> is volumetric discharge from the instantaneous streamflow measurement, </w:t>
      </w:r>
      <m:oMath>
        <m:r>
          <w:rPr>
            <w:rFonts w:ascii="Cambria Math" w:hAnsi="Cambria Math"/>
            <w:color w:val="000000"/>
          </w:rPr>
          <m:t>C</m:t>
        </m:r>
      </m:oMath>
      <w:r w:rsidRPr="00156D58">
        <w:rPr>
          <w:color w:val="000000"/>
        </w:rPr>
        <w:t xml:space="preserve"> is the concentration of the respective dissolved constituent measured from the streamwater grab samples, and the subscripts </w:t>
      </w:r>
      <m:oMath>
        <m:r>
          <w:rPr>
            <w:rFonts w:ascii="Cambria Math" w:hAnsi="Cambria Math"/>
            <w:color w:val="000000"/>
          </w:rPr>
          <m:t>D</m:t>
        </m:r>
      </m:oMath>
      <w:r w:rsidRPr="00156D58">
        <w:rPr>
          <w:color w:val="000000"/>
        </w:rPr>
        <w:t xml:space="preserve">, </w:t>
      </w:r>
      <m:oMath>
        <m:r>
          <w:rPr>
            <w:rFonts w:ascii="Cambria Math" w:hAnsi="Cambria Math"/>
            <w:color w:val="000000"/>
          </w:rPr>
          <m:t>U</m:t>
        </m:r>
      </m:oMath>
      <w:r w:rsidRPr="00156D58">
        <w:rPr>
          <w:color w:val="000000"/>
        </w:rPr>
        <w:t xml:space="preserve">, </w:t>
      </w:r>
      <m:oMath>
        <m:r>
          <w:rPr>
            <w:rFonts w:ascii="Cambria Math" w:hAnsi="Cambria Math"/>
            <w:color w:val="000000"/>
          </w:rPr>
          <m:t>T</m:t>
        </m:r>
      </m:oMath>
      <w:r w:rsidRPr="00156D58">
        <w:rPr>
          <w:color w:val="000000"/>
        </w:rPr>
        <w:t xml:space="preserve">, and </w:t>
      </w:r>
      <m:oMath>
        <m:r>
          <w:rPr>
            <w:rFonts w:ascii="Cambria Math" w:hAnsi="Cambria Math"/>
            <w:color w:val="000000"/>
          </w:rPr>
          <m:t>S</m:t>
        </m:r>
      </m:oMath>
      <w:r w:rsidRPr="00156D58">
        <w:rPr>
          <w:color w:val="000000"/>
        </w:rPr>
        <w:t xml:space="preserve"> refer to downstream, upstream, tributaries, and karst springs, respectively. By subtracting the quantified nutrient concentrations of upstream sites, tributaries, and karst springs from the downstream sites, we were able to estimate the contribution of nutrient concentrations in the groundwater to each stream segment during baseflow conditions.</w:t>
      </w:r>
    </w:p>
    <w:p w14:paraId="51F33E86" w14:textId="77777777" w:rsidR="007402C8" w:rsidRPr="00156D58" w:rsidRDefault="007402C8" w:rsidP="007402C8">
      <w:pPr>
        <w:spacing w:line="360" w:lineRule="auto"/>
        <w:rPr>
          <w:color w:val="000000"/>
        </w:rPr>
      </w:pPr>
    </w:p>
    <w:p w14:paraId="7BB28872" w14:textId="77777777" w:rsidR="007402C8" w:rsidRPr="00156D58" w:rsidRDefault="00F16FF7" w:rsidP="007402C8">
      <w:pPr>
        <w:spacing w:line="360" w:lineRule="auto"/>
        <w:rPr>
          <w:color w:val="000000"/>
        </w:rPr>
      </w:pPr>
      <m:oMath>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lat</m:t>
            </m:r>
          </m:sub>
        </m:sSub>
      </m:oMath>
      <w:r w:rsidR="007402C8" w:rsidRPr="00156D58">
        <w:rPr>
          <w:color w:val="000000"/>
          <w:vertAlign w:val="subscript"/>
        </w:rPr>
        <w:t xml:space="preserve"> </w:t>
      </w:r>
      <w:r w:rsidR="007402C8" w:rsidRPr="00156D58">
        <w:rPr>
          <w:color w:val="000000"/>
        </w:rPr>
        <w:t>was quantified for gaining reaches only (</w:t>
      </w:r>
      <w:r w:rsidR="007402C8" w:rsidRPr="00156D58">
        <w:rPr>
          <w:i/>
          <w:color w:val="000000"/>
        </w:rPr>
        <w:t>Q</w:t>
      </w:r>
      <w:r w:rsidR="007402C8" w:rsidRPr="00156D58">
        <w:rPr>
          <w:i/>
          <w:color w:val="000000"/>
          <w:vertAlign w:val="subscript"/>
        </w:rPr>
        <w:t>lat</w:t>
      </w:r>
      <w:r w:rsidR="007402C8" w:rsidRPr="00156D58">
        <w:rPr>
          <w:color w:val="000000"/>
        </w:rPr>
        <w:t xml:space="preserve">&gt;0), which was determined by: </w:t>
      </w:r>
    </w:p>
    <w:p w14:paraId="0B298197" w14:textId="77777777" w:rsidR="007402C8" w:rsidRPr="00156D58" w:rsidRDefault="007402C8" w:rsidP="007402C8">
      <w:pPr>
        <w:spacing w:line="360" w:lineRule="auto"/>
        <w:rPr>
          <w:color w:val="000000"/>
        </w:rPr>
      </w:pPr>
    </w:p>
    <w:p w14:paraId="525D4137" w14:textId="77777777" w:rsidR="007402C8" w:rsidRPr="00156D58" w:rsidRDefault="00F16FF7" w:rsidP="007402C8">
      <w:pPr>
        <w:spacing w:line="360" w:lineRule="auto"/>
        <w:rPr>
          <w:color w:val="000000"/>
        </w:rPr>
      </w:pPr>
      <m:oMath>
        <m:d>
          <m:dPr>
            <m:ctrlPr>
              <w:rPr>
                <w:rFonts w:ascii="Cambria Math" w:hAnsi="Cambria Math"/>
                <w:i/>
                <w:color w:val="000000"/>
              </w:rPr>
            </m:ctrlPr>
          </m:dPr>
          <m:e>
            <m:r>
              <w:rPr>
                <w:rFonts w:ascii="Cambria Math" w:hAnsi="Cambria Math"/>
                <w:color w:val="000000"/>
              </w:rPr>
              <m:t>2</m:t>
            </m:r>
          </m:e>
        </m:d>
        <m:r>
          <w:rPr>
            <w:rFonts w:ascii="Cambria Math" w:hAnsi="Cambria Math"/>
            <w:color w:val="000000"/>
          </w:rPr>
          <m:t xml:space="preserve">     </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lat</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D</m:t>
            </m:r>
          </m:sub>
        </m:sSub>
        <w:bookmarkStart w:id="1" w:name="_Hlk127904971"/>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U</m:t>
            </m:r>
          </m:sub>
        </m:sSub>
        <w:bookmarkEnd w:id="1"/>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T</m:t>
            </m:r>
          </m:sub>
        </m:sSub>
        <m:r>
          <w:rPr>
            <w:rFonts w:ascii="Cambria Math" w:hAnsi="Cambria Math"/>
            <w:color w:val="000000"/>
          </w:rPr>
          <m:t>-</m:t>
        </m:r>
        <m:sSub>
          <m:sSubPr>
            <m:ctrlPr>
              <w:rPr>
                <w:rFonts w:ascii="Cambria Math" w:hAnsi="Cambria Math"/>
                <w:color w:val="000000"/>
              </w:rPr>
            </m:ctrlPr>
          </m:sSubPr>
          <m:e>
            <m:r>
              <w:rPr>
                <w:rFonts w:ascii="Cambria Math" w:hAnsi="Cambria Math"/>
                <w:color w:val="000000"/>
              </w:rPr>
              <m:t>Q</m:t>
            </m:r>
          </m:e>
          <m:sub>
            <m:r>
              <w:rPr>
                <w:rFonts w:ascii="Cambria Math" w:hAnsi="Cambria Math"/>
                <w:color w:val="000000"/>
              </w:rPr>
              <m:t>S</m:t>
            </m:r>
          </m:sub>
        </m:sSub>
        <m:r>
          <w:rPr>
            <w:rFonts w:ascii="Cambria Math" w:hAnsi="Cambria Math"/>
            <w:color w:val="000000"/>
          </w:rPr>
          <m:t xml:space="preserve"> </m:t>
        </m:r>
      </m:oMath>
      <w:r w:rsidR="007402C8" w:rsidRPr="00156D58">
        <w:rPr>
          <w:color w:val="000000"/>
        </w:rPr>
        <w:t xml:space="preserve">. </w:t>
      </w:r>
    </w:p>
    <w:p w14:paraId="5E9BC022" w14:textId="77777777" w:rsidR="007402C8" w:rsidRPr="00156D58" w:rsidRDefault="007402C8" w:rsidP="007402C8">
      <w:pPr>
        <w:spacing w:line="360" w:lineRule="auto"/>
        <w:rPr>
          <w:color w:val="000000"/>
        </w:rPr>
      </w:pPr>
    </w:p>
    <w:p w14:paraId="6E9995F9" w14:textId="341AE061" w:rsidR="00C24962" w:rsidRPr="00431D06" w:rsidRDefault="007402C8" w:rsidP="00DC7380">
      <w:pPr>
        <w:spacing w:line="360" w:lineRule="auto"/>
        <w:rPr>
          <w:rFonts w:ascii="Calibri" w:hAnsi="Calibri" w:cs="Calibri"/>
          <w:i/>
          <w:iCs/>
          <w:bdr w:val="none" w:sz="0" w:space="0" w:color="auto" w:frame="1"/>
        </w:rPr>
      </w:pPr>
      <w:r w:rsidRPr="00156D58">
        <w:rPr>
          <w:color w:val="000000"/>
        </w:rPr>
        <w:t>Using the linear regression model, we combined all gaining reaches from Studies 1 and 2 and eliminated outliers until all assumptions were met using the global validation of linear model assumptions</w:t>
      </w:r>
      <w:r w:rsidR="006D0CDE">
        <w:rPr>
          <w:color w:val="000000"/>
        </w:rPr>
        <w:t xml:space="preserve"> </w:t>
      </w:r>
      <w:r w:rsidR="006D0CDE" w:rsidRPr="0042108B">
        <w:t>using the gvlma package in R (Peña and Slate 2006)</w:t>
      </w:r>
      <w:r w:rsidRPr="0042108B">
        <w:t xml:space="preserve">. </w:t>
      </w:r>
      <w:r w:rsidRPr="00156D58">
        <w:rPr>
          <w:color w:val="000000"/>
        </w:rPr>
        <w:t xml:space="preserve">Once outliers were removed from the dataset, the linear </w:t>
      </w:r>
      <w:r w:rsidRPr="00431D06">
        <w:t>regression model was rerun, and the process iterated until all assumptions were met to find an accurate constant rate that represents nutrient decline in groundwater per increase in percent forested area. The final linear regression model included 76 data points</w:t>
      </w:r>
      <w:r w:rsidR="007D5F70" w:rsidRPr="00431D06">
        <w:t xml:space="preserve"> and was</w:t>
      </w:r>
      <w:r w:rsidR="008D7CE9" w:rsidRPr="00431D06">
        <w:t xml:space="preserve"> </w:t>
      </w:r>
      <w:r w:rsidR="00584A2B" w:rsidRPr="00431D06">
        <w:rPr>
          <w:bdr w:val="none" w:sz="0" w:space="0" w:color="auto" w:frame="1"/>
        </w:rPr>
        <w:t>used to predict nutrient loads for each individual site that was retained in the dataset using a zero and 100% riparian buffer</w:t>
      </w:r>
      <w:r w:rsidR="00584A2B" w:rsidRPr="00431D06">
        <w:t xml:space="preserve"> </w:t>
      </w:r>
      <w:r w:rsidR="00584A2B" w:rsidRPr="00431D06">
        <w:rPr>
          <w:bdr w:val="none" w:sz="0" w:space="0" w:color="auto" w:frame="1"/>
        </w:rPr>
        <w:t xml:space="preserve">scenario. Estimated nutrient loads from catchments with zero percent buffer were calculated by multiplying the intercept by their measured net lateral </w:t>
      </w:r>
      <w:r w:rsidR="007D5F70" w:rsidRPr="00431D06">
        <w:rPr>
          <w:bdr w:val="none" w:sz="0" w:space="0" w:color="auto" w:frame="1"/>
        </w:rPr>
        <w:t>groundwater discharge</w:t>
      </w:r>
      <w:r w:rsidR="00584A2B" w:rsidRPr="00431D06">
        <w:rPr>
          <w:bdr w:val="none" w:sz="0" w:space="0" w:color="auto" w:frame="1"/>
        </w:rPr>
        <w:t xml:space="preserve"> (m</w:t>
      </w:r>
      <w:r w:rsidR="00584A2B" w:rsidRPr="00431D06">
        <w:rPr>
          <w:bdr w:val="none" w:sz="0" w:space="0" w:color="auto" w:frame="1"/>
          <w:vertAlign w:val="superscript"/>
        </w:rPr>
        <w:t>3</w:t>
      </w:r>
      <w:r w:rsidR="00584A2B" w:rsidRPr="00431D06">
        <w:rPr>
          <w:bdr w:val="none" w:sz="0" w:space="0" w:color="auto" w:frame="1"/>
        </w:rPr>
        <w:t>s</w:t>
      </w:r>
      <w:r w:rsidR="00584A2B" w:rsidRPr="00431D06">
        <w:rPr>
          <w:bdr w:val="none" w:sz="0" w:space="0" w:color="auto" w:frame="1"/>
          <w:vertAlign w:val="superscript"/>
        </w:rPr>
        <w:t>-1</w:t>
      </w:r>
      <w:r w:rsidR="00584A2B" w:rsidRPr="00431D06">
        <w:rPr>
          <w:bdr w:val="none" w:sz="0" w:space="0" w:color="auto" w:frame="1"/>
        </w:rPr>
        <w:t xml:space="preserve">). Loads were converted to </w:t>
      </w:r>
      <w:r w:rsidR="00C72618" w:rsidRPr="00431D06">
        <w:rPr>
          <w:bdr w:val="none" w:sz="0" w:space="0" w:color="auto" w:frame="1"/>
        </w:rPr>
        <w:t>lbs</w:t>
      </w:r>
      <w:r w:rsidR="00584A2B" w:rsidRPr="00431D06">
        <w:rPr>
          <w:bdr w:val="none" w:sz="0" w:space="0" w:color="auto" w:frame="1"/>
        </w:rPr>
        <w:t>/</w:t>
      </w:r>
      <w:r w:rsidR="00C72618" w:rsidRPr="00431D06">
        <w:rPr>
          <w:bdr w:val="none" w:sz="0" w:space="0" w:color="auto" w:frame="1"/>
        </w:rPr>
        <w:t>acre</w:t>
      </w:r>
      <w:r w:rsidR="00584A2B" w:rsidRPr="00431D06">
        <w:rPr>
          <w:bdr w:val="none" w:sz="0" w:space="0" w:color="auto" w:frame="1"/>
        </w:rPr>
        <w:t xml:space="preserve">-yr by dividing by the total </w:t>
      </w:r>
      <w:r w:rsidR="00584A2B" w:rsidRPr="00431D06">
        <w:rPr>
          <w:bdr w:val="none" w:sz="0" w:space="0" w:color="auto" w:frame="1"/>
        </w:rPr>
        <w:lastRenderedPageBreak/>
        <w:t>riparian area. The median was found using Microsoft Excel’s Descriptive Statistics Tool (2021) of the computed instantaneous nutrient loads to represent annual riparian buffer nutrient reduction.</w:t>
      </w:r>
      <w:r w:rsidR="00584A2B" w:rsidRPr="00431D06">
        <w:rPr>
          <w:rFonts w:ascii="Calibri" w:hAnsi="Calibri" w:cs="Calibri"/>
          <w:i/>
          <w:iCs/>
          <w:bdr w:val="none" w:sz="0" w:space="0" w:color="auto" w:frame="1"/>
        </w:rPr>
        <w:t> </w:t>
      </w:r>
    </w:p>
    <w:p w14:paraId="2428B74A" w14:textId="77777777" w:rsidR="00C24962" w:rsidRPr="00431D06" w:rsidRDefault="00C24962" w:rsidP="00DC7380">
      <w:pPr>
        <w:spacing w:line="360" w:lineRule="auto"/>
        <w:rPr>
          <w:rFonts w:ascii="Calibri" w:hAnsi="Calibri" w:cs="Calibri"/>
          <w:i/>
          <w:iCs/>
          <w:bdr w:val="none" w:sz="0" w:space="0" w:color="auto" w:frame="1"/>
        </w:rPr>
      </w:pPr>
    </w:p>
    <w:p w14:paraId="74135AD0" w14:textId="0B525476" w:rsidR="00584A2B" w:rsidRPr="00431D06" w:rsidRDefault="00153763" w:rsidP="00DC7380">
      <w:pPr>
        <w:spacing w:line="360" w:lineRule="auto"/>
      </w:pPr>
      <w:r w:rsidRPr="00431D06">
        <w:rPr>
          <w:bdr w:val="none" w:sz="0" w:space="0" w:color="auto" w:frame="1"/>
        </w:rPr>
        <w:t xml:space="preserve">We used the median value </w:t>
      </w:r>
      <w:r w:rsidR="00D43E6B" w:rsidRPr="00431D06">
        <w:rPr>
          <w:bdr w:val="none" w:sz="0" w:space="0" w:color="auto" w:frame="1"/>
        </w:rPr>
        <w:t xml:space="preserve">because the nutrient load retention and measured net discharge </w:t>
      </w:r>
      <w:r w:rsidR="00BB7442" w:rsidRPr="00431D06">
        <w:rPr>
          <w:bdr w:val="none" w:sz="0" w:space="0" w:color="auto" w:frame="1"/>
        </w:rPr>
        <w:t>was right-skewed</w:t>
      </w:r>
      <w:r w:rsidR="00633862" w:rsidRPr="00431D06">
        <w:rPr>
          <w:bdr w:val="none" w:sz="0" w:space="0" w:color="auto" w:frame="1"/>
        </w:rPr>
        <w:t xml:space="preserve">, </w:t>
      </w:r>
      <w:r w:rsidR="00CD216C" w:rsidRPr="00431D06">
        <w:rPr>
          <w:bdr w:val="none" w:sz="0" w:space="0" w:color="auto" w:frame="1"/>
        </w:rPr>
        <w:t>which resulted in a</w:t>
      </w:r>
      <w:r w:rsidR="00633862" w:rsidRPr="00431D06">
        <w:rPr>
          <w:bdr w:val="none" w:sz="0" w:space="0" w:color="auto" w:frame="1"/>
        </w:rPr>
        <w:t xml:space="preserve"> mean much higher than the median</w:t>
      </w:r>
      <w:r w:rsidR="001E026F" w:rsidRPr="00431D06">
        <w:rPr>
          <w:bdr w:val="none" w:sz="0" w:space="0" w:color="auto" w:frame="1"/>
        </w:rPr>
        <w:t>.</w:t>
      </w:r>
      <w:r w:rsidR="000142B0" w:rsidRPr="00431D06">
        <w:rPr>
          <w:bdr w:val="none" w:sz="0" w:space="0" w:color="auto" w:frame="1"/>
        </w:rPr>
        <w:t xml:space="preserve"> Based </w:t>
      </w:r>
      <w:r w:rsidR="00491D01" w:rsidRPr="00431D06">
        <w:rPr>
          <w:bdr w:val="none" w:sz="0" w:space="0" w:color="auto" w:frame="1"/>
        </w:rPr>
        <w:t xml:space="preserve">on USGS stream gauge data, the </w:t>
      </w:r>
      <w:r w:rsidR="00CD6AF3" w:rsidRPr="00431D06">
        <w:rPr>
          <w:bdr w:val="none" w:sz="0" w:space="0" w:color="auto" w:frame="1"/>
        </w:rPr>
        <w:t xml:space="preserve">median </w:t>
      </w:r>
      <w:r w:rsidR="00491D01" w:rsidRPr="00431D06">
        <w:rPr>
          <w:bdr w:val="none" w:sz="0" w:space="0" w:color="auto" w:frame="1"/>
        </w:rPr>
        <w:t>discharge rate</w:t>
      </w:r>
      <w:r w:rsidR="00D6440A" w:rsidRPr="00431D06">
        <w:rPr>
          <w:bdr w:val="none" w:sz="0" w:space="0" w:color="auto" w:frame="1"/>
        </w:rPr>
        <w:t xml:space="preserve"> was similar</w:t>
      </w:r>
      <w:r w:rsidR="00CD6AF3" w:rsidRPr="00431D06">
        <w:rPr>
          <w:bdr w:val="none" w:sz="0" w:space="0" w:color="auto" w:frame="1"/>
        </w:rPr>
        <w:t xml:space="preserve"> to </w:t>
      </w:r>
      <w:r w:rsidR="00D543AA" w:rsidRPr="00431D06">
        <w:rPr>
          <w:bdr w:val="none" w:sz="0" w:space="0" w:color="auto" w:frame="1"/>
        </w:rPr>
        <w:t>the mean long-term runoff rate of Town Creek Watershed</w:t>
      </w:r>
      <w:r w:rsidR="00D6440A" w:rsidRPr="00431D06">
        <w:rPr>
          <w:bdr w:val="none" w:sz="0" w:space="0" w:color="auto" w:frame="1"/>
        </w:rPr>
        <w:t>, a watershed in which many of our sites were located</w:t>
      </w:r>
      <w:r w:rsidR="00046765" w:rsidRPr="00431D06">
        <w:rPr>
          <w:bdr w:val="none" w:sz="0" w:space="0" w:color="auto" w:frame="1"/>
        </w:rPr>
        <w:t xml:space="preserve">, </w:t>
      </w:r>
      <w:r w:rsidR="00F32CAD" w:rsidRPr="00431D06">
        <w:rPr>
          <w:bdr w:val="none" w:sz="0" w:space="0" w:color="auto" w:frame="1"/>
        </w:rPr>
        <w:t>which served as validation</w:t>
      </w:r>
      <w:r w:rsidR="00CD216C" w:rsidRPr="00431D06">
        <w:rPr>
          <w:bdr w:val="none" w:sz="0" w:space="0" w:color="auto" w:frame="1"/>
        </w:rPr>
        <w:t>.</w:t>
      </w:r>
      <w:r w:rsidR="00BB7442" w:rsidRPr="00431D06">
        <w:rPr>
          <w:bdr w:val="none" w:sz="0" w:space="0" w:color="auto" w:frame="1"/>
        </w:rPr>
        <w:t xml:space="preserve"> </w:t>
      </w:r>
    </w:p>
    <w:p w14:paraId="2FB84292" w14:textId="77777777" w:rsidR="00F057D1" w:rsidRDefault="00F057D1" w:rsidP="00DC7380">
      <w:pPr>
        <w:spacing w:line="360" w:lineRule="auto"/>
        <w:rPr>
          <w:color w:val="000000"/>
        </w:rPr>
      </w:pPr>
    </w:p>
    <w:p w14:paraId="1826BA6F" w14:textId="246AC946" w:rsidR="007402C8" w:rsidRPr="00156D58" w:rsidRDefault="007402C8" w:rsidP="00DC7380">
      <w:pPr>
        <w:spacing w:line="360" w:lineRule="auto"/>
        <w:rPr>
          <w:color w:val="000000"/>
        </w:rPr>
      </w:pPr>
      <w:r w:rsidRPr="00156D58">
        <w:rPr>
          <w:color w:val="000000"/>
        </w:rPr>
        <w:t xml:space="preserve">A significant Spearman Rank Correlation result provided confidence that a relationship existed between nutrient loads and percent forest buffers. By using the linear regression model and removing the outliers, riparian buffers are assumed to be functional and not controlled by unique and complex hydrogeomorphological conditions. </w:t>
      </w:r>
    </w:p>
    <w:p w14:paraId="4798279F" w14:textId="77777777" w:rsidR="009E4047" w:rsidRDefault="009E4047" w:rsidP="00F86312">
      <w:pPr>
        <w:spacing w:line="360" w:lineRule="auto"/>
        <w:rPr>
          <w:color w:val="000000"/>
          <w:sz w:val="20"/>
          <w:szCs w:val="20"/>
        </w:rPr>
        <w:sectPr w:rsidR="009E4047" w:rsidSect="00702EF1">
          <w:footerReference w:type="first" r:id="rId7"/>
          <w:type w:val="nextColumn"/>
          <w:pgSz w:w="12240" w:h="15840" w:code="1"/>
          <w:pgMar w:top="1296" w:right="1296" w:bottom="1296" w:left="1440" w:header="720" w:footer="720" w:gutter="0"/>
          <w:cols w:space="720"/>
          <w:titlePg/>
          <w:docGrid w:linePitch="360"/>
        </w:sectPr>
      </w:pPr>
    </w:p>
    <w:p w14:paraId="3BFCB6A2" w14:textId="666055A5" w:rsidR="00EA19F4" w:rsidRDefault="0014643E" w:rsidP="00F86312">
      <w:pPr>
        <w:spacing w:line="360" w:lineRule="auto"/>
        <w:rPr>
          <w:color w:val="000000" w:themeColor="text1"/>
        </w:rPr>
      </w:pPr>
      <w:r w:rsidRPr="0070495D">
        <w:rPr>
          <w:rFonts w:eastAsiaTheme="minorHAnsi"/>
          <w:b/>
          <w:bCs/>
        </w:rPr>
        <w:lastRenderedPageBreak/>
        <w:t>Section S2</w:t>
      </w:r>
      <w:r w:rsidR="0070495D">
        <w:rPr>
          <w:rFonts w:eastAsiaTheme="minorHAnsi"/>
          <w:b/>
          <w:bCs/>
        </w:rPr>
        <w:t>.</w:t>
      </w:r>
      <w:r w:rsidRPr="0070495D">
        <w:rPr>
          <w:rFonts w:eastAsiaTheme="minorHAnsi"/>
          <w:b/>
          <w:bCs/>
        </w:rPr>
        <w:t xml:space="preserve"> </w:t>
      </w:r>
      <w:r w:rsidR="000135AD" w:rsidRPr="0070495D">
        <w:rPr>
          <w:b/>
          <w:bCs/>
          <w:color w:val="000000"/>
        </w:rPr>
        <w:t>Study comparisons of cost effectiveness of nutrient reductions on riparian buffers in the Chesapeake Bay watershed.</w:t>
      </w:r>
      <w:r w:rsidR="000135AD" w:rsidRPr="0070495D">
        <w:rPr>
          <w:b/>
          <w:bCs/>
          <w:color w:val="000000"/>
          <w:sz w:val="22"/>
          <w:szCs w:val="22"/>
        </w:rPr>
        <w:t xml:space="preserve"> </w:t>
      </w:r>
      <w:r w:rsidR="00EA19F4" w:rsidRPr="00957AB7">
        <w:rPr>
          <w:b/>
          <w:bCs/>
          <w:i/>
          <w:iCs/>
          <w:color w:val="000000" w:themeColor="text1"/>
        </w:rPr>
        <w:t xml:space="preserve">Table </w:t>
      </w:r>
      <w:r w:rsidR="00F86312" w:rsidRPr="00957AB7">
        <w:rPr>
          <w:b/>
          <w:bCs/>
          <w:i/>
          <w:iCs/>
          <w:color w:val="000000" w:themeColor="text1"/>
        </w:rPr>
        <w:t>S</w:t>
      </w:r>
      <w:r w:rsidR="00F85292">
        <w:rPr>
          <w:b/>
          <w:bCs/>
          <w:i/>
          <w:iCs/>
          <w:color w:val="000000" w:themeColor="text1"/>
        </w:rPr>
        <w:t>1</w:t>
      </w:r>
      <w:r w:rsidR="00EA19F4" w:rsidRPr="00957AB7">
        <w:rPr>
          <w:b/>
          <w:bCs/>
          <w:i/>
          <w:iCs/>
          <w:color w:val="000000" w:themeColor="text1"/>
        </w:rPr>
        <w:t>.</w:t>
      </w:r>
      <w:r w:rsidR="00EA19F4" w:rsidRPr="00957AB7">
        <w:rPr>
          <w:color w:val="000000" w:themeColor="text1"/>
        </w:rPr>
        <w:t xml:space="preserve"> </w:t>
      </w:r>
      <w:r w:rsidR="00EA19F4" w:rsidRPr="00957AB7">
        <w:rPr>
          <w:i/>
          <w:iCs/>
          <w:color w:val="000000" w:themeColor="text1"/>
        </w:rPr>
        <w:t xml:space="preserve">Cost Effectiveness of Nutrients Reduction Comparisons from Selected Studies on Riparian Buffers in </w:t>
      </w:r>
      <w:r w:rsidR="0033636F">
        <w:rPr>
          <w:i/>
          <w:iCs/>
          <w:color w:val="000000" w:themeColor="text1"/>
        </w:rPr>
        <w:t xml:space="preserve">the </w:t>
      </w:r>
      <w:r w:rsidR="00EA19F4" w:rsidRPr="00957AB7">
        <w:rPr>
          <w:i/>
          <w:iCs/>
          <w:color w:val="000000" w:themeColor="text1"/>
        </w:rPr>
        <w:t>Chesapeake Bay</w:t>
      </w:r>
    </w:p>
    <w:tbl>
      <w:tblPr>
        <w:tblStyle w:val="TableGrid"/>
        <w:tblW w:w="13320" w:type="dxa"/>
        <w:tblInd w:w="-5" w:type="dxa"/>
        <w:tblLayout w:type="fixed"/>
        <w:tblLook w:val="04A0" w:firstRow="1" w:lastRow="0" w:firstColumn="1" w:lastColumn="0" w:noHBand="0" w:noVBand="1"/>
      </w:tblPr>
      <w:tblGrid>
        <w:gridCol w:w="1345"/>
        <w:gridCol w:w="1710"/>
        <w:gridCol w:w="2250"/>
        <w:gridCol w:w="720"/>
        <w:gridCol w:w="900"/>
        <w:gridCol w:w="630"/>
        <w:gridCol w:w="720"/>
        <w:gridCol w:w="1260"/>
        <w:gridCol w:w="1260"/>
        <w:gridCol w:w="1265"/>
        <w:gridCol w:w="1260"/>
      </w:tblGrid>
      <w:tr w:rsidR="00957AB7" w:rsidRPr="00957AB7" w14:paraId="4AB039AF" w14:textId="77777777" w:rsidTr="008D0897">
        <w:trPr>
          <w:trHeight w:val="341"/>
        </w:trPr>
        <w:tc>
          <w:tcPr>
            <w:tcW w:w="1345" w:type="dxa"/>
            <w:vMerge w:val="restart"/>
          </w:tcPr>
          <w:p w14:paraId="68F74402" w14:textId="77777777" w:rsidR="00EA19F4" w:rsidRPr="00957AB7" w:rsidRDefault="00EA19F4" w:rsidP="00F36CD8">
            <w:pPr>
              <w:rPr>
                <w:color w:val="000000" w:themeColor="text1"/>
                <w:sz w:val="23"/>
                <w:szCs w:val="23"/>
                <w:shd w:val="clear" w:color="auto" w:fill="FFFFFF"/>
              </w:rPr>
            </w:pPr>
            <w:r w:rsidRPr="00957AB7">
              <w:rPr>
                <w:color w:val="000000" w:themeColor="text1"/>
                <w:sz w:val="23"/>
                <w:szCs w:val="23"/>
                <w:shd w:val="clear" w:color="auto" w:fill="FFFFFF"/>
              </w:rPr>
              <w:t>Reference</w:t>
            </w:r>
          </w:p>
        </w:tc>
        <w:tc>
          <w:tcPr>
            <w:tcW w:w="1710" w:type="dxa"/>
            <w:vMerge w:val="restart"/>
          </w:tcPr>
          <w:p w14:paraId="70F8F4CA" w14:textId="77777777" w:rsidR="00EA19F4" w:rsidRPr="00957AB7" w:rsidRDefault="00EA19F4" w:rsidP="00F36CD8">
            <w:pPr>
              <w:rPr>
                <w:color w:val="000000" w:themeColor="text1"/>
                <w:sz w:val="23"/>
                <w:szCs w:val="23"/>
                <w:shd w:val="clear" w:color="auto" w:fill="FFFFFF"/>
              </w:rPr>
            </w:pPr>
            <w:r w:rsidRPr="00957AB7">
              <w:rPr>
                <w:color w:val="000000" w:themeColor="text1"/>
                <w:sz w:val="23"/>
                <w:szCs w:val="23"/>
                <w:shd w:val="clear" w:color="auto" w:fill="FFFFFF"/>
              </w:rPr>
              <w:t>Region,</w:t>
            </w:r>
            <w:r w:rsidRPr="00957AB7">
              <w:rPr>
                <w:color w:val="000000" w:themeColor="text1"/>
                <w:sz w:val="23"/>
                <w:szCs w:val="23"/>
                <w:shd w:val="clear" w:color="auto" w:fill="FFFFFF"/>
              </w:rPr>
              <w:br/>
              <w:t>State, County</w:t>
            </w:r>
          </w:p>
        </w:tc>
        <w:tc>
          <w:tcPr>
            <w:tcW w:w="2250" w:type="dxa"/>
            <w:vMerge w:val="restart"/>
          </w:tcPr>
          <w:p w14:paraId="19D3D116" w14:textId="77777777" w:rsidR="00EA19F4" w:rsidRPr="00957AB7" w:rsidRDefault="00EA19F4" w:rsidP="00F36CD8">
            <w:pPr>
              <w:rPr>
                <w:color w:val="000000" w:themeColor="text1"/>
                <w:sz w:val="23"/>
                <w:szCs w:val="23"/>
                <w:shd w:val="clear" w:color="auto" w:fill="FFFFFF"/>
              </w:rPr>
            </w:pPr>
            <w:r w:rsidRPr="00957AB7">
              <w:rPr>
                <w:color w:val="000000" w:themeColor="text1"/>
                <w:sz w:val="23"/>
                <w:szCs w:val="23"/>
                <w:shd w:val="clear" w:color="auto" w:fill="FFFFFF"/>
              </w:rPr>
              <w:t>Cost Methods</w:t>
            </w:r>
          </w:p>
        </w:tc>
        <w:tc>
          <w:tcPr>
            <w:tcW w:w="720" w:type="dxa"/>
            <w:vMerge w:val="restart"/>
          </w:tcPr>
          <w:p w14:paraId="6E08FB73" w14:textId="77777777" w:rsidR="00EA19F4" w:rsidRPr="00957AB7" w:rsidRDefault="00EA19F4" w:rsidP="00F36CD8">
            <w:pPr>
              <w:ind w:left="-110" w:right="-110"/>
              <w:jc w:val="center"/>
              <w:rPr>
                <w:color w:val="000000" w:themeColor="text1"/>
                <w:sz w:val="23"/>
                <w:szCs w:val="23"/>
                <w:shd w:val="clear" w:color="auto" w:fill="FFFFFF"/>
              </w:rPr>
            </w:pPr>
            <w:r w:rsidRPr="00957AB7">
              <w:rPr>
                <w:color w:val="000000" w:themeColor="text1"/>
                <w:sz w:val="23"/>
                <w:szCs w:val="23"/>
                <w:shd w:val="clear" w:color="auto" w:fill="FFFFFF"/>
              </w:rPr>
              <w:t>Year dollars</w:t>
            </w:r>
          </w:p>
        </w:tc>
        <w:tc>
          <w:tcPr>
            <w:tcW w:w="900" w:type="dxa"/>
            <w:vMerge w:val="restart"/>
          </w:tcPr>
          <w:p w14:paraId="69A36F66" w14:textId="77777777" w:rsidR="00EA19F4" w:rsidRPr="00957AB7" w:rsidRDefault="00EA19F4" w:rsidP="00F36CD8">
            <w:pPr>
              <w:ind w:right="-110"/>
              <w:rPr>
                <w:color w:val="000000" w:themeColor="text1"/>
                <w:sz w:val="23"/>
                <w:szCs w:val="23"/>
                <w:shd w:val="clear" w:color="auto" w:fill="FFFFFF"/>
              </w:rPr>
            </w:pPr>
            <w:r w:rsidRPr="00957AB7">
              <w:rPr>
                <w:color w:val="000000" w:themeColor="text1"/>
                <w:sz w:val="23"/>
                <w:szCs w:val="23"/>
                <w:shd w:val="clear" w:color="auto" w:fill="FFFFFF"/>
              </w:rPr>
              <w:t>CBWM Phase</w:t>
            </w:r>
          </w:p>
        </w:tc>
        <w:tc>
          <w:tcPr>
            <w:tcW w:w="630" w:type="dxa"/>
            <w:vMerge w:val="restart"/>
          </w:tcPr>
          <w:p w14:paraId="3DF58960" w14:textId="77777777" w:rsidR="00EA19F4" w:rsidRPr="00957AB7" w:rsidRDefault="00EA19F4" w:rsidP="00F36CD8">
            <w:pPr>
              <w:ind w:left="-90" w:right="-90"/>
              <w:jc w:val="center"/>
              <w:rPr>
                <w:color w:val="000000" w:themeColor="text1"/>
                <w:sz w:val="23"/>
                <w:szCs w:val="23"/>
                <w:shd w:val="clear" w:color="auto" w:fill="FFFFFF"/>
              </w:rPr>
            </w:pPr>
            <w:r w:rsidRPr="00957AB7">
              <w:rPr>
                <w:color w:val="000000" w:themeColor="text1"/>
                <w:sz w:val="23"/>
                <w:szCs w:val="23"/>
                <w:shd w:val="clear" w:color="auto" w:fill="FFFFFF"/>
              </w:rPr>
              <w:t>Dis-count</w:t>
            </w:r>
          </w:p>
        </w:tc>
        <w:tc>
          <w:tcPr>
            <w:tcW w:w="720" w:type="dxa"/>
            <w:vMerge w:val="restart"/>
          </w:tcPr>
          <w:p w14:paraId="0FA4023E" w14:textId="77777777" w:rsidR="00EA19F4" w:rsidRPr="00957AB7" w:rsidRDefault="00EA19F4" w:rsidP="00F86312">
            <w:pPr>
              <w:ind w:right="-110"/>
              <w:rPr>
                <w:color w:val="000000" w:themeColor="text1"/>
                <w:sz w:val="23"/>
                <w:szCs w:val="23"/>
                <w:shd w:val="clear" w:color="auto" w:fill="FFFFFF"/>
              </w:rPr>
            </w:pPr>
            <w:r w:rsidRPr="00957AB7">
              <w:rPr>
                <w:color w:val="000000" w:themeColor="text1"/>
                <w:sz w:val="23"/>
                <w:szCs w:val="23"/>
                <w:shd w:val="clear" w:color="auto" w:fill="FFFFFF"/>
              </w:rPr>
              <w:t>BMP</w:t>
            </w:r>
            <w:r w:rsidRPr="00957AB7">
              <w:rPr>
                <w:color w:val="000000" w:themeColor="text1"/>
                <w:sz w:val="23"/>
                <w:szCs w:val="23"/>
                <w:shd w:val="clear" w:color="auto" w:fill="FFFFFF"/>
                <w:vertAlign w:val="superscript"/>
              </w:rPr>
              <w:t>a</w:t>
            </w:r>
          </w:p>
        </w:tc>
        <w:tc>
          <w:tcPr>
            <w:tcW w:w="1260" w:type="dxa"/>
            <w:vMerge w:val="restart"/>
          </w:tcPr>
          <w:p w14:paraId="21F6BA40" w14:textId="77777777" w:rsidR="00EA19F4" w:rsidRPr="00957AB7" w:rsidRDefault="00EA19F4" w:rsidP="00F36CD8">
            <w:pPr>
              <w:ind w:left="-20" w:right="-110"/>
              <w:rPr>
                <w:color w:val="000000" w:themeColor="text1"/>
                <w:sz w:val="23"/>
                <w:szCs w:val="23"/>
                <w:shd w:val="clear" w:color="auto" w:fill="FFFFFF"/>
              </w:rPr>
            </w:pPr>
            <w:r w:rsidRPr="00957AB7">
              <w:rPr>
                <w:color w:val="000000" w:themeColor="text1"/>
                <w:sz w:val="23"/>
                <w:szCs w:val="23"/>
                <w:shd w:val="clear" w:color="auto" w:fill="FFFFFF"/>
              </w:rPr>
              <w:t>N</w:t>
            </w:r>
            <w:r w:rsidRPr="00957AB7">
              <w:rPr>
                <w:color w:val="000000" w:themeColor="text1"/>
                <w:sz w:val="23"/>
                <w:szCs w:val="23"/>
                <w:shd w:val="clear" w:color="auto" w:fill="FFFFFF"/>
                <w:vertAlign w:val="superscript"/>
              </w:rPr>
              <w:t>b</w:t>
            </w:r>
            <w:r w:rsidRPr="00957AB7">
              <w:rPr>
                <w:color w:val="000000" w:themeColor="text1"/>
                <w:sz w:val="23"/>
                <w:szCs w:val="23"/>
                <w:shd w:val="clear" w:color="auto" w:fill="FFFFFF"/>
              </w:rPr>
              <w:t xml:space="preserve"> load reductions,</w:t>
            </w:r>
            <w:r w:rsidRPr="00957AB7">
              <w:rPr>
                <w:color w:val="000000" w:themeColor="text1"/>
                <w:sz w:val="23"/>
                <w:szCs w:val="23"/>
                <w:shd w:val="clear" w:color="auto" w:fill="FFFFFF"/>
              </w:rPr>
              <w:br/>
              <w:t>lbs acr/yr</w:t>
            </w:r>
          </w:p>
        </w:tc>
        <w:tc>
          <w:tcPr>
            <w:tcW w:w="1260" w:type="dxa"/>
            <w:vMerge w:val="restart"/>
          </w:tcPr>
          <w:p w14:paraId="1153E5CC" w14:textId="77777777" w:rsidR="00EA19F4" w:rsidRPr="00957AB7" w:rsidRDefault="00EA19F4" w:rsidP="00F36CD8">
            <w:pPr>
              <w:ind w:right="-110"/>
              <w:rPr>
                <w:color w:val="000000" w:themeColor="text1"/>
                <w:sz w:val="23"/>
                <w:szCs w:val="23"/>
                <w:shd w:val="clear" w:color="auto" w:fill="FFFFFF"/>
              </w:rPr>
            </w:pPr>
            <w:r w:rsidRPr="00957AB7">
              <w:rPr>
                <w:color w:val="000000" w:themeColor="text1"/>
                <w:sz w:val="23"/>
                <w:szCs w:val="23"/>
                <w:shd w:val="clear" w:color="auto" w:fill="FFFFFF"/>
              </w:rPr>
              <w:t>P</w:t>
            </w:r>
            <w:r w:rsidRPr="00957AB7">
              <w:rPr>
                <w:color w:val="000000" w:themeColor="text1"/>
                <w:sz w:val="23"/>
                <w:szCs w:val="23"/>
                <w:shd w:val="clear" w:color="auto" w:fill="FFFFFF"/>
                <w:vertAlign w:val="superscript"/>
              </w:rPr>
              <w:t>b</w:t>
            </w:r>
            <w:r w:rsidRPr="00957AB7">
              <w:rPr>
                <w:color w:val="000000" w:themeColor="text1"/>
                <w:sz w:val="23"/>
                <w:szCs w:val="23"/>
                <w:shd w:val="clear" w:color="auto" w:fill="FFFFFF"/>
              </w:rPr>
              <w:t xml:space="preserve"> load reductions, lbs acr/yr</w:t>
            </w:r>
          </w:p>
        </w:tc>
        <w:tc>
          <w:tcPr>
            <w:tcW w:w="2525" w:type="dxa"/>
            <w:gridSpan w:val="2"/>
          </w:tcPr>
          <w:p w14:paraId="5AA36D98" w14:textId="77777777" w:rsidR="00EA19F4" w:rsidRPr="00957AB7" w:rsidRDefault="00EA19F4" w:rsidP="00F36CD8">
            <w:pPr>
              <w:ind w:left="-20" w:right="-110"/>
              <w:jc w:val="center"/>
              <w:rPr>
                <w:color w:val="000000" w:themeColor="text1"/>
                <w:sz w:val="23"/>
                <w:szCs w:val="23"/>
                <w:shd w:val="clear" w:color="auto" w:fill="FFFFFF"/>
              </w:rPr>
            </w:pPr>
            <w:r w:rsidRPr="00957AB7">
              <w:rPr>
                <w:color w:val="000000" w:themeColor="text1"/>
                <w:sz w:val="23"/>
                <w:szCs w:val="23"/>
                <w:shd w:val="clear" w:color="auto" w:fill="FFFFFF"/>
              </w:rPr>
              <w:t>Cost Effectiveness</w:t>
            </w:r>
          </w:p>
        </w:tc>
      </w:tr>
      <w:tr w:rsidR="00957AB7" w:rsidRPr="00957AB7" w14:paraId="436030D9" w14:textId="77777777" w:rsidTr="008D0897">
        <w:trPr>
          <w:trHeight w:val="520"/>
        </w:trPr>
        <w:tc>
          <w:tcPr>
            <w:tcW w:w="1345" w:type="dxa"/>
            <w:vMerge/>
          </w:tcPr>
          <w:p w14:paraId="65A1C3C4" w14:textId="77777777" w:rsidR="00EA19F4" w:rsidRPr="00957AB7" w:rsidRDefault="00EA19F4" w:rsidP="00F36CD8">
            <w:pPr>
              <w:rPr>
                <w:color w:val="000000" w:themeColor="text1"/>
                <w:shd w:val="clear" w:color="auto" w:fill="FFFFFF"/>
              </w:rPr>
            </w:pPr>
          </w:p>
        </w:tc>
        <w:tc>
          <w:tcPr>
            <w:tcW w:w="1710" w:type="dxa"/>
            <w:vMerge/>
          </w:tcPr>
          <w:p w14:paraId="09E02434" w14:textId="77777777" w:rsidR="00EA19F4" w:rsidRPr="00957AB7" w:rsidRDefault="00EA19F4" w:rsidP="00F36CD8">
            <w:pPr>
              <w:rPr>
                <w:color w:val="000000" w:themeColor="text1"/>
                <w:shd w:val="clear" w:color="auto" w:fill="FFFFFF"/>
              </w:rPr>
            </w:pPr>
          </w:p>
        </w:tc>
        <w:tc>
          <w:tcPr>
            <w:tcW w:w="2250" w:type="dxa"/>
            <w:vMerge/>
          </w:tcPr>
          <w:p w14:paraId="76D984E0" w14:textId="77777777" w:rsidR="00EA19F4" w:rsidRPr="00957AB7" w:rsidRDefault="00EA19F4" w:rsidP="00F36CD8">
            <w:pPr>
              <w:rPr>
                <w:color w:val="000000" w:themeColor="text1"/>
                <w:shd w:val="clear" w:color="auto" w:fill="FFFFFF"/>
              </w:rPr>
            </w:pPr>
          </w:p>
        </w:tc>
        <w:tc>
          <w:tcPr>
            <w:tcW w:w="720" w:type="dxa"/>
            <w:vMerge/>
          </w:tcPr>
          <w:p w14:paraId="11CB891A" w14:textId="77777777" w:rsidR="00EA19F4" w:rsidRPr="00957AB7" w:rsidRDefault="00EA19F4" w:rsidP="00F36CD8">
            <w:pPr>
              <w:ind w:left="-110" w:right="-110"/>
              <w:jc w:val="center"/>
              <w:rPr>
                <w:color w:val="000000" w:themeColor="text1"/>
                <w:shd w:val="clear" w:color="auto" w:fill="FFFFFF"/>
              </w:rPr>
            </w:pPr>
          </w:p>
        </w:tc>
        <w:tc>
          <w:tcPr>
            <w:tcW w:w="900" w:type="dxa"/>
            <w:vMerge/>
          </w:tcPr>
          <w:p w14:paraId="48576A82" w14:textId="77777777" w:rsidR="00EA19F4" w:rsidRPr="00957AB7" w:rsidRDefault="00EA19F4" w:rsidP="00F36CD8">
            <w:pPr>
              <w:ind w:right="-110"/>
              <w:rPr>
                <w:color w:val="000000" w:themeColor="text1"/>
                <w:shd w:val="clear" w:color="auto" w:fill="FFFFFF"/>
              </w:rPr>
            </w:pPr>
          </w:p>
        </w:tc>
        <w:tc>
          <w:tcPr>
            <w:tcW w:w="630" w:type="dxa"/>
            <w:vMerge/>
          </w:tcPr>
          <w:p w14:paraId="5C9DE2AE" w14:textId="77777777" w:rsidR="00EA19F4" w:rsidRPr="00957AB7" w:rsidRDefault="00EA19F4" w:rsidP="00F36CD8">
            <w:pPr>
              <w:ind w:left="-90" w:right="-90"/>
              <w:jc w:val="center"/>
              <w:rPr>
                <w:color w:val="000000" w:themeColor="text1"/>
                <w:shd w:val="clear" w:color="auto" w:fill="FFFFFF"/>
              </w:rPr>
            </w:pPr>
          </w:p>
        </w:tc>
        <w:tc>
          <w:tcPr>
            <w:tcW w:w="720" w:type="dxa"/>
            <w:vMerge/>
          </w:tcPr>
          <w:p w14:paraId="300E04CE" w14:textId="77777777" w:rsidR="00EA19F4" w:rsidRPr="00957AB7" w:rsidRDefault="00EA19F4" w:rsidP="00F36CD8">
            <w:pPr>
              <w:rPr>
                <w:color w:val="000000" w:themeColor="text1"/>
                <w:shd w:val="clear" w:color="auto" w:fill="FFFFFF"/>
              </w:rPr>
            </w:pPr>
          </w:p>
        </w:tc>
        <w:tc>
          <w:tcPr>
            <w:tcW w:w="1260" w:type="dxa"/>
            <w:vMerge/>
          </w:tcPr>
          <w:p w14:paraId="24DB1347" w14:textId="77777777" w:rsidR="00EA19F4" w:rsidRPr="00957AB7" w:rsidRDefault="00EA19F4" w:rsidP="00F36CD8">
            <w:pPr>
              <w:ind w:left="-20" w:right="-110"/>
              <w:rPr>
                <w:color w:val="000000" w:themeColor="text1"/>
                <w:shd w:val="clear" w:color="auto" w:fill="FFFFFF"/>
              </w:rPr>
            </w:pPr>
          </w:p>
        </w:tc>
        <w:tc>
          <w:tcPr>
            <w:tcW w:w="1260" w:type="dxa"/>
            <w:vMerge/>
          </w:tcPr>
          <w:p w14:paraId="037F465D" w14:textId="77777777" w:rsidR="00EA19F4" w:rsidRPr="00957AB7" w:rsidRDefault="00EA19F4" w:rsidP="00F36CD8">
            <w:pPr>
              <w:ind w:right="-110"/>
              <w:rPr>
                <w:color w:val="000000" w:themeColor="text1"/>
                <w:shd w:val="clear" w:color="auto" w:fill="FFFFFF"/>
              </w:rPr>
            </w:pPr>
          </w:p>
        </w:tc>
        <w:tc>
          <w:tcPr>
            <w:tcW w:w="1265" w:type="dxa"/>
          </w:tcPr>
          <w:p w14:paraId="44BB20C5" w14:textId="77777777" w:rsidR="00EA19F4" w:rsidRPr="00957AB7" w:rsidRDefault="00EA19F4" w:rsidP="00F36CD8">
            <w:pPr>
              <w:ind w:left="-20" w:right="-110"/>
              <w:rPr>
                <w:color w:val="000000" w:themeColor="text1"/>
                <w:shd w:val="clear" w:color="auto" w:fill="FFFFFF"/>
              </w:rPr>
            </w:pPr>
            <w:r w:rsidRPr="00957AB7">
              <w:rPr>
                <w:color w:val="000000" w:themeColor="text1"/>
                <w:sz w:val="20"/>
                <w:szCs w:val="20"/>
                <w:shd w:val="clear" w:color="auto" w:fill="FFFFFF"/>
              </w:rPr>
              <w:t>S/N lb reduced/yr</w:t>
            </w:r>
          </w:p>
        </w:tc>
        <w:tc>
          <w:tcPr>
            <w:tcW w:w="1260" w:type="dxa"/>
          </w:tcPr>
          <w:p w14:paraId="59E50E3D" w14:textId="77777777" w:rsidR="00EA19F4" w:rsidRPr="00957AB7" w:rsidRDefault="00EA19F4" w:rsidP="00F36CD8">
            <w:pPr>
              <w:ind w:left="-20" w:right="-110"/>
              <w:rPr>
                <w:color w:val="000000" w:themeColor="text1"/>
                <w:shd w:val="clear" w:color="auto" w:fill="FFFFFF"/>
              </w:rPr>
            </w:pPr>
            <w:r w:rsidRPr="00957AB7">
              <w:rPr>
                <w:color w:val="000000" w:themeColor="text1"/>
                <w:sz w:val="20"/>
                <w:szCs w:val="20"/>
                <w:shd w:val="clear" w:color="auto" w:fill="FFFFFF"/>
              </w:rPr>
              <w:t>S/ P lb reduced/yr</w:t>
            </w:r>
          </w:p>
        </w:tc>
      </w:tr>
      <w:tr w:rsidR="00957AB7" w:rsidRPr="00957AB7" w14:paraId="449E1DF0" w14:textId="77777777" w:rsidTr="008D0897">
        <w:trPr>
          <w:trHeight w:val="874"/>
        </w:trPr>
        <w:tc>
          <w:tcPr>
            <w:tcW w:w="1345" w:type="dxa"/>
          </w:tcPr>
          <w:p w14:paraId="5C3EC3E1" w14:textId="77777777" w:rsidR="00EA19F4" w:rsidRPr="00957AB7" w:rsidRDefault="00EA19F4" w:rsidP="00F36CD8">
            <w:pPr>
              <w:spacing w:before="40"/>
              <w:ind w:right="-90"/>
              <w:rPr>
                <w:color w:val="000000" w:themeColor="text1"/>
                <w:sz w:val="20"/>
                <w:szCs w:val="20"/>
                <w:shd w:val="clear" w:color="auto" w:fill="FFFFFF"/>
              </w:rPr>
            </w:pPr>
            <w:r w:rsidRPr="00957AB7">
              <w:rPr>
                <w:color w:val="000000" w:themeColor="text1"/>
                <w:sz w:val="20"/>
                <w:szCs w:val="20"/>
                <w:shd w:val="clear" w:color="auto" w:fill="FFFFFF"/>
              </w:rPr>
              <w:t>Bonham et al. (2006)</w:t>
            </w:r>
          </w:p>
        </w:tc>
        <w:tc>
          <w:tcPr>
            <w:tcW w:w="1710" w:type="dxa"/>
          </w:tcPr>
          <w:p w14:paraId="6EED80C7" w14:textId="77777777" w:rsidR="00EA19F4" w:rsidRPr="00957AB7" w:rsidRDefault="00EA19F4" w:rsidP="00F36CD8">
            <w:pPr>
              <w:spacing w:before="40"/>
              <w:ind w:right="-110"/>
              <w:rPr>
                <w:color w:val="000000" w:themeColor="text1"/>
                <w:sz w:val="20"/>
                <w:szCs w:val="20"/>
                <w:shd w:val="clear" w:color="auto" w:fill="FFFFFF"/>
              </w:rPr>
            </w:pPr>
            <w:r w:rsidRPr="00957AB7">
              <w:rPr>
                <w:color w:val="000000" w:themeColor="text1"/>
                <w:sz w:val="20"/>
                <w:szCs w:val="20"/>
                <w:shd w:val="clear" w:color="auto" w:fill="FFFFFF"/>
              </w:rPr>
              <w:t>Farm-specific VA; multirepresenta-tive scenario without location</w:t>
            </w:r>
          </w:p>
        </w:tc>
        <w:tc>
          <w:tcPr>
            <w:tcW w:w="2250" w:type="dxa"/>
          </w:tcPr>
          <w:p w14:paraId="28723DAB" w14:textId="77777777" w:rsidR="00EA19F4" w:rsidRPr="00957AB7" w:rsidRDefault="00EA19F4" w:rsidP="00F36CD8">
            <w:pPr>
              <w:spacing w:before="40"/>
              <w:ind w:right="-90"/>
              <w:rPr>
                <w:color w:val="000000" w:themeColor="text1"/>
                <w:sz w:val="20"/>
                <w:szCs w:val="20"/>
                <w:shd w:val="clear" w:color="auto" w:fill="FFFFFF"/>
              </w:rPr>
            </w:pPr>
            <w:r w:rsidRPr="00957AB7">
              <w:rPr>
                <w:color w:val="000000" w:themeColor="text1"/>
                <w:sz w:val="20"/>
                <w:szCs w:val="20"/>
                <w:shd w:val="clear" w:color="auto" w:fill="FFFFFF"/>
              </w:rPr>
              <w:t xml:space="preserve">Model analytic approach, </w:t>
            </w:r>
          </w:p>
          <w:p w14:paraId="41B487D6" w14:textId="77777777" w:rsidR="00EA19F4" w:rsidRPr="00957AB7" w:rsidRDefault="00EA19F4" w:rsidP="00F36CD8">
            <w:pPr>
              <w:spacing w:before="40"/>
              <w:ind w:right="-90"/>
              <w:rPr>
                <w:color w:val="000000" w:themeColor="text1"/>
                <w:sz w:val="20"/>
                <w:szCs w:val="20"/>
                <w:shd w:val="clear" w:color="auto" w:fill="FFFFFF"/>
              </w:rPr>
            </w:pPr>
            <w:r w:rsidRPr="00957AB7">
              <w:rPr>
                <w:color w:val="000000" w:themeColor="text1"/>
                <w:sz w:val="20"/>
                <w:szCs w:val="20"/>
                <w:shd w:val="clear" w:color="auto" w:fill="FFFFFF"/>
              </w:rPr>
              <w:t>FARM-PLAN.</w:t>
            </w:r>
          </w:p>
        </w:tc>
        <w:tc>
          <w:tcPr>
            <w:tcW w:w="720" w:type="dxa"/>
          </w:tcPr>
          <w:p w14:paraId="45CBF7DB"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2006</w:t>
            </w:r>
          </w:p>
        </w:tc>
        <w:tc>
          <w:tcPr>
            <w:tcW w:w="900" w:type="dxa"/>
          </w:tcPr>
          <w:p w14:paraId="3CF0619A" w14:textId="77777777" w:rsidR="00EA19F4" w:rsidRPr="00957AB7" w:rsidRDefault="00EA19F4" w:rsidP="00F36CD8">
            <w:pPr>
              <w:spacing w:before="60"/>
              <w:ind w:right="-11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630" w:type="dxa"/>
          </w:tcPr>
          <w:p w14:paraId="6CDD3100"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720" w:type="dxa"/>
          </w:tcPr>
          <w:p w14:paraId="7CADC7F4"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Buffer</w:t>
            </w:r>
          </w:p>
        </w:tc>
        <w:tc>
          <w:tcPr>
            <w:tcW w:w="1260" w:type="dxa"/>
          </w:tcPr>
          <w:p w14:paraId="31DCDEB1"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0" w:type="dxa"/>
          </w:tcPr>
          <w:p w14:paraId="0157FA4E"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0.2</w:t>
            </w:r>
            <w:r w:rsidRPr="00957AB7">
              <w:rPr>
                <w:color w:val="000000" w:themeColor="text1"/>
                <w:sz w:val="20"/>
                <w:szCs w:val="20"/>
                <w:shd w:val="clear" w:color="auto" w:fill="FFFFFF"/>
                <w:vertAlign w:val="superscript"/>
              </w:rPr>
              <w:t>c</w:t>
            </w:r>
          </w:p>
        </w:tc>
        <w:tc>
          <w:tcPr>
            <w:tcW w:w="1265" w:type="dxa"/>
          </w:tcPr>
          <w:p w14:paraId="272A392F"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0" w:type="dxa"/>
          </w:tcPr>
          <w:p w14:paraId="19E0986B"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$961/ FSS</w:t>
            </w:r>
          </w:p>
          <w:p w14:paraId="584405C4" w14:textId="77777777" w:rsidR="00EA19F4" w:rsidRPr="00957AB7" w:rsidRDefault="00EA19F4" w:rsidP="00F36CD8">
            <w:pPr>
              <w:spacing w:before="60"/>
              <w:ind w:right="-90"/>
              <w:jc w:val="center"/>
              <w:rPr>
                <w:color w:val="000000" w:themeColor="text1"/>
                <w:sz w:val="20"/>
                <w:szCs w:val="20"/>
                <w:shd w:val="clear" w:color="auto" w:fill="FFFFFF"/>
              </w:rPr>
            </w:pPr>
            <w:r w:rsidRPr="00957AB7">
              <w:rPr>
                <w:color w:val="000000" w:themeColor="text1"/>
                <w:sz w:val="20"/>
                <w:szCs w:val="20"/>
                <w:shd w:val="clear" w:color="auto" w:fill="FFFFFF"/>
              </w:rPr>
              <w:t>$39/ MS</w:t>
            </w:r>
          </w:p>
        </w:tc>
      </w:tr>
      <w:tr w:rsidR="00957AB7" w:rsidRPr="00957AB7" w14:paraId="2761B01A" w14:textId="77777777" w:rsidTr="008D0897">
        <w:trPr>
          <w:trHeight w:val="611"/>
        </w:trPr>
        <w:tc>
          <w:tcPr>
            <w:tcW w:w="1345" w:type="dxa"/>
            <w:vMerge w:val="restart"/>
          </w:tcPr>
          <w:p w14:paraId="00EF4760" w14:textId="77777777" w:rsidR="00EA19F4" w:rsidRPr="00957AB7" w:rsidRDefault="00EA19F4" w:rsidP="00F36CD8">
            <w:pPr>
              <w:spacing w:before="40"/>
              <w:ind w:right="-90"/>
              <w:rPr>
                <w:color w:val="000000" w:themeColor="text1"/>
                <w:sz w:val="20"/>
                <w:szCs w:val="20"/>
                <w:shd w:val="clear" w:color="auto" w:fill="FFFFFF"/>
              </w:rPr>
            </w:pPr>
            <w:r w:rsidRPr="00957AB7">
              <w:rPr>
                <w:color w:val="000000" w:themeColor="text1"/>
                <w:sz w:val="20"/>
                <w:szCs w:val="20"/>
                <w:shd w:val="clear" w:color="auto" w:fill="FFFFFF"/>
              </w:rPr>
              <w:t>Wieland et al. (2009)</w:t>
            </w:r>
          </w:p>
        </w:tc>
        <w:tc>
          <w:tcPr>
            <w:tcW w:w="1710" w:type="dxa"/>
            <w:vMerge w:val="restart"/>
          </w:tcPr>
          <w:p w14:paraId="7691D06A" w14:textId="77777777"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MD, geographic provinces &amp; geological types</w:t>
            </w:r>
          </w:p>
        </w:tc>
        <w:tc>
          <w:tcPr>
            <w:tcW w:w="2250" w:type="dxa"/>
            <w:vMerge w:val="restart"/>
          </w:tcPr>
          <w:p w14:paraId="52F56898" w14:textId="77777777" w:rsidR="00EA19F4" w:rsidRPr="00957AB7" w:rsidRDefault="00EA19F4" w:rsidP="00F36CD8">
            <w:pPr>
              <w:spacing w:before="40" w:after="20"/>
              <w:ind w:right="-90"/>
              <w:rPr>
                <w:color w:val="000000" w:themeColor="text1"/>
                <w:sz w:val="20"/>
                <w:szCs w:val="20"/>
                <w:shd w:val="clear" w:color="auto" w:fill="FFFFFF"/>
              </w:rPr>
            </w:pPr>
            <w:r w:rsidRPr="00957AB7">
              <w:rPr>
                <w:color w:val="000000" w:themeColor="text1"/>
                <w:sz w:val="20"/>
                <w:szCs w:val="20"/>
                <w:shd w:val="clear" w:color="auto" w:fill="FFFFFF"/>
              </w:rPr>
              <w:t>Constructed annual cost comprised of average itemized establishment cost, incentives, and rental payments.</w:t>
            </w:r>
          </w:p>
        </w:tc>
        <w:tc>
          <w:tcPr>
            <w:tcW w:w="720" w:type="dxa"/>
            <w:vMerge w:val="restart"/>
          </w:tcPr>
          <w:p w14:paraId="2BBA7ECA"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2007</w:t>
            </w:r>
          </w:p>
        </w:tc>
        <w:tc>
          <w:tcPr>
            <w:tcW w:w="900" w:type="dxa"/>
            <w:vMerge w:val="restart"/>
          </w:tcPr>
          <w:p w14:paraId="2C9ED09E" w14:textId="77777777" w:rsidR="00EA19F4" w:rsidRPr="00957AB7" w:rsidRDefault="00EA19F4" w:rsidP="00F36CD8">
            <w:pPr>
              <w:spacing w:before="60"/>
              <w:ind w:right="-110"/>
              <w:jc w:val="center"/>
              <w:rPr>
                <w:color w:val="000000" w:themeColor="text1"/>
                <w:sz w:val="20"/>
                <w:szCs w:val="20"/>
                <w:shd w:val="clear" w:color="auto" w:fill="FFFFFF"/>
              </w:rPr>
            </w:pPr>
            <w:r w:rsidRPr="00957AB7">
              <w:rPr>
                <w:color w:val="000000" w:themeColor="text1"/>
                <w:sz w:val="20"/>
                <w:szCs w:val="20"/>
                <w:shd w:val="clear" w:color="auto" w:fill="FFFFFF"/>
              </w:rPr>
              <w:t>5</w:t>
            </w:r>
          </w:p>
        </w:tc>
        <w:tc>
          <w:tcPr>
            <w:tcW w:w="630" w:type="dxa"/>
            <w:vMerge w:val="restart"/>
          </w:tcPr>
          <w:p w14:paraId="63B610F1"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5%</w:t>
            </w:r>
          </w:p>
        </w:tc>
        <w:tc>
          <w:tcPr>
            <w:tcW w:w="720" w:type="dxa"/>
          </w:tcPr>
          <w:p w14:paraId="5AB4DBB2"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RGB</w:t>
            </w:r>
          </w:p>
        </w:tc>
        <w:tc>
          <w:tcPr>
            <w:tcW w:w="1260" w:type="dxa"/>
          </w:tcPr>
          <w:p w14:paraId="675D15F3"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20.3-45.3</w:t>
            </w:r>
          </w:p>
        </w:tc>
        <w:tc>
          <w:tcPr>
            <w:tcW w:w="1260" w:type="dxa"/>
          </w:tcPr>
          <w:p w14:paraId="792006C2"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5" w:type="dxa"/>
          </w:tcPr>
          <w:p w14:paraId="5CB02780"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$1.67-$6.76</w:t>
            </w:r>
          </w:p>
        </w:tc>
        <w:tc>
          <w:tcPr>
            <w:tcW w:w="1260" w:type="dxa"/>
          </w:tcPr>
          <w:p w14:paraId="6CE85069"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r>
      <w:tr w:rsidR="00957AB7" w:rsidRPr="00957AB7" w14:paraId="0FD1F461" w14:textId="77777777" w:rsidTr="008D0897">
        <w:trPr>
          <w:trHeight w:val="611"/>
        </w:trPr>
        <w:tc>
          <w:tcPr>
            <w:tcW w:w="1345" w:type="dxa"/>
            <w:vMerge/>
          </w:tcPr>
          <w:p w14:paraId="69AD94E8" w14:textId="77777777" w:rsidR="00EA19F4" w:rsidRPr="00957AB7" w:rsidRDefault="00EA19F4" w:rsidP="00F36CD8">
            <w:pPr>
              <w:spacing w:before="40"/>
              <w:ind w:right="-90"/>
              <w:rPr>
                <w:color w:val="000000" w:themeColor="text1"/>
                <w:sz w:val="20"/>
                <w:szCs w:val="20"/>
                <w:shd w:val="clear" w:color="auto" w:fill="FFFFFF"/>
              </w:rPr>
            </w:pPr>
          </w:p>
        </w:tc>
        <w:tc>
          <w:tcPr>
            <w:tcW w:w="1710" w:type="dxa"/>
            <w:vMerge/>
          </w:tcPr>
          <w:p w14:paraId="433682B7" w14:textId="77777777" w:rsidR="00EA19F4" w:rsidRPr="00957AB7" w:rsidRDefault="00EA19F4" w:rsidP="00F36CD8">
            <w:pPr>
              <w:spacing w:before="40"/>
              <w:rPr>
                <w:color w:val="000000" w:themeColor="text1"/>
                <w:sz w:val="20"/>
                <w:szCs w:val="20"/>
                <w:shd w:val="clear" w:color="auto" w:fill="FFFFFF"/>
              </w:rPr>
            </w:pPr>
          </w:p>
        </w:tc>
        <w:tc>
          <w:tcPr>
            <w:tcW w:w="2250" w:type="dxa"/>
            <w:vMerge/>
          </w:tcPr>
          <w:p w14:paraId="1D4178AE" w14:textId="77777777" w:rsidR="00EA19F4" w:rsidRPr="00957AB7" w:rsidRDefault="00EA19F4" w:rsidP="00F36CD8">
            <w:pPr>
              <w:spacing w:before="40" w:after="20"/>
              <w:rPr>
                <w:color w:val="000000" w:themeColor="text1"/>
                <w:sz w:val="20"/>
                <w:szCs w:val="20"/>
                <w:shd w:val="clear" w:color="auto" w:fill="FFFFFF"/>
              </w:rPr>
            </w:pPr>
          </w:p>
        </w:tc>
        <w:tc>
          <w:tcPr>
            <w:tcW w:w="720" w:type="dxa"/>
            <w:vMerge/>
          </w:tcPr>
          <w:p w14:paraId="73BF68A6" w14:textId="77777777" w:rsidR="00EA19F4" w:rsidRPr="00957AB7" w:rsidRDefault="00EA19F4" w:rsidP="00F36CD8">
            <w:pPr>
              <w:spacing w:before="60"/>
              <w:jc w:val="center"/>
              <w:rPr>
                <w:color w:val="000000" w:themeColor="text1"/>
                <w:sz w:val="20"/>
                <w:szCs w:val="20"/>
                <w:shd w:val="clear" w:color="auto" w:fill="FFFFFF"/>
              </w:rPr>
            </w:pPr>
          </w:p>
        </w:tc>
        <w:tc>
          <w:tcPr>
            <w:tcW w:w="900" w:type="dxa"/>
            <w:vMerge/>
          </w:tcPr>
          <w:p w14:paraId="111EA66A" w14:textId="77777777" w:rsidR="00EA19F4" w:rsidRPr="00957AB7" w:rsidRDefault="00EA19F4" w:rsidP="00F36CD8">
            <w:pPr>
              <w:spacing w:before="60"/>
              <w:ind w:right="-110"/>
              <w:jc w:val="center"/>
              <w:rPr>
                <w:color w:val="000000" w:themeColor="text1"/>
                <w:sz w:val="20"/>
                <w:szCs w:val="20"/>
                <w:shd w:val="clear" w:color="auto" w:fill="FFFFFF"/>
              </w:rPr>
            </w:pPr>
          </w:p>
        </w:tc>
        <w:tc>
          <w:tcPr>
            <w:tcW w:w="630" w:type="dxa"/>
            <w:vMerge/>
          </w:tcPr>
          <w:p w14:paraId="5FE2D898" w14:textId="77777777" w:rsidR="00EA19F4" w:rsidRPr="00957AB7" w:rsidRDefault="00EA19F4" w:rsidP="00F36CD8">
            <w:pPr>
              <w:spacing w:before="60"/>
              <w:jc w:val="center"/>
              <w:rPr>
                <w:color w:val="000000" w:themeColor="text1"/>
                <w:sz w:val="20"/>
                <w:szCs w:val="20"/>
                <w:shd w:val="clear" w:color="auto" w:fill="FFFFFF"/>
              </w:rPr>
            </w:pPr>
          </w:p>
        </w:tc>
        <w:tc>
          <w:tcPr>
            <w:tcW w:w="720" w:type="dxa"/>
          </w:tcPr>
          <w:p w14:paraId="1C9C1FE1"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RFB</w:t>
            </w:r>
          </w:p>
        </w:tc>
        <w:tc>
          <w:tcPr>
            <w:tcW w:w="1260" w:type="dxa"/>
          </w:tcPr>
          <w:p w14:paraId="2C7FBA5B"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22.1-50.0</w:t>
            </w:r>
          </w:p>
        </w:tc>
        <w:tc>
          <w:tcPr>
            <w:tcW w:w="1260" w:type="dxa"/>
          </w:tcPr>
          <w:p w14:paraId="3B1CF0B4"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5" w:type="dxa"/>
          </w:tcPr>
          <w:p w14:paraId="604AF358"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$1.57-$6.79</w:t>
            </w:r>
          </w:p>
        </w:tc>
        <w:tc>
          <w:tcPr>
            <w:tcW w:w="1260" w:type="dxa"/>
          </w:tcPr>
          <w:p w14:paraId="36665B86"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r>
      <w:tr w:rsidR="00957AB7" w:rsidRPr="00957AB7" w14:paraId="4000753D" w14:textId="77777777" w:rsidTr="008D0897">
        <w:trPr>
          <w:trHeight w:val="494"/>
        </w:trPr>
        <w:tc>
          <w:tcPr>
            <w:tcW w:w="1345" w:type="dxa"/>
          </w:tcPr>
          <w:p w14:paraId="0498F8C5" w14:textId="77777777" w:rsidR="00EA19F4" w:rsidRPr="00957AB7" w:rsidRDefault="00EA19F4" w:rsidP="00F36CD8">
            <w:pPr>
              <w:spacing w:before="40"/>
              <w:ind w:right="-90"/>
              <w:rPr>
                <w:color w:val="000000" w:themeColor="text1"/>
                <w:sz w:val="20"/>
                <w:szCs w:val="20"/>
                <w:shd w:val="clear" w:color="auto" w:fill="FFFFFF"/>
              </w:rPr>
            </w:pPr>
            <w:r w:rsidRPr="00957AB7">
              <w:rPr>
                <w:color w:val="000000" w:themeColor="text1"/>
                <w:sz w:val="20"/>
                <w:szCs w:val="20"/>
                <w:shd w:val="clear" w:color="auto" w:fill="FFFFFF"/>
              </w:rPr>
              <w:t>Jones et al. (2010)</w:t>
            </w:r>
          </w:p>
        </w:tc>
        <w:tc>
          <w:tcPr>
            <w:tcW w:w="1710" w:type="dxa"/>
          </w:tcPr>
          <w:p w14:paraId="7B8C54A3" w14:textId="77777777"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Chesapeake Bay (CB)</w:t>
            </w:r>
          </w:p>
        </w:tc>
        <w:tc>
          <w:tcPr>
            <w:tcW w:w="2250" w:type="dxa"/>
          </w:tcPr>
          <w:p w14:paraId="5197DE76" w14:textId="77777777" w:rsidR="00EA19F4" w:rsidRPr="00957AB7" w:rsidRDefault="00EA19F4" w:rsidP="00F36CD8">
            <w:pPr>
              <w:spacing w:before="40" w:after="20"/>
              <w:ind w:right="-90"/>
              <w:rPr>
                <w:color w:val="000000" w:themeColor="text1"/>
                <w:sz w:val="20"/>
                <w:szCs w:val="20"/>
                <w:shd w:val="clear" w:color="auto" w:fill="FFFFFF"/>
              </w:rPr>
            </w:pPr>
            <w:r w:rsidRPr="00957AB7">
              <w:rPr>
                <w:color w:val="000000" w:themeColor="text1"/>
                <w:sz w:val="20"/>
                <w:szCs w:val="20"/>
                <w:shd w:val="clear" w:color="auto" w:fill="FFFFFF"/>
              </w:rPr>
              <w:t>Summary of costs from number of studies.</w:t>
            </w:r>
          </w:p>
        </w:tc>
        <w:tc>
          <w:tcPr>
            <w:tcW w:w="720" w:type="dxa"/>
          </w:tcPr>
          <w:p w14:paraId="4A3E2869"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900" w:type="dxa"/>
          </w:tcPr>
          <w:p w14:paraId="4DA1324A" w14:textId="77777777" w:rsidR="00EA19F4" w:rsidRPr="00957AB7" w:rsidRDefault="00EA19F4" w:rsidP="00F36CD8">
            <w:pPr>
              <w:spacing w:before="60"/>
              <w:ind w:right="-110"/>
              <w:jc w:val="center"/>
              <w:rPr>
                <w:color w:val="000000" w:themeColor="text1"/>
                <w:sz w:val="20"/>
                <w:szCs w:val="20"/>
                <w:shd w:val="clear" w:color="auto" w:fill="FFFFFF"/>
              </w:rPr>
            </w:pPr>
            <w:r w:rsidRPr="00957AB7">
              <w:rPr>
                <w:color w:val="000000" w:themeColor="text1"/>
                <w:sz w:val="20"/>
                <w:szCs w:val="20"/>
                <w:shd w:val="clear" w:color="auto" w:fill="FFFFFF"/>
              </w:rPr>
              <w:t>5</w:t>
            </w:r>
          </w:p>
        </w:tc>
        <w:tc>
          <w:tcPr>
            <w:tcW w:w="630" w:type="dxa"/>
          </w:tcPr>
          <w:p w14:paraId="3C131B2C"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720" w:type="dxa"/>
          </w:tcPr>
          <w:p w14:paraId="44063C1A"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GB</w:t>
            </w:r>
          </w:p>
        </w:tc>
        <w:tc>
          <w:tcPr>
            <w:tcW w:w="1260" w:type="dxa"/>
          </w:tcPr>
          <w:p w14:paraId="3E3C9879"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0" w:type="dxa"/>
          </w:tcPr>
          <w:p w14:paraId="35B22A6E"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5" w:type="dxa"/>
          </w:tcPr>
          <w:p w14:paraId="0F129AF3"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$3.2</w:t>
            </w:r>
          </w:p>
        </w:tc>
        <w:tc>
          <w:tcPr>
            <w:tcW w:w="1260" w:type="dxa"/>
          </w:tcPr>
          <w:p w14:paraId="57CF1FB6" w14:textId="77777777" w:rsidR="00EA19F4" w:rsidRPr="00957AB7" w:rsidRDefault="00EA19F4" w:rsidP="00F36CD8">
            <w:pPr>
              <w:spacing w:before="60"/>
              <w:ind w:left="-110"/>
              <w:jc w:val="center"/>
              <w:rPr>
                <w:color w:val="000000" w:themeColor="text1"/>
                <w:sz w:val="20"/>
                <w:szCs w:val="20"/>
                <w:shd w:val="clear" w:color="auto" w:fill="FFFFFF"/>
              </w:rPr>
            </w:pPr>
            <w:r w:rsidRPr="00957AB7">
              <w:rPr>
                <w:color w:val="000000" w:themeColor="text1"/>
                <w:sz w:val="20"/>
                <w:szCs w:val="20"/>
                <w:shd w:val="clear" w:color="auto" w:fill="FFFFFF"/>
              </w:rPr>
              <w:t>–</w:t>
            </w:r>
          </w:p>
        </w:tc>
      </w:tr>
      <w:tr w:rsidR="00957AB7" w:rsidRPr="00957AB7" w14:paraId="128D418F" w14:textId="77777777" w:rsidTr="008D0897">
        <w:trPr>
          <w:trHeight w:val="494"/>
        </w:trPr>
        <w:tc>
          <w:tcPr>
            <w:tcW w:w="1345" w:type="dxa"/>
            <w:vMerge w:val="restart"/>
          </w:tcPr>
          <w:p w14:paraId="6C9E831E" w14:textId="77777777" w:rsidR="00EA19F4" w:rsidRPr="00957AB7" w:rsidRDefault="00EA19F4" w:rsidP="00F36CD8">
            <w:pPr>
              <w:spacing w:before="40"/>
              <w:ind w:right="-90"/>
              <w:rPr>
                <w:color w:val="000000" w:themeColor="text1"/>
                <w:sz w:val="20"/>
                <w:szCs w:val="20"/>
                <w:shd w:val="clear" w:color="auto" w:fill="FFFFFF"/>
              </w:rPr>
            </w:pPr>
            <w:r w:rsidRPr="00957AB7">
              <w:rPr>
                <w:color w:val="000000" w:themeColor="text1"/>
                <w:sz w:val="20"/>
                <w:szCs w:val="20"/>
                <w:shd w:val="clear" w:color="auto" w:fill="FFFFFF"/>
              </w:rPr>
              <w:t>Van Houtven et al. (2012)</w:t>
            </w:r>
          </w:p>
        </w:tc>
        <w:tc>
          <w:tcPr>
            <w:tcW w:w="1710" w:type="dxa"/>
            <w:vMerge w:val="restart"/>
          </w:tcPr>
          <w:p w14:paraId="18190D90" w14:textId="77777777"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CB</w:t>
            </w:r>
          </w:p>
        </w:tc>
        <w:tc>
          <w:tcPr>
            <w:tcW w:w="2250" w:type="dxa"/>
            <w:vMerge w:val="restart"/>
          </w:tcPr>
          <w:p w14:paraId="142A03F0" w14:textId="77777777" w:rsidR="00EA19F4" w:rsidRPr="00957AB7" w:rsidRDefault="00EA19F4" w:rsidP="00F36CD8">
            <w:pPr>
              <w:spacing w:before="40" w:after="20"/>
              <w:ind w:right="-90"/>
              <w:rPr>
                <w:color w:val="000000" w:themeColor="text1"/>
                <w:sz w:val="20"/>
                <w:szCs w:val="20"/>
                <w:shd w:val="clear" w:color="auto" w:fill="FFFFFF"/>
              </w:rPr>
            </w:pPr>
            <w:r w:rsidRPr="00957AB7">
              <w:rPr>
                <w:color w:val="000000" w:themeColor="text1"/>
                <w:sz w:val="20"/>
                <w:szCs w:val="20"/>
                <w:shd w:val="clear" w:color="auto" w:fill="FFFFFF"/>
              </w:rPr>
              <w:t>Constructed annualized cost comprised of capital cost, O&amp;M, opportunity &amp; transaction costs.</w:t>
            </w:r>
          </w:p>
        </w:tc>
        <w:tc>
          <w:tcPr>
            <w:tcW w:w="720" w:type="dxa"/>
            <w:vMerge w:val="restart"/>
          </w:tcPr>
          <w:p w14:paraId="2AE5D1A0"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2010</w:t>
            </w:r>
          </w:p>
        </w:tc>
        <w:tc>
          <w:tcPr>
            <w:tcW w:w="900" w:type="dxa"/>
            <w:vMerge w:val="restart"/>
          </w:tcPr>
          <w:p w14:paraId="4DA7ACE2" w14:textId="77777777" w:rsidR="00EA19F4" w:rsidRPr="00957AB7" w:rsidRDefault="00EA19F4" w:rsidP="00F36CD8">
            <w:pPr>
              <w:spacing w:before="60"/>
              <w:ind w:right="-110"/>
              <w:jc w:val="center"/>
              <w:rPr>
                <w:color w:val="000000" w:themeColor="text1"/>
                <w:sz w:val="20"/>
                <w:szCs w:val="20"/>
                <w:shd w:val="clear" w:color="auto" w:fill="FFFFFF"/>
              </w:rPr>
            </w:pPr>
            <w:r w:rsidRPr="00957AB7">
              <w:rPr>
                <w:color w:val="000000" w:themeColor="text1"/>
                <w:sz w:val="20"/>
                <w:szCs w:val="20"/>
                <w:shd w:val="clear" w:color="auto" w:fill="FFFFFF"/>
              </w:rPr>
              <w:t>5</w:t>
            </w:r>
          </w:p>
        </w:tc>
        <w:tc>
          <w:tcPr>
            <w:tcW w:w="630" w:type="dxa"/>
            <w:vMerge w:val="restart"/>
          </w:tcPr>
          <w:p w14:paraId="34A03810"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7%</w:t>
            </w:r>
          </w:p>
        </w:tc>
        <w:tc>
          <w:tcPr>
            <w:tcW w:w="720" w:type="dxa"/>
          </w:tcPr>
          <w:p w14:paraId="01938F1D"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GB</w:t>
            </w:r>
          </w:p>
        </w:tc>
        <w:tc>
          <w:tcPr>
            <w:tcW w:w="1260" w:type="dxa"/>
          </w:tcPr>
          <w:p w14:paraId="14E60216"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NA</w:t>
            </w:r>
          </w:p>
        </w:tc>
        <w:tc>
          <w:tcPr>
            <w:tcW w:w="1260" w:type="dxa"/>
          </w:tcPr>
          <w:p w14:paraId="56EAC276"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NA</w:t>
            </w:r>
          </w:p>
        </w:tc>
        <w:tc>
          <w:tcPr>
            <w:tcW w:w="1265" w:type="dxa"/>
          </w:tcPr>
          <w:p w14:paraId="0732FE40"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Below $50</w:t>
            </w:r>
          </w:p>
        </w:tc>
        <w:tc>
          <w:tcPr>
            <w:tcW w:w="1260" w:type="dxa"/>
          </w:tcPr>
          <w:p w14:paraId="4A50A315" w14:textId="77777777" w:rsidR="00EA19F4" w:rsidRPr="00957AB7" w:rsidRDefault="00EA19F4" w:rsidP="00F36CD8">
            <w:pPr>
              <w:spacing w:before="60"/>
              <w:ind w:left="-110"/>
              <w:jc w:val="center"/>
              <w:rPr>
                <w:color w:val="000000" w:themeColor="text1"/>
                <w:sz w:val="20"/>
                <w:szCs w:val="20"/>
                <w:shd w:val="clear" w:color="auto" w:fill="FFFFFF"/>
              </w:rPr>
            </w:pPr>
            <w:r w:rsidRPr="00957AB7">
              <w:rPr>
                <w:color w:val="000000" w:themeColor="text1"/>
                <w:sz w:val="20"/>
                <w:szCs w:val="20"/>
                <w:shd w:val="clear" w:color="auto" w:fill="FFFFFF"/>
              </w:rPr>
              <w:t>Below $600</w:t>
            </w:r>
          </w:p>
        </w:tc>
      </w:tr>
      <w:tr w:rsidR="00957AB7" w:rsidRPr="00957AB7" w14:paraId="6B0100D9" w14:textId="77777777" w:rsidTr="008D0897">
        <w:trPr>
          <w:trHeight w:val="494"/>
        </w:trPr>
        <w:tc>
          <w:tcPr>
            <w:tcW w:w="1345" w:type="dxa"/>
            <w:vMerge/>
          </w:tcPr>
          <w:p w14:paraId="5018D820" w14:textId="77777777" w:rsidR="00EA19F4" w:rsidRPr="00957AB7" w:rsidRDefault="00EA19F4" w:rsidP="00F36CD8">
            <w:pPr>
              <w:spacing w:before="40"/>
              <w:ind w:right="-90"/>
              <w:rPr>
                <w:color w:val="000000" w:themeColor="text1"/>
                <w:sz w:val="20"/>
                <w:szCs w:val="20"/>
                <w:shd w:val="clear" w:color="auto" w:fill="FFFFFF"/>
              </w:rPr>
            </w:pPr>
          </w:p>
        </w:tc>
        <w:tc>
          <w:tcPr>
            <w:tcW w:w="1710" w:type="dxa"/>
            <w:vMerge/>
          </w:tcPr>
          <w:p w14:paraId="642820E9" w14:textId="77777777" w:rsidR="00EA19F4" w:rsidRPr="00957AB7" w:rsidRDefault="00EA19F4" w:rsidP="00F36CD8">
            <w:pPr>
              <w:spacing w:before="40"/>
              <w:rPr>
                <w:color w:val="000000" w:themeColor="text1"/>
                <w:sz w:val="20"/>
                <w:szCs w:val="20"/>
                <w:shd w:val="clear" w:color="auto" w:fill="FFFFFF"/>
              </w:rPr>
            </w:pPr>
          </w:p>
        </w:tc>
        <w:tc>
          <w:tcPr>
            <w:tcW w:w="2250" w:type="dxa"/>
            <w:vMerge/>
          </w:tcPr>
          <w:p w14:paraId="728369F3" w14:textId="77777777" w:rsidR="00EA19F4" w:rsidRPr="00957AB7" w:rsidRDefault="00EA19F4" w:rsidP="00F36CD8">
            <w:pPr>
              <w:spacing w:before="40" w:after="20"/>
              <w:ind w:right="-90"/>
              <w:rPr>
                <w:color w:val="000000" w:themeColor="text1"/>
                <w:sz w:val="20"/>
                <w:szCs w:val="20"/>
                <w:shd w:val="clear" w:color="auto" w:fill="FFFFFF"/>
              </w:rPr>
            </w:pPr>
          </w:p>
        </w:tc>
        <w:tc>
          <w:tcPr>
            <w:tcW w:w="720" w:type="dxa"/>
            <w:vMerge/>
          </w:tcPr>
          <w:p w14:paraId="36849147" w14:textId="77777777" w:rsidR="00EA19F4" w:rsidRPr="00957AB7" w:rsidRDefault="00EA19F4" w:rsidP="00F36CD8">
            <w:pPr>
              <w:spacing w:before="60"/>
              <w:jc w:val="center"/>
              <w:rPr>
                <w:color w:val="000000" w:themeColor="text1"/>
                <w:sz w:val="20"/>
                <w:szCs w:val="20"/>
                <w:shd w:val="clear" w:color="auto" w:fill="FFFFFF"/>
              </w:rPr>
            </w:pPr>
          </w:p>
        </w:tc>
        <w:tc>
          <w:tcPr>
            <w:tcW w:w="900" w:type="dxa"/>
            <w:vMerge/>
          </w:tcPr>
          <w:p w14:paraId="16C63054" w14:textId="77777777" w:rsidR="00EA19F4" w:rsidRPr="00957AB7" w:rsidRDefault="00EA19F4" w:rsidP="00F36CD8">
            <w:pPr>
              <w:spacing w:before="60"/>
              <w:ind w:right="-110"/>
              <w:jc w:val="center"/>
              <w:rPr>
                <w:color w:val="000000" w:themeColor="text1"/>
                <w:sz w:val="20"/>
                <w:szCs w:val="20"/>
                <w:shd w:val="clear" w:color="auto" w:fill="FFFFFF"/>
              </w:rPr>
            </w:pPr>
          </w:p>
        </w:tc>
        <w:tc>
          <w:tcPr>
            <w:tcW w:w="630" w:type="dxa"/>
            <w:vMerge/>
          </w:tcPr>
          <w:p w14:paraId="4C38D0B2" w14:textId="77777777" w:rsidR="00EA19F4" w:rsidRPr="00957AB7" w:rsidRDefault="00EA19F4" w:rsidP="00F36CD8">
            <w:pPr>
              <w:spacing w:before="60"/>
              <w:jc w:val="center"/>
              <w:rPr>
                <w:color w:val="000000" w:themeColor="text1"/>
                <w:sz w:val="20"/>
                <w:szCs w:val="20"/>
                <w:shd w:val="clear" w:color="auto" w:fill="FFFFFF"/>
              </w:rPr>
            </w:pPr>
          </w:p>
        </w:tc>
        <w:tc>
          <w:tcPr>
            <w:tcW w:w="720" w:type="dxa"/>
          </w:tcPr>
          <w:p w14:paraId="3AAB0FC3"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FB</w:t>
            </w:r>
          </w:p>
        </w:tc>
        <w:tc>
          <w:tcPr>
            <w:tcW w:w="1260" w:type="dxa"/>
          </w:tcPr>
          <w:p w14:paraId="4F88702C"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NA</w:t>
            </w:r>
          </w:p>
        </w:tc>
        <w:tc>
          <w:tcPr>
            <w:tcW w:w="1260" w:type="dxa"/>
          </w:tcPr>
          <w:p w14:paraId="40443B00"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NA</w:t>
            </w:r>
          </w:p>
        </w:tc>
        <w:tc>
          <w:tcPr>
            <w:tcW w:w="1265" w:type="dxa"/>
          </w:tcPr>
          <w:p w14:paraId="149841E0"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Below $100</w:t>
            </w:r>
          </w:p>
        </w:tc>
        <w:tc>
          <w:tcPr>
            <w:tcW w:w="1260" w:type="dxa"/>
          </w:tcPr>
          <w:p w14:paraId="3023DDCE" w14:textId="77777777" w:rsidR="00EA19F4" w:rsidRPr="00957AB7" w:rsidRDefault="00EA19F4" w:rsidP="00F36CD8">
            <w:pPr>
              <w:spacing w:before="60"/>
              <w:ind w:left="-110" w:right="-110"/>
              <w:jc w:val="center"/>
              <w:rPr>
                <w:color w:val="000000" w:themeColor="text1"/>
                <w:sz w:val="20"/>
                <w:szCs w:val="20"/>
                <w:shd w:val="clear" w:color="auto" w:fill="FFFFFF"/>
              </w:rPr>
            </w:pPr>
            <w:r w:rsidRPr="00957AB7">
              <w:rPr>
                <w:color w:val="000000" w:themeColor="text1"/>
                <w:sz w:val="20"/>
                <w:szCs w:val="20"/>
                <w:shd w:val="clear" w:color="auto" w:fill="FFFFFF"/>
              </w:rPr>
              <w:t>Below $1000</w:t>
            </w:r>
          </w:p>
        </w:tc>
      </w:tr>
      <w:tr w:rsidR="00957AB7" w:rsidRPr="00957AB7" w14:paraId="13C4FEFE" w14:textId="77777777" w:rsidTr="008D0897">
        <w:trPr>
          <w:trHeight w:val="611"/>
        </w:trPr>
        <w:tc>
          <w:tcPr>
            <w:tcW w:w="1345" w:type="dxa"/>
            <w:vMerge w:val="restart"/>
          </w:tcPr>
          <w:p w14:paraId="208A7CF2" w14:textId="77777777"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Fleming et al. (2019)</w:t>
            </w:r>
          </w:p>
        </w:tc>
        <w:tc>
          <w:tcPr>
            <w:tcW w:w="1710" w:type="dxa"/>
            <w:vMerge w:val="restart"/>
          </w:tcPr>
          <w:p w14:paraId="7BE809FB" w14:textId="77777777"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 xml:space="preserve">CB, PA, </w:t>
            </w:r>
            <w:r w:rsidRPr="00957AB7">
              <w:rPr>
                <w:color w:val="000000" w:themeColor="text1"/>
                <w:sz w:val="20"/>
                <w:szCs w:val="20"/>
                <w:shd w:val="clear" w:color="auto" w:fill="FFFFFF"/>
              </w:rPr>
              <w:br/>
              <w:t>Lancaster County</w:t>
            </w:r>
          </w:p>
        </w:tc>
        <w:tc>
          <w:tcPr>
            <w:tcW w:w="2250" w:type="dxa"/>
            <w:vMerge w:val="restart"/>
          </w:tcPr>
          <w:p w14:paraId="0FD3D99F" w14:textId="77777777" w:rsidR="00EA19F4" w:rsidRPr="00957AB7" w:rsidRDefault="00EA19F4" w:rsidP="00F36CD8">
            <w:pPr>
              <w:spacing w:before="40" w:after="20"/>
              <w:ind w:right="-90"/>
              <w:rPr>
                <w:color w:val="000000" w:themeColor="text1"/>
                <w:sz w:val="20"/>
                <w:szCs w:val="20"/>
                <w:shd w:val="clear" w:color="auto" w:fill="FFFFFF"/>
              </w:rPr>
            </w:pPr>
            <w:r w:rsidRPr="00957AB7">
              <w:rPr>
                <w:color w:val="000000" w:themeColor="text1"/>
                <w:sz w:val="20"/>
                <w:szCs w:val="20"/>
                <w:shd w:val="clear" w:color="auto" w:fill="FFFFFF"/>
              </w:rPr>
              <w:t>Constructed annualized implementation costs: sum of establishment cost, maintenance cost, and opportunity cost.</w:t>
            </w:r>
          </w:p>
        </w:tc>
        <w:tc>
          <w:tcPr>
            <w:tcW w:w="720" w:type="dxa"/>
            <w:vMerge w:val="restart"/>
          </w:tcPr>
          <w:p w14:paraId="4D5070EB"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2019</w:t>
            </w:r>
          </w:p>
        </w:tc>
        <w:tc>
          <w:tcPr>
            <w:tcW w:w="900" w:type="dxa"/>
            <w:vMerge w:val="restart"/>
          </w:tcPr>
          <w:p w14:paraId="2208BE24" w14:textId="77777777" w:rsidR="00EA19F4" w:rsidRPr="00957AB7" w:rsidRDefault="00EA19F4" w:rsidP="00F36CD8">
            <w:pPr>
              <w:spacing w:before="60"/>
              <w:ind w:right="-110"/>
              <w:jc w:val="center"/>
              <w:rPr>
                <w:color w:val="000000" w:themeColor="text1"/>
                <w:sz w:val="20"/>
                <w:szCs w:val="20"/>
                <w:shd w:val="clear" w:color="auto" w:fill="FFFFFF"/>
              </w:rPr>
            </w:pPr>
            <w:r w:rsidRPr="00957AB7">
              <w:rPr>
                <w:color w:val="000000" w:themeColor="text1"/>
                <w:sz w:val="20"/>
                <w:szCs w:val="20"/>
                <w:shd w:val="clear" w:color="auto" w:fill="FFFFFF"/>
              </w:rPr>
              <w:t>6</w:t>
            </w:r>
          </w:p>
        </w:tc>
        <w:tc>
          <w:tcPr>
            <w:tcW w:w="630" w:type="dxa"/>
            <w:vMerge w:val="restart"/>
          </w:tcPr>
          <w:p w14:paraId="44732B97"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w:t>
            </w:r>
          </w:p>
        </w:tc>
        <w:tc>
          <w:tcPr>
            <w:tcW w:w="720" w:type="dxa"/>
          </w:tcPr>
          <w:p w14:paraId="115C28C2"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RGB</w:t>
            </w:r>
          </w:p>
        </w:tc>
        <w:tc>
          <w:tcPr>
            <w:tcW w:w="1260" w:type="dxa"/>
          </w:tcPr>
          <w:p w14:paraId="17945958"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42.7</w:t>
            </w:r>
          </w:p>
        </w:tc>
        <w:tc>
          <w:tcPr>
            <w:tcW w:w="1260" w:type="dxa"/>
          </w:tcPr>
          <w:p w14:paraId="313447A8"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0.7</w:t>
            </w:r>
          </w:p>
        </w:tc>
        <w:tc>
          <w:tcPr>
            <w:tcW w:w="1265" w:type="dxa"/>
          </w:tcPr>
          <w:p w14:paraId="3DADC4D5" w14:textId="77777777" w:rsidR="00EA19F4" w:rsidRPr="00957AB7" w:rsidRDefault="00EA19F4" w:rsidP="00F36CD8">
            <w:pPr>
              <w:spacing w:before="60" w:after="40"/>
              <w:jc w:val="center"/>
              <w:rPr>
                <w:color w:val="000000" w:themeColor="text1"/>
                <w:sz w:val="20"/>
                <w:szCs w:val="20"/>
                <w:shd w:val="clear" w:color="auto" w:fill="FFFFFF"/>
              </w:rPr>
            </w:pPr>
            <w:r w:rsidRPr="00957AB7">
              <w:rPr>
                <w:color w:val="000000" w:themeColor="text1"/>
                <w:sz w:val="20"/>
                <w:szCs w:val="20"/>
                <w:shd w:val="clear" w:color="auto" w:fill="FFFFFF"/>
              </w:rPr>
              <w:t>$12.2</w:t>
            </w:r>
          </w:p>
        </w:tc>
        <w:tc>
          <w:tcPr>
            <w:tcW w:w="1260" w:type="dxa"/>
          </w:tcPr>
          <w:p w14:paraId="4E650030" w14:textId="77777777" w:rsidR="00EA19F4" w:rsidRPr="00957AB7" w:rsidRDefault="00EA19F4" w:rsidP="00F36CD8">
            <w:pPr>
              <w:spacing w:before="60" w:after="40"/>
              <w:jc w:val="center"/>
              <w:rPr>
                <w:color w:val="000000" w:themeColor="text1"/>
                <w:sz w:val="20"/>
                <w:szCs w:val="20"/>
                <w:shd w:val="clear" w:color="auto" w:fill="FFFFFF"/>
              </w:rPr>
            </w:pPr>
            <w:r w:rsidRPr="00957AB7">
              <w:rPr>
                <w:color w:val="000000" w:themeColor="text1"/>
                <w:sz w:val="20"/>
                <w:szCs w:val="20"/>
                <w:shd w:val="clear" w:color="auto" w:fill="FFFFFF"/>
              </w:rPr>
              <w:t>$2,442.2</w:t>
            </w:r>
          </w:p>
        </w:tc>
      </w:tr>
      <w:tr w:rsidR="00957AB7" w:rsidRPr="00957AB7" w14:paraId="496F9D3D" w14:textId="77777777" w:rsidTr="008D0897">
        <w:trPr>
          <w:trHeight w:val="611"/>
        </w:trPr>
        <w:tc>
          <w:tcPr>
            <w:tcW w:w="1345" w:type="dxa"/>
            <w:vMerge/>
          </w:tcPr>
          <w:p w14:paraId="077709AE" w14:textId="77777777" w:rsidR="00EA19F4" w:rsidRPr="00957AB7" w:rsidRDefault="00EA19F4" w:rsidP="00F36CD8">
            <w:pPr>
              <w:spacing w:before="40"/>
              <w:rPr>
                <w:color w:val="000000" w:themeColor="text1"/>
                <w:sz w:val="20"/>
                <w:szCs w:val="20"/>
                <w:shd w:val="clear" w:color="auto" w:fill="FFFFFF"/>
              </w:rPr>
            </w:pPr>
          </w:p>
        </w:tc>
        <w:tc>
          <w:tcPr>
            <w:tcW w:w="1710" w:type="dxa"/>
            <w:vMerge/>
          </w:tcPr>
          <w:p w14:paraId="7CBAFC8C" w14:textId="77777777" w:rsidR="00EA19F4" w:rsidRPr="00957AB7" w:rsidRDefault="00EA19F4" w:rsidP="00F36CD8">
            <w:pPr>
              <w:spacing w:before="40"/>
              <w:rPr>
                <w:color w:val="000000" w:themeColor="text1"/>
                <w:sz w:val="20"/>
                <w:szCs w:val="20"/>
                <w:shd w:val="clear" w:color="auto" w:fill="FFFFFF"/>
              </w:rPr>
            </w:pPr>
          </w:p>
        </w:tc>
        <w:tc>
          <w:tcPr>
            <w:tcW w:w="2250" w:type="dxa"/>
            <w:vMerge/>
          </w:tcPr>
          <w:p w14:paraId="2C778ABC" w14:textId="77777777" w:rsidR="00EA19F4" w:rsidRPr="00957AB7" w:rsidRDefault="00EA19F4" w:rsidP="00F36CD8">
            <w:pPr>
              <w:rPr>
                <w:color w:val="000000" w:themeColor="text1"/>
                <w:sz w:val="20"/>
                <w:szCs w:val="20"/>
                <w:shd w:val="clear" w:color="auto" w:fill="FFFFFF"/>
              </w:rPr>
            </w:pPr>
          </w:p>
        </w:tc>
        <w:tc>
          <w:tcPr>
            <w:tcW w:w="720" w:type="dxa"/>
            <w:vMerge/>
          </w:tcPr>
          <w:p w14:paraId="01121C27" w14:textId="77777777" w:rsidR="00EA19F4" w:rsidRPr="00957AB7" w:rsidRDefault="00EA19F4" w:rsidP="00F36CD8">
            <w:pPr>
              <w:spacing w:before="60"/>
              <w:jc w:val="center"/>
              <w:rPr>
                <w:color w:val="000000" w:themeColor="text1"/>
                <w:sz w:val="20"/>
                <w:szCs w:val="20"/>
                <w:shd w:val="clear" w:color="auto" w:fill="FFFFFF"/>
              </w:rPr>
            </w:pPr>
          </w:p>
        </w:tc>
        <w:tc>
          <w:tcPr>
            <w:tcW w:w="900" w:type="dxa"/>
            <w:vMerge/>
          </w:tcPr>
          <w:p w14:paraId="2ECEAD15" w14:textId="77777777" w:rsidR="00EA19F4" w:rsidRPr="00957AB7" w:rsidRDefault="00EA19F4" w:rsidP="00F36CD8">
            <w:pPr>
              <w:spacing w:before="60"/>
              <w:ind w:right="-110"/>
              <w:jc w:val="center"/>
              <w:rPr>
                <w:color w:val="000000" w:themeColor="text1"/>
                <w:sz w:val="20"/>
                <w:szCs w:val="20"/>
                <w:shd w:val="clear" w:color="auto" w:fill="FFFFFF"/>
              </w:rPr>
            </w:pPr>
          </w:p>
        </w:tc>
        <w:tc>
          <w:tcPr>
            <w:tcW w:w="630" w:type="dxa"/>
            <w:vMerge/>
          </w:tcPr>
          <w:p w14:paraId="49D2B8D9" w14:textId="77777777" w:rsidR="00EA19F4" w:rsidRPr="00957AB7" w:rsidRDefault="00EA19F4" w:rsidP="00F36CD8">
            <w:pPr>
              <w:spacing w:before="60"/>
              <w:jc w:val="center"/>
              <w:rPr>
                <w:color w:val="000000" w:themeColor="text1"/>
                <w:sz w:val="20"/>
                <w:szCs w:val="20"/>
                <w:shd w:val="clear" w:color="auto" w:fill="FFFFFF"/>
              </w:rPr>
            </w:pPr>
          </w:p>
        </w:tc>
        <w:tc>
          <w:tcPr>
            <w:tcW w:w="720" w:type="dxa"/>
          </w:tcPr>
          <w:p w14:paraId="340A4758"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RFB</w:t>
            </w:r>
          </w:p>
        </w:tc>
        <w:tc>
          <w:tcPr>
            <w:tcW w:w="1260" w:type="dxa"/>
          </w:tcPr>
          <w:p w14:paraId="095FC959"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42.7</w:t>
            </w:r>
          </w:p>
        </w:tc>
        <w:tc>
          <w:tcPr>
            <w:tcW w:w="1260" w:type="dxa"/>
          </w:tcPr>
          <w:p w14:paraId="3ABC0EA9"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0.7</w:t>
            </w:r>
          </w:p>
        </w:tc>
        <w:tc>
          <w:tcPr>
            <w:tcW w:w="1265" w:type="dxa"/>
          </w:tcPr>
          <w:p w14:paraId="5B8B2D21" w14:textId="77777777" w:rsidR="00EA19F4" w:rsidRPr="00957AB7" w:rsidRDefault="00EA19F4" w:rsidP="00F36CD8">
            <w:pPr>
              <w:spacing w:before="60" w:after="40"/>
              <w:jc w:val="center"/>
              <w:rPr>
                <w:color w:val="000000" w:themeColor="text1"/>
                <w:sz w:val="20"/>
                <w:szCs w:val="20"/>
                <w:shd w:val="clear" w:color="auto" w:fill="FFFFFF"/>
              </w:rPr>
            </w:pPr>
            <w:r w:rsidRPr="00957AB7">
              <w:rPr>
                <w:color w:val="000000" w:themeColor="text1"/>
                <w:sz w:val="20"/>
                <w:szCs w:val="20"/>
                <w:shd w:val="clear" w:color="auto" w:fill="FFFFFF"/>
              </w:rPr>
              <w:t>$12.9</w:t>
            </w:r>
          </w:p>
        </w:tc>
        <w:tc>
          <w:tcPr>
            <w:tcW w:w="1260" w:type="dxa"/>
          </w:tcPr>
          <w:p w14:paraId="054F2CA0" w14:textId="77777777" w:rsidR="00EA19F4" w:rsidRPr="00957AB7" w:rsidRDefault="00EA19F4" w:rsidP="00F36CD8">
            <w:pPr>
              <w:spacing w:before="60" w:after="40"/>
              <w:jc w:val="center"/>
              <w:rPr>
                <w:color w:val="000000" w:themeColor="text1"/>
                <w:sz w:val="20"/>
                <w:szCs w:val="20"/>
                <w:shd w:val="clear" w:color="auto" w:fill="FFFFFF"/>
              </w:rPr>
            </w:pPr>
            <w:r w:rsidRPr="00957AB7">
              <w:rPr>
                <w:color w:val="000000" w:themeColor="text1"/>
                <w:sz w:val="20"/>
                <w:szCs w:val="20"/>
                <w:shd w:val="clear" w:color="auto" w:fill="FFFFFF"/>
              </w:rPr>
              <w:t>$1,283.7</w:t>
            </w:r>
          </w:p>
        </w:tc>
      </w:tr>
      <w:tr w:rsidR="00957AB7" w:rsidRPr="00957AB7" w14:paraId="1A7E268D" w14:textId="77777777" w:rsidTr="008D0897">
        <w:trPr>
          <w:trHeight w:val="384"/>
        </w:trPr>
        <w:tc>
          <w:tcPr>
            <w:tcW w:w="1345" w:type="dxa"/>
            <w:vMerge w:val="restart"/>
          </w:tcPr>
          <w:p w14:paraId="59EFFFF4" w14:textId="10DE2674"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 xml:space="preserve">Siemek et al. </w:t>
            </w:r>
            <w:r w:rsidR="009E7A98" w:rsidRPr="005B2512">
              <w:rPr>
                <w:sz w:val="20"/>
                <w:szCs w:val="20"/>
                <w:shd w:val="clear" w:color="auto" w:fill="FFFFFF"/>
              </w:rPr>
              <w:t>(2023)</w:t>
            </w:r>
          </w:p>
        </w:tc>
        <w:tc>
          <w:tcPr>
            <w:tcW w:w="1710" w:type="dxa"/>
            <w:vMerge w:val="restart"/>
          </w:tcPr>
          <w:p w14:paraId="673B28D4" w14:textId="77777777" w:rsidR="00EA19F4" w:rsidRPr="00957AB7" w:rsidRDefault="00EA19F4" w:rsidP="00F36CD8">
            <w:pPr>
              <w:spacing w:before="40"/>
              <w:rPr>
                <w:color w:val="000000" w:themeColor="text1"/>
                <w:sz w:val="20"/>
                <w:szCs w:val="20"/>
                <w:shd w:val="clear" w:color="auto" w:fill="FFFFFF"/>
              </w:rPr>
            </w:pPr>
            <w:r w:rsidRPr="00957AB7">
              <w:rPr>
                <w:color w:val="000000" w:themeColor="text1"/>
                <w:sz w:val="20"/>
                <w:szCs w:val="20"/>
                <w:shd w:val="clear" w:color="auto" w:fill="FFFFFF"/>
              </w:rPr>
              <w:t xml:space="preserve">CB, MD, </w:t>
            </w:r>
            <w:r w:rsidRPr="00957AB7">
              <w:rPr>
                <w:color w:val="000000" w:themeColor="text1"/>
                <w:sz w:val="20"/>
                <w:szCs w:val="20"/>
                <w:shd w:val="clear" w:color="auto" w:fill="FFFFFF"/>
              </w:rPr>
              <w:br/>
              <w:t>Allegany County &amp; Washington County</w:t>
            </w:r>
          </w:p>
        </w:tc>
        <w:tc>
          <w:tcPr>
            <w:tcW w:w="2250" w:type="dxa"/>
            <w:vMerge w:val="restart"/>
          </w:tcPr>
          <w:p w14:paraId="639A2A26" w14:textId="77777777" w:rsidR="00EA19F4" w:rsidRPr="00957AB7" w:rsidRDefault="00EA19F4" w:rsidP="00F36CD8">
            <w:pPr>
              <w:ind w:right="-110"/>
              <w:rPr>
                <w:color w:val="000000" w:themeColor="text1"/>
                <w:sz w:val="20"/>
                <w:szCs w:val="20"/>
                <w:shd w:val="clear" w:color="auto" w:fill="FFFFFF"/>
              </w:rPr>
            </w:pPr>
            <w:r w:rsidRPr="00957AB7">
              <w:rPr>
                <w:color w:val="000000" w:themeColor="text1"/>
                <w:sz w:val="20"/>
                <w:szCs w:val="20"/>
                <w:shd w:val="clear" w:color="auto" w:fill="FFFFFF"/>
              </w:rPr>
              <w:t>Constructed as present value of annual total economic</w:t>
            </w:r>
            <w:r w:rsidRPr="00957AB7">
              <w:rPr>
                <w:color w:val="000000" w:themeColor="text1"/>
                <w:sz w:val="12"/>
                <w:szCs w:val="12"/>
                <w:shd w:val="clear" w:color="auto" w:fill="FFFFFF"/>
              </w:rPr>
              <w:t xml:space="preserve"> </w:t>
            </w:r>
            <w:r w:rsidRPr="00957AB7">
              <w:rPr>
                <w:color w:val="000000" w:themeColor="text1"/>
                <w:sz w:val="20"/>
                <w:szCs w:val="20"/>
                <w:shd w:val="clear" w:color="auto" w:fill="FFFFFF"/>
              </w:rPr>
              <w:t>cost</w:t>
            </w:r>
            <w:r w:rsidRPr="00957AB7">
              <w:rPr>
                <w:color w:val="000000" w:themeColor="text1"/>
                <w:sz w:val="12"/>
                <w:szCs w:val="12"/>
                <w:shd w:val="clear" w:color="auto" w:fill="FFFFFF"/>
              </w:rPr>
              <w:t xml:space="preserve"> </w:t>
            </w:r>
            <w:r w:rsidRPr="00957AB7">
              <w:rPr>
                <w:color w:val="000000" w:themeColor="text1"/>
                <w:sz w:val="20"/>
                <w:szCs w:val="20"/>
                <w:shd w:val="clear" w:color="auto" w:fill="FFFFFF"/>
              </w:rPr>
              <w:t>comprised of establishment cost, maintenance cost, opportunity cost, cost-share &amp; rental payments, and incentives.</w:t>
            </w:r>
          </w:p>
        </w:tc>
        <w:tc>
          <w:tcPr>
            <w:tcW w:w="720" w:type="dxa"/>
            <w:vMerge w:val="restart"/>
          </w:tcPr>
          <w:p w14:paraId="2C4FEB8B"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2019</w:t>
            </w:r>
          </w:p>
        </w:tc>
        <w:tc>
          <w:tcPr>
            <w:tcW w:w="900" w:type="dxa"/>
            <w:vMerge w:val="restart"/>
          </w:tcPr>
          <w:p w14:paraId="110BF104" w14:textId="77777777" w:rsidR="00EA19F4" w:rsidRPr="00957AB7" w:rsidRDefault="00EA19F4" w:rsidP="00F36CD8">
            <w:pPr>
              <w:spacing w:before="60"/>
              <w:ind w:right="-110"/>
              <w:jc w:val="center"/>
              <w:rPr>
                <w:color w:val="000000" w:themeColor="text1"/>
                <w:sz w:val="20"/>
                <w:szCs w:val="20"/>
                <w:shd w:val="clear" w:color="auto" w:fill="FFFFFF"/>
              </w:rPr>
            </w:pPr>
            <w:r w:rsidRPr="00957AB7">
              <w:rPr>
                <w:color w:val="000000" w:themeColor="text1"/>
                <w:sz w:val="20"/>
                <w:szCs w:val="20"/>
                <w:shd w:val="clear" w:color="auto" w:fill="FFFFFF"/>
              </w:rPr>
              <w:t>6</w:t>
            </w:r>
          </w:p>
        </w:tc>
        <w:tc>
          <w:tcPr>
            <w:tcW w:w="630" w:type="dxa"/>
            <w:vMerge w:val="restart"/>
          </w:tcPr>
          <w:p w14:paraId="1229DECD"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5%</w:t>
            </w:r>
          </w:p>
        </w:tc>
        <w:tc>
          <w:tcPr>
            <w:tcW w:w="720" w:type="dxa"/>
          </w:tcPr>
          <w:p w14:paraId="6B5528B9"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RGB</w:t>
            </w:r>
          </w:p>
        </w:tc>
        <w:tc>
          <w:tcPr>
            <w:tcW w:w="1260" w:type="dxa"/>
          </w:tcPr>
          <w:p w14:paraId="3D0841A2"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21.9 &amp; 31.1</w:t>
            </w:r>
          </w:p>
        </w:tc>
        <w:tc>
          <w:tcPr>
            <w:tcW w:w="1260" w:type="dxa"/>
          </w:tcPr>
          <w:p w14:paraId="00CACA95"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0.09 &amp; 0.2</w:t>
            </w:r>
          </w:p>
        </w:tc>
        <w:tc>
          <w:tcPr>
            <w:tcW w:w="1265" w:type="dxa"/>
          </w:tcPr>
          <w:p w14:paraId="7ECA6ABA"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$12.3 &amp; $12.0</w:t>
            </w:r>
          </w:p>
        </w:tc>
        <w:tc>
          <w:tcPr>
            <w:tcW w:w="1260" w:type="dxa"/>
          </w:tcPr>
          <w:p w14:paraId="366D4F0B"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 xml:space="preserve">$2,989.0 &amp; $1,863.4 </w:t>
            </w:r>
          </w:p>
        </w:tc>
      </w:tr>
      <w:tr w:rsidR="00957AB7" w:rsidRPr="00957AB7" w14:paraId="52EDF1A9" w14:textId="77777777" w:rsidTr="008D0897">
        <w:trPr>
          <w:trHeight w:val="384"/>
        </w:trPr>
        <w:tc>
          <w:tcPr>
            <w:tcW w:w="1345" w:type="dxa"/>
            <w:vMerge/>
          </w:tcPr>
          <w:p w14:paraId="7499A29F" w14:textId="77777777" w:rsidR="00EA19F4" w:rsidRPr="00957AB7" w:rsidRDefault="00EA19F4" w:rsidP="00F36CD8">
            <w:pPr>
              <w:rPr>
                <w:color w:val="000000" w:themeColor="text1"/>
                <w:sz w:val="20"/>
                <w:szCs w:val="20"/>
                <w:shd w:val="clear" w:color="auto" w:fill="FFFFFF"/>
              </w:rPr>
            </w:pPr>
          </w:p>
        </w:tc>
        <w:tc>
          <w:tcPr>
            <w:tcW w:w="1710" w:type="dxa"/>
            <w:vMerge/>
          </w:tcPr>
          <w:p w14:paraId="45009ED4" w14:textId="77777777" w:rsidR="00EA19F4" w:rsidRPr="00957AB7" w:rsidRDefault="00EA19F4" w:rsidP="00F36CD8">
            <w:pPr>
              <w:rPr>
                <w:color w:val="000000" w:themeColor="text1"/>
                <w:sz w:val="20"/>
                <w:szCs w:val="20"/>
                <w:shd w:val="clear" w:color="auto" w:fill="FFFFFF"/>
              </w:rPr>
            </w:pPr>
          </w:p>
        </w:tc>
        <w:tc>
          <w:tcPr>
            <w:tcW w:w="2250" w:type="dxa"/>
            <w:vMerge/>
          </w:tcPr>
          <w:p w14:paraId="43DA089A" w14:textId="77777777" w:rsidR="00EA19F4" w:rsidRPr="00957AB7" w:rsidRDefault="00EA19F4" w:rsidP="00F36CD8">
            <w:pPr>
              <w:rPr>
                <w:color w:val="000000" w:themeColor="text1"/>
                <w:sz w:val="20"/>
                <w:szCs w:val="20"/>
                <w:shd w:val="clear" w:color="auto" w:fill="FFFFFF"/>
              </w:rPr>
            </w:pPr>
          </w:p>
        </w:tc>
        <w:tc>
          <w:tcPr>
            <w:tcW w:w="720" w:type="dxa"/>
            <w:vMerge/>
          </w:tcPr>
          <w:p w14:paraId="1E88D0C4" w14:textId="77777777" w:rsidR="00EA19F4" w:rsidRPr="00957AB7" w:rsidRDefault="00EA19F4" w:rsidP="00F36CD8">
            <w:pPr>
              <w:spacing w:before="60"/>
              <w:jc w:val="center"/>
              <w:rPr>
                <w:color w:val="000000" w:themeColor="text1"/>
                <w:sz w:val="20"/>
                <w:szCs w:val="20"/>
                <w:shd w:val="clear" w:color="auto" w:fill="FFFFFF"/>
              </w:rPr>
            </w:pPr>
          </w:p>
        </w:tc>
        <w:tc>
          <w:tcPr>
            <w:tcW w:w="900" w:type="dxa"/>
            <w:vMerge/>
          </w:tcPr>
          <w:p w14:paraId="01BDBA5C" w14:textId="77777777" w:rsidR="00EA19F4" w:rsidRPr="00957AB7" w:rsidRDefault="00EA19F4" w:rsidP="00F36CD8">
            <w:pPr>
              <w:spacing w:before="60"/>
              <w:ind w:right="-110"/>
              <w:jc w:val="center"/>
              <w:rPr>
                <w:color w:val="000000" w:themeColor="text1"/>
                <w:sz w:val="20"/>
                <w:szCs w:val="20"/>
                <w:shd w:val="clear" w:color="auto" w:fill="FFFFFF"/>
              </w:rPr>
            </w:pPr>
          </w:p>
        </w:tc>
        <w:tc>
          <w:tcPr>
            <w:tcW w:w="630" w:type="dxa"/>
            <w:vMerge/>
          </w:tcPr>
          <w:p w14:paraId="66A31604" w14:textId="77777777" w:rsidR="00EA19F4" w:rsidRPr="00957AB7" w:rsidRDefault="00EA19F4" w:rsidP="00F36CD8">
            <w:pPr>
              <w:spacing w:before="60"/>
              <w:jc w:val="center"/>
              <w:rPr>
                <w:color w:val="000000" w:themeColor="text1"/>
                <w:sz w:val="20"/>
                <w:szCs w:val="20"/>
                <w:shd w:val="clear" w:color="auto" w:fill="FFFFFF"/>
              </w:rPr>
            </w:pPr>
          </w:p>
        </w:tc>
        <w:tc>
          <w:tcPr>
            <w:tcW w:w="720" w:type="dxa"/>
          </w:tcPr>
          <w:p w14:paraId="199072F2"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RFB</w:t>
            </w:r>
          </w:p>
        </w:tc>
        <w:tc>
          <w:tcPr>
            <w:tcW w:w="1260" w:type="dxa"/>
          </w:tcPr>
          <w:p w14:paraId="55967013"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27.8 &amp; 38.8</w:t>
            </w:r>
          </w:p>
        </w:tc>
        <w:tc>
          <w:tcPr>
            <w:tcW w:w="1260" w:type="dxa"/>
          </w:tcPr>
          <w:p w14:paraId="075671A8"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0.4</w:t>
            </w:r>
          </w:p>
        </w:tc>
        <w:tc>
          <w:tcPr>
            <w:tcW w:w="1265" w:type="dxa"/>
          </w:tcPr>
          <w:p w14:paraId="1A52EAF6"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 xml:space="preserve">$20.7 &amp; $17.6 </w:t>
            </w:r>
          </w:p>
        </w:tc>
        <w:tc>
          <w:tcPr>
            <w:tcW w:w="1260" w:type="dxa"/>
          </w:tcPr>
          <w:p w14:paraId="7A0CAA4B"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$1,222.1 &amp; $1,426.0</w:t>
            </w:r>
          </w:p>
        </w:tc>
      </w:tr>
      <w:tr w:rsidR="00957AB7" w:rsidRPr="00957AB7" w14:paraId="1C84E96A" w14:textId="77777777" w:rsidTr="008D0897">
        <w:trPr>
          <w:trHeight w:val="384"/>
        </w:trPr>
        <w:tc>
          <w:tcPr>
            <w:tcW w:w="1345" w:type="dxa"/>
            <w:vMerge/>
          </w:tcPr>
          <w:p w14:paraId="0D5CC853" w14:textId="77777777" w:rsidR="00EA19F4" w:rsidRPr="00957AB7" w:rsidRDefault="00EA19F4" w:rsidP="00F36CD8">
            <w:pPr>
              <w:rPr>
                <w:color w:val="000000" w:themeColor="text1"/>
                <w:sz w:val="20"/>
                <w:szCs w:val="20"/>
                <w:shd w:val="clear" w:color="auto" w:fill="FFFFFF"/>
              </w:rPr>
            </w:pPr>
          </w:p>
        </w:tc>
        <w:tc>
          <w:tcPr>
            <w:tcW w:w="1710" w:type="dxa"/>
            <w:vMerge/>
          </w:tcPr>
          <w:p w14:paraId="3B7DC928" w14:textId="77777777" w:rsidR="00EA19F4" w:rsidRPr="00957AB7" w:rsidRDefault="00EA19F4" w:rsidP="00F36CD8">
            <w:pPr>
              <w:rPr>
                <w:color w:val="000000" w:themeColor="text1"/>
                <w:sz w:val="20"/>
                <w:szCs w:val="20"/>
                <w:shd w:val="clear" w:color="auto" w:fill="FFFFFF"/>
              </w:rPr>
            </w:pPr>
          </w:p>
        </w:tc>
        <w:tc>
          <w:tcPr>
            <w:tcW w:w="2250" w:type="dxa"/>
            <w:vMerge/>
          </w:tcPr>
          <w:p w14:paraId="639AD56D" w14:textId="77777777" w:rsidR="00EA19F4" w:rsidRPr="00957AB7" w:rsidRDefault="00EA19F4" w:rsidP="00F36CD8">
            <w:pPr>
              <w:rPr>
                <w:color w:val="000000" w:themeColor="text1"/>
                <w:sz w:val="20"/>
                <w:szCs w:val="20"/>
                <w:shd w:val="clear" w:color="auto" w:fill="FFFFFF"/>
              </w:rPr>
            </w:pPr>
          </w:p>
        </w:tc>
        <w:tc>
          <w:tcPr>
            <w:tcW w:w="720" w:type="dxa"/>
            <w:vMerge/>
          </w:tcPr>
          <w:p w14:paraId="45FAA4E4" w14:textId="77777777" w:rsidR="00EA19F4" w:rsidRPr="00957AB7" w:rsidRDefault="00EA19F4" w:rsidP="00F36CD8">
            <w:pPr>
              <w:spacing w:before="60"/>
              <w:jc w:val="center"/>
              <w:rPr>
                <w:color w:val="000000" w:themeColor="text1"/>
                <w:sz w:val="20"/>
                <w:szCs w:val="20"/>
                <w:shd w:val="clear" w:color="auto" w:fill="FFFFFF"/>
              </w:rPr>
            </w:pPr>
          </w:p>
        </w:tc>
        <w:tc>
          <w:tcPr>
            <w:tcW w:w="900" w:type="dxa"/>
            <w:vMerge/>
          </w:tcPr>
          <w:p w14:paraId="3B94A70E" w14:textId="77777777" w:rsidR="00EA19F4" w:rsidRPr="00957AB7" w:rsidRDefault="00EA19F4" w:rsidP="00F36CD8">
            <w:pPr>
              <w:spacing w:before="60"/>
              <w:ind w:right="-110"/>
              <w:jc w:val="center"/>
              <w:rPr>
                <w:color w:val="000000" w:themeColor="text1"/>
                <w:sz w:val="20"/>
                <w:szCs w:val="20"/>
                <w:shd w:val="clear" w:color="auto" w:fill="FFFFFF"/>
              </w:rPr>
            </w:pPr>
          </w:p>
        </w:tc>
        <w:tc>
          <w:tcPr>
            <w:tcW w:w="630" w:type="dxa"/>
            <w:vMerge/>
          </w:tcPr>
          <w:p w14:paraId="50D990F6" w14:textId="77777777" w:rsidR="00EA19F4" w:rsidRPr="00957AB7" w:rsidRDefault="00EA19F4" w:rsidP="00F36CD8">
            <w:pPr>
              <w:spacing w:before="60"/>
              <w:jc w:val="center"/>
              <w:rPr>
                <w:color w:val="000000" w:themeColor="text1"/>
                <w:sz w:val="20"/>
                <w:szCs w:val="20"/>
                <w:shd w:val="clear" w:color="auto" w:fill="FFFFFF"/>
              </w:rPr>
            </w:pPr>
          </w:p>
        </w:tc>
        <w:tc>
          <w:tcPr>
            <w:tcW w:w="720" w:type="dxa"/>
          </w:tcPr>
          <w:p w14:paraId="459B1525" w14:textId="77777777" w:rsidR="00EA19F4" w:rsidRPr="00957AB7" w:rsidRDefault="00EA19F4" w:rsidP="00F36CD8">
            <w:pPr>
              <w:spacing w:before="60" w:after="40"/>
              <w:ind w:left="-110" w:right="-110"/>
              <w:jc w:val="center"/>
              <w:rPr>
                <w:color w:val="000000" w:themeColor="text1"/>
                <w:sz w:val="20"/>
                <w:szCs w:val="20"/>
                <w:shd w:val="clear" w:color="auto" w:fill="FFFFFF"/>
              </w:rPr>
            </w:pPr>
            <w:r w:rsidRPr="00957AB7">
              <w:rPr>
                <w:color w:val="000000" w:themeColor="text1"/>
                <w:sz w:val="20"/>
                <w:szCs w:val="20"/>
                <w:shd w:val="clear" w:color="auto" w:fill="FFFFFF"/>
              </w:rPr>
              <w:t>Existing RFB</w:t>
            </w:r>
          </w:p>
        </w:tc>
        <w:tc>
          <w:tcPr>
            <w:tcW w:w="1260" w:type="dxa"/>
          </w:tcPr>
          <w:p w14:paraId="6986F5DE"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57.3</w:t>
            </w:r>
            <w:r w:rsidRPr="00957AB7">
              <w:rPr>
                <w:color w:val="000000" w:themeColor="text1"/>
                <w:sz w:val="20"/>
                <w:szCs w:val="20"/>
                <w:shd w:val="clear" w:color="auto" w:fill="FFFFFF"/>
                <w:vertAlign w:val="superscript"/>
              </w:rPr>
              <w:t>d</w:t>
            </w:r>
          </w:p>
        </w:tc>
        <w:tc>
          <w:tcPr>
            <w:tcW w:w="1260" w:type="dxa"/>
          </w:tcPr>
          <w:p w14:paraId="79934626"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c>
          <w:tcPr>
            <w:tcW w:w="1265" w:type="dxa"/>
          </w:tcPr>
          <w:p w14:paraId="21F70D5A" w14:textId="1E4D0981"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$5.</w:t>
            </w:r>
            <w:r w:rsidR="007B0CC3">
              <w:rPr>
                <w:color w:val="000000" w:themeColor="text1"/>
                <w:sz w:val="20"/>
                <w:szCs w:val="20"/>
                <w:shd w:val="clear" w:color="auto" w:fill="FFFFFF"/>
              </w:rPr>
              <w:t>9</w:t>
            </w:r>
            <w:r w:rsidRPr="00957AB7">
              <w:rPr>
                <w:color w:val="000000" w:themeColor="text1"/>
                <w:sz w:val="20"/>
                <w:szCs w:val="20"/>
                <w:shd w:val="clear" w:color="auto" w:fill="FFFFFF"/>
              </w:rPr>
              <w:t xml:space="preserve"> &amp; $6.</w:t>
            </w:r>
            <w:r w:rsidR="007B0CC3">
              <w:rPr>
                <w:color w:val="000000" w:themeColor="text1"/>
                <w:sz w:val="20"/>
                <w:szCs w:val="20"/>
                <w:shd w:val="clear" w:color="auto" w:fill="FFFFFF"/>
              </w:rPr>
              <w:t>9</w:t>
            </w:r>
          </w:p>
        </w:tc>
        <w:tc>
          <w:tcPr>
            <w:tcW w:w="1260" w:type="dxa"/>
          </w:tcPr>
          <w:p w14:paraId="1DC7FEC1" w14:textId="77777777" w:rsidR="00EA19F4" w:rsidRPr="00957AB7" w:rsidRDefault="00EA19F4" w:rsidP="00F36CD8">
            <w:pPr>
              <w:spacing w:before="60"/>
              <w:jc w:val="center"/>
              <w:rPr>
                <w:color w:val="000000" w:themeColor="text1"/>
                <w:sz w:val="20"/>
                <w:szCs w:val="20"/>
                <w:shd w:val="clear" w:color="auto" w:fill="FFFFFF"/>
              </w:rPr>
            </w:pPr>
            <w:r w:rsidRPr="00957AB7">
              <w:rPr>
                <w:color w:val="000000" w:themeColor="text1"/>
                <w:sz w:val="20"/>
                <w:szCs w:val="20"/>
                <w:shd w:val="clear" w:color="auto" w:fill="FFFFFF"/>
              </w:rPr>
              <w:t>–</w:t>
            </w:r>
          </w:p>
        </w:tc>
      </w:tr>
    </w:tbl>
    <w:p w14:paraId="2A2EA02F" w14:textId="77777777" w:rsidR="00702EF1" w:rsidRDefault="00EA19F4" w:rsidP="00EA19F4">
      <w:pPr>
        <w:spacing w:before="20"/>
        <w:ind w:left="547"/>
        <w:rPr>
          <w:color w:val="000000" w:themeColor="text1"/>
          <w:sz w:val="20"/>
          <w:szCs w:val="20"/>
          <w:shd w:val="clear" w:color="auto" w:fill="FFFFFF"/>
        </w:rPr>
        <w:sectPr w:rsidR="00702EF1" w:rsidSect="009E4047">
          <w:pgSz w:w="15840" w:h="12240" w:orient="landscape" w:code="1"/>
          <w:pgMar w:top="1440" w:right="1296" w:bottom="1296" w:left="1296" w:header="720" w:footer="720" w:gutter="0"/>
          <w:cols w:space="720"/>
          <w:titlePg/>
          <w:docGrid w:linePitch="360"/>
        </w:sectPr>
      </w:pPr>
      <w:r w:rsidRPr="00957AB7">
        <w:rPr>
          <w:color w:val="000000" w:themeColor="text1"/>
          <w:sz w:val="20"/>
          <w:szCs w:val="20"/>
          <w:shd w:val="clear" w:color="auto" w:fill="FFFFFF"/>
          <w:vertAlign w:val="superscript"/>
        </w:rPr>
        <w:t xml:space="preserve">a </w:t>
      </w:r>
      <w:r w:rsidRPr="00957AB7">
        <w:rPr>
          <w:color w:val="000000" w:themeColor="text1"/>
          <w:sz w:val="20"/>
          <w:szCs w:val="20"/>
          <w:shd w:val="clear" w:color="auto" w:fill="FFFFFF"/>
        </w:rPr>
        <w:t xml:space="preserve">RGB- riparian grass buffer, RFB -riparian forest buffer, GB-grass buffer, FB-forest buffer.  </w:t>
      </w:r>
      <w:r w:rsidRPr="00957AB7">
        <w:rPr>
          <w:color w:val="000000" w:themeColor="text1"/>
          <w:sz w:val="20"/>
          <w:szCs w:val="20"/>
          <w:shd w:val="clear" w:color="auto" w:fill="FFFFFF"/>
          <w:vertAlign w:val="superscript"/>
        </w:rPr>
        <w:t xml:space="preserve">b </w:t>
      </w:r>
      <w:r w:rsidRPr="00957AB7">
        <w:rPr>
          <w:color w:val="000000" w:themeColor="text1"/>
          <w:sz w:val="20"/>
          <w:szCs w:val="20"/>
          <w:shd w:val="clear" w:color="auto" w:fill="FFFFFF"/>
        </w:rPr>
        <w:t xml:space="preserve">N-Nitrogen, P-Phosphorus.  </w:t>
      </w:r>
      <w:r w:rsidRPr="00957AB7">
        <w:rPr>
          <w:color w:val="000000" w:themeColor="text1"/>
          <w:sz w:val="20"/>
          <w:szCs w:val="20"/>
          <w:shd w:val="clear" w:color="auto" w:fill="FFFFFF"/>
        </w:rPr>
        <w:br/>
      </w:r>
      <w:r w:rsidRPr="00957AB7">
        <w:rPr>
          <w:color w:val="000000" w:themeColor="text1"/>
          <w:sz w:val="20"/>
          <w:szCs w:val="20"/>
          <w:shd w:val="clear" w:color="auto" w:fill="FFFFFF"/>
          <w:vertAlign w:val="superscript"/>
        </w:rPr>
        <w:t xml:space="preserve">c </w:t>
      </w:r>
      <w:r w:rsidRPr="00957AB7">
        <w:rPr>
          <w:color w:val="000000" w:themeColor="text1"/>
          <w:sz w:val="20"/>
          <w:szCs w:val="20"/>
          <w:shd w:val="clear" w:color="auto" w:fill="FFFFFF"/>
        </w:rPr>
        <w:t xml:space="preserve">P loads reductions are based on GIS and constructed phosphorus (P) delivery index.  </w:t>
      </w:r>
      <w:r w:rsidRPr="00957AB7">
        <w:rPr>
          <w:color w:val="000000" w:themeColor="text1"/>
          <w:sz w:val="20"/>
          <w:szCs w:val="20"/>
          <w:shd w:val="clear" w:color="auto" w:fill="FFFFFF"/>
          <w:vertAlign w:val="superscript"/>
        </w:rPr>
        <w:t>d</w:t>
      </w:r>
      <w:r w:rsidRPr="00957AB7">
        <w:rPr>
          <w:color w:val="000000" w:themeColor="text1"/>
          <w:sz w:val="20"/>
          <w:szCs w:val="20"/>
          <w:shd w:val="clear" w:color="auto" w:fill="FFFFFF"/>
        </w:rPr>
        <w:t xml:space="preserve"> Nitrogen reduction estimates are from our synoptic studies.</w:t>
      </w:r>
      <w:r w:rsidRPr="00957AB7">
        <w:rPr>
          <w:color w:val="000000" w:themeColor="text1"/>
          <w:sz w:val="20"/>
          <w:szCs w:val="20"/>
          <w:shd w:val="clear" w:color="auto" w:fill="FFFFFF"/>
        </w:rPr>
        <w:br/>
      </w:r>
      <w:r w:rsidRPr="00957AB7">
        <w:rPr>
          <w:color w:val="000000" w:themeColor="text1"/>
          <w:sz w:val="21"/>
          <w:szCs w:val="21"/>
          <w:shd w:val="clear" w:color="auto" w:fill="FFFFFF"/>
        </w:rPr>
        <w:t xml:space="preserve">  </w:t>
      </w:r>
      <w:r w:rsidRPr="00957AB7">
        <w:rPr>
          <w:color w:val="000000" w:themeColor="text1"/>
          <w:sz w:val="20"/>
          <w:szCs w:val="20"/>
          <w:shd w:val="clear" w:color="auto" w:fill="FFFFFF"/>
        </w:rPr>
        <w:t xml:space="preserve">Abbreviations: CBWM- Chesapeake Bay Watershed Model, FSS-farm specific scenario, MS- multirepresentative scenario, O&amp;M - operations &amp; maintenance costs, NA - Not Available.      </w:t>
      </w:r>
    </w:p>
    <w:p w14:paraId="63B9853B" w14:textId="3A509728" w:rsidR="00FE5119" w:rsidRPr="00137981" w:rsidRDefault="009505F0" w:rsidP="00DC7380">
      <w:pPr>
        <w:autoSpaceDE w:val="0"/>
        <w:autoSpaceDN w:val="0"/>
        <w:adjustRightInd w:val="0"/>
        <w:rPr>
          <w:b/>
          <w:bCs/>
        </w:rPr>
      </w:pPr>
      <w:r w:rsidRPr="00137981">
        <w:rPr>
          <w:b/>
          <w:bCs/>
        </w:rPr>
        <w:lastRenderedPageBreak/>
        <w:t>References</w:t>
      </w:r>
    </w:p>
    <w:p w14:paraId="2CE7EAA7" w14:textId="77777777" w:rsidR="009505F0" w:rsidRDefault="009505F0" w:rsidP="00DC7380">
      <w:pPr>
        <w:autoSpaceDE w:val="0"/>
        <w:autoSpaceDN w:val="0"/>
        <w:adjustRightInd w:val="0"/>
      </w:pPr>
    </w:p>
    <w:p w14:paraId="013FA26B" w14:textId="77777777" w:rsidR="00AD5940" w:rsidRPr="00713873" w:rsidRDefault="00AD5940" w:rsidP="00AD5940">
      <w:pPr>
        <w:widowControl w:val="0"/>
        <w:autoSpaceDE w:val="0"/>
        <w:autoSpaceDN w:val="0"/>
        <w:adjustRightInd w:val="0"/>
        <w:ind w:left="480" w:hanging="480"/>
        <w:rPr>
          <w:noProof/>
          <w:color w:val="000000" w:themeColor="text1"/>
        </w:rPr>
      </w:pPr>
      <w:r w:rsidRPr="00713873">
        <w:rPr>
          <w:noProof/>
          <w:color w:val="000000" w:themeColor="text1"/>
        </w:rPr>
        <w:t>Bonham, J. G., D. J. Bosch, and J. W. Pease. "Cost-Effectiveness of Nutrient Management and Buffers: Comparisons of Two Spatial Scenarios." Journal of Agricultural and Applied Economics 38,1(2006):17–32.</w:t>
      </w:r>
    </w:p>
    <w:p w14:paraId="49E63CEA" w14:textId="77777777" w:rsidR="00137981" w:rsidRPr="00713873" w:rsidRDefault="00137981" w:rsidP="00137981">
      <w:pPr>
        <w:widowControl w:val="0"/>
        <w:spacing w:before="40"/>
        <w:ind w:left="475" w:hanging="475"/>
        <w:rPr>
          <w:color w:val="000000" w:themeColor="text1"/>
        </w:rPr>
      </w:pPr>
      <w:r w:rsidRPr="00713873">
        <w:rPr>
          <w:color w:val="000000" w:themeColor="text1"/>
        </w:rPr>
        <w:t>Fleming, P.M., D.J. Merritts, and R.C. Walter. "Legacy Sediment Erosion Hot Spots: A Cost-Effective Approach for Targeting Water Quality Improvements. " Journal of Soil and Water Conservation 74 (2019):67A- 73A.</w:t>
      </w:r>
    </w:p>
    <w:p w14:paraId="516EC49A" w14:textId="77777777" w:rsidR="00710036" w:rsidRPr="00713873" w:rsidRDefault="00710036" w:rsidP="00710036">
      <w:pPr>
        <w:widowControl w:val="0"/>
        <w:autoSpaceDE w:val="0"/>
        <w:autoSpaceDN w:val="0"/>
        <w:adjustRightInd w:val="0"/>
        <w:ind w:left="480" w:hanging="480"/>
        <w:rPr>
          <w:noProof/>
          <w:color w:val="000000" w:themeColor="text1"/>
        </w:rPr>
      </w:pPr>
      <w:r w:rsidRPr="00713873">
        <w:rPr>
          <w:color w:val="000000" w:themeColor="text1"/>
        </w:rPr>
        <w:t>Jones, C., E. Branosky, M. Selman, and M. Perez. “How Nutrient Trading Could Help Restore the Chesapeake Bay.” Working Paper, World Resources Institute, Washington, DC. 2010.</w:t>
      </w:r>
    </w:p>
    <w:p w14:paraId="5BDE3A74" w14:textId="77777777" w:rsidR="00137981" w:rsidRPr="00137981" w:rsidRDefault="00137981" w:rsidP="00137981">
      <w:pPr>
        <w:widowControl w:val="0"/>
        <w:autoSpaceDE w:val="0"/>
        <w:autoSpaceDN w:val="0"/>
        <w:adjustRightInd w:val="0"/>
        <w:ind w:left="480" w:hanging="480"/>
        <w:rPr>
          <w:color w:val="000000" w:themeColor="text1"/>
        </w:rPr>
      </w:pPr>
      <w:r w:rsidRPr="00137981">
        <w:rPr>
          <w:color w:val="000000" w:themeColor="text1"/>
        </w:rPr>
        <w:t>Peña, E. A., and E. H. Slate. “Global validation of linear model assumptions.” Journal of the American Statistical Association 101(2006):341–354.</w:t>
      </w:r>
    </w:p>
    <w:p w14:paraId="5E3E8E3F" w14:textId="5D8AD6A5" w:rsidR="005A0D12" w:rsidRPr="00CB5934" w:rsidRDefault="005A0D12" w:rsidP="005A0D12">
      <w:pPr>
        <w:widowControl w:val="0"/>
        <w:autoSpaceDE w:val="0"/>
        <w:autoSpaceDN w:val="0"/>
        <w:adjustRightInd w:val="0"/>
        <w:ind w:left="480" w:hanging="480"/>
      </w:pPr>
      <w:r w:rsidRPr="00CB5934">
        <w:rPr>
          <w:noProof/>
        </w:rPr>
        <w:t xml:space="preserve">Siemek, </w:t>
      </w:r>
      <w:r w:rsidR="00992357" w:rsidRPr="00CB5934">
        <w:rPr>
          <w:noProof/>
        </w:rPr>
        <w:t>S</w:t>
      </w:r>
      <w:r w:rsidRPr="00CB5934">
        <w:rPr>
          <w:noProof/>
        </w:rPr>
        <w:t xml:space="preserve">., </w:t>
      </w:r>
      <w:r w:rsidR="002C7917" w:rsidRPr="00CB5934">
        <w:rPr>
          <w:noProof/>
        </w:rPr>
        <w:t>O</w:t>
      </w:r>
      <w:r w:rsidRPr="00CB5934">
        <w:rPr>
          <w:noProof/>
        </w:rPr>
        <w:t xml:space="preserve">. </w:t>
      </w:r>
      <w:r w:rsidR="002C7917" w:rsidRPr="00CB5934">
        <w:rPr>
          <w:noProof/>
        </w:rPr>
        <w:t>Kucher</w:t>
      </w:r>
      <w:r w:rsidRPr="00CB5934">
        <w:rPr>
          <w:noProof/>
        </w:rPr>
        <w:t xml:space="preserve">, and </w:t>
      </w:r>
      <w:r w:rsidR="004C61EF" w:rsidRPr="00CB5934">
        <w:rPr>
          <w:noProof/>
        </w:rPr>
        <w:t>K</w:t>
      </w:r>
      <w:r w:rsidRPr="00CB5934">
        <w:rPr>
          <w:noProof/>
        </w:rPr>
        <w:t xml:space="preserve">. </w:t>
      </w:r>
      <w:r w:rsidR="004C61EF" w:rsidRPr="00CB5934">
        <w:rPr>
          <w:noProof/>
        </w:rPr>
        <w:t>N</w:t>
      </w:r>
      <w:r w:rsidRPr="00CB5934">
        <w:rPr>
          <w:noProof/>
        </w:rPr>
        <w:t xml:space="preserve">. </w:t>
      </w:r>
      <w:r w:rsidR="004C61EF" w:rsidRPr="00CB5934">
        <w:t>Eshleman</w:t>
      </w:r>
      <w:r w:rsidRPr="00CB5934">
        <w:rPr>
          <w:noProof/>
        </w:rPr>
        <w:t xml:space="preserve">. </w:t>
      </w:r>
      <w:r w:rsidRPr="00CB5934">
        <w:t>"</w:t>
      </w:r>
      <w:r w:rsidR="00C92B16" w:rsidRPr="00CB5934">
        <w:t>Cost of reducing nutrients from riparian buffers</w:t>
      </w:r>
      <w:r w:rsidR="009E7A98" w:rsidRPr="00CB5934">
        <w:t xml:space="preserve"> </w:t>
      </w:r>
      <w:r w:rsidR="00C92B16" w:rsidRPr="00CB5934">
        <w:t>in western Maryland</w:t>
      </w:r>
      <w:r w:rsidRPr="00CB5934">
        <w:t xml:space="preserve">." </w:t>
      </w:r>
      <w:r w:rsidR="00C92B16" w:rsidRPr="00CB5934">
        <w:t>Working Paper</w:t>
      </w:r>
      <w:r w:rsidR="009E7A98" w:rsidRPr="00CB5934">
        <w:t>, 2023</w:t>
      </w:r>
      <w:r w:rsidRPr="00CB5934">
        <w:t>.</w:t>
      </w:r>
    </w:p>
    <w:p w14:paraId="5559F50B" w14:textId="77777777" w:rsidR="004E7EF2" w:rsidRPr="00713873" w:rsidRDefault="004E7EF2" w:rsidP="004E7EF2">
      <w:pPr>
        <w:widowControl w:val="0"/>
        <w:spacing w:before="40"/>
        <w:ind w:left="475" w:hanging="475"/>
        <w:rPr>
          <w:color w:val="000000" w:themeColor="text1"/>
        </w:rPr>
      </w:pPr>
      <w:r w:rsidRPr="005B2512">
        <w:t>Van Houtven, G., R. Loomis, J. Baker, R. Beach, and</w:t>
      </w:r>
      <w:r w:rsidRPr="00713873">
        <w:rPr>
          <w:color w:val="000000" w:themeColor="text1"/>
        </w:rPr>
        <w:t xml:space="preserve"> S. Casey. “Nutrient Credit Trading for the Chesapeake Bay: An Economic Study.” Prepared for the Chesapeake Bay Commission, Annapolis, MD, 2012. </w:t>
      </w:r>
    </w:p>
    <w:p w14:paraId="119CE2A0" w14:textId="77777777" w:rsidR="00137981" w:rsidRDefault="00137981" w:rsidP="00137981">
      <w:pPr>
        <w:widowControl w:val="0"/>
        <w:autoSpaceDE w:val="0"/>
        <w:autoSpaceDN w:val="0"/>
        <w:adjustRightInd w:val="0"/>
        <w:ind w:left="480" w:hanging="480"/>
        <w:rPr>
          <w:noProof/>
          <w:color w:val="000000" w:themeColor="text1"/>
        </w:rPr>
      </w:pPr>
      <w:r w:rsidRPr="00713873">
        <w:rPr>
          <w:noProof/>
          <w:color w:val="000000" w:themeColor="text1"/>
        </w:rPr>
        <w:t>Wieland, R., D. Parker, W. Gans, and A. Martin. Costs and Cost Efficiencies for Some Nutrient Reduction Practices in Maryland. Prepared for National Oceanic and Atmospheric Administration Chesapeake Bay Office and Maryland Department of Natural Resources, 2009.</w:t>
      </w:r>
    </w:p>
    <w:p w14:paraId="3828AD83" w14:textId="77777777" w:rsidR="005A0D12" w:rsidRPr="00713873" w:rsidRDefault="005A0D12" w:rsidP="00137981">
      <w:pPr>
        <w:widowControl w:val="0"/>
        <w:autoSpaceDE w:val="0"/>
        <w:autoSpaceDN w:val="0"/>
        <w:adjustRightInd w:val="0"/>
        <w:ind w:left="480" w:hanging="480"/>
        <w:rPr>
          <w:noProof/>
          <w:color w:val="000000" w:themeColor="text1"/>
        </w:rPr>
      </w:pPr>
    </w:p>
    <w:p w14:paraId="25F2F2CC" w14:textId="77777777" w:rsidR="009505F0" w:rsidRPr="00442C6F" w:rsidRDefault="009505F0" w:rsidP="00DC7380">
      <w:pPr>
        <w:autoSpaceDE w:val="0"/>
        <w:autoSpaceDN w:val="0"/>
        <w:adjustRightInd w:val="0"/>
        <w:rPr>
          <w:sz w:val="28"/>
          <w:szCs w:val="28"/>
        </w:rPr>
      </w:pPr>
    </w:p>
    <w:sectPr w:rsidR="009505F0" w:rsidRPr="00442C6F" w:rsidSect="00702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5226" w14:textId="77777777" w:rsidR="00966516" w:rsidRDefault="00966516">
      <w:r>
        <w:separator/>
      </w:r>
    </w:p>
  </w:endnote>
  <w:endnote w:type="continuationSeparator" w:id="0">
    <w:p w14:paraId="5359D870" w14:textId="77777777" w:rsidR="00966516" w:rsidRDefault="0096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57560"/>
      <w:docPartObj>
        <w:docPartGallery w:val="Page Numbers (Bottom of Page)"/>
        <w:docPartUnique/>
      </w:docPartObj>
    </w:sdtPr>
    <w:sdtEndPr>
      <w:rPr>
        <w:noProof/>
      </w:rPr>
    </w:sdtEndPr>
    <w:sdtContent>
      <w:p w14:paraId="2FCCA9E4" w14:textId="77777777" w:rsidR="00712899" w:rsidRDefault="009E7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E67CB" w14:textId="77777777" w:rsidR="00712899" w:rsidRDefault="00F1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F5AD" w14:textId="77777777" w:rsidR="00966516" w:rsidRDefault="00966516">
      <w:r>
        <w:separator/>
      </w:r>
    </w:p>
  </w:footnote>
  <w:footnote w:type="continuationSeparator" w:id="0">
    <w:p w14:paraId="004A880D" w14:textId="77777777" w:rsidR="00966516" w:rsidRDefault="0096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AC"/>
    <w:rsid w:val="000135AD"/>
    <w:rsid w:val="000142B0"/>
    <w:rsid w:val="00046765"/>
    <w:rsid w:val="000A6E56"/>
    <w:rsid w:val="000D7FB3"/>
    <w:rsid w:val="000E0564"/>
    <w:rsid w:val="000E1D04"/>
    <w:rsid w:val="000F456A"/>
    <w:rsid w:val="00123EDA"/>
    <w:rsid w:val="001312C0"/>
    <w:rsid w:val="00137981"/>
    <w:rsid w:val="00141057"/>
    <w:rsid w:val="0014118E"/>
    <w:rsid w:val="0014643E"/>
    <w:rsid w:val="00153763"/>
    <w:rsid w:val="001975D6"/>
    <w:rsid w:val="001A2007"/>
    <w:rsid w:val="001B7FE5"/>
    <w:rsid w:val="001C1CE1"/>
    <w:rsid w:val="001E026F"/>
    <w:rsid w:val="002144EC"/>
    <w:rsid w:val="002445D6"/>
    <w:rsid w:val="00285807"/>
    <w:rsid w:val="002C7917"/>
    <w:rsid w:val="002D4AB3"/>
    <w:rsid w:val="0033636F"/>
    <w:rsid w:val="00390391"/>
    <w:rsid w:val="003A7EF5"/>
    <w:rsid w:val="0042108B"/>
    <w:rsid w:val="00425B5B"/>
    <w:rsid w:val="00431D06"/>
    <w:rsid w:val="00442C6F"/>
    <w:rsid w:val="004638C4"/>
    <w:rsid w:val="00491D01"/>
    <w:rsid w:val="004C61EF"/>
    <w:rsid w:val="004E7EF2"/>
    <w:rsid w:val="00511FAC"/>
    <w:rsid w:val="00517B1C"/>
    <w:rsid w:val="00544765"/>
    <w:rsid w:val="005521F0"/>
    <w:rsid w:val="00554737"/>
    <w:rsid w:val="00570DBC"/>
    <w:rsid w:val="00584A2B"/>
    <w:rsid w:val="005A0D12"/>
    <w:rsid w:val="005B2512"/>
    <w:rsid w:val="0060646E"/>
    <w:rsid w:val="00614C4D"/>
    <w:rsid w:val="00615248"/>
    <w:rsid w:val="0062143D"/>
    <w:rsid w:val="00633862"/>
    <w:rsid w:val="00651BFA"/>
    <w:rsid w:val="006570C5"/>
    <w:rsid w:val="0069299A"/>
    <w:rsid w:val="006A4BE3"/>
    <w:rsid w:val="006B2150"/>
    <w:rsid w:val="006B465B"/>
    <w:rsid w:val="006D0CDE"/>
    <w:rsid w:val="006F57D1"/>
    <w:rsid w:val="00702EF1"/>
    <w:rsid w:val="0070495D"/>
    <w:rsid w:val="00710036"/>
    <w:rsid w:val="00715E03"/>
    <w:rsid w:val="00727A1C"/>
    <w:rsid w:val="00731E9B"/>
    <w:rsid w:val="00732427"/>
    <w:rsid w:val="007402C8"/>
    <w:rsid w:val="00772E10"/>
    <w:rsid w:val="007B01BA"/>
    <w:rsid w:val="007B0CC3"/>
    <w:rsid w:val="007B67D5"/>
    <w:rsid w:val="007B6DDC"/>
    <w:rsid w:val="007D5F70"/>
    <w:rsid w:val="0084420A"/>
    <w:rsid w:val="00856E67"/>
    <w:rsid w:val="00893BF0"/>
    <w:rsid w:val="00893C06"/>
    <w:rsid w:val="00896375"/>
    <w:rsid w:val="008B366A"/>
    <w:rsid w:val="008D0897"/>
    <w:rsid w:val="008D4C79"/>
    <w:rsid w:val="008D7CE9"/>
    <w:rsid w:val="008F30A6"/>
    <w:rsid w:val="00905E45"/>
    <w:rsid w:val="00922687"/>
    <w:rsid w:val="009505F0"/>
    <w:rsid w:val="00957AB7"/>
    <w:rsid w:val="00966516"/>
    <w:rsid w:val="009768FD"/>
    <w:rsid w:val="009905B1"/>
    <w:rsid w:val="00992357"/>
    <w:rsid w:val="009E4047"/>
    <w:rsid w:val="009E7A98"/>
    <w:rsid w:val="00A01605"/>
    <w:rsid w:val="00A03056"/>
    <w:rsid w:val="00A32723"/>
    <w:rsid w:val="00A33A8F"/>
    <w:rsid w:val="00A40633"/>
    <w:rsid w:val="00A54DC8"/>
    <w:rsid w:val="00AD5940"/>
    <w:rsid w:val="00B00E31"/>
    <w:rsid w:val="00B179C1"/>
    <w:rsid w:val="00B41788"/>
    <w:rsid w:val="00B54F63"/>
    <w:rsid w:val="00B6185D"/>
    <w:rsid w:val="00B646FE"/>
    <w:rsid w:val="00BB7442"/>
    <w:rsid w:val="00BC79D8"/>
    <w:rsid w:val="00C0715E"/>
    <w:rsid w:val="00C24962"/>
    <w:rsid w:val="00C2692D"/>
    <w:rsid w:val="00C63E1D"/>
    <w:rsid w:val="00C72618"/>
    <w:rsid w:val="00C80F52"/>
    <w:rsid w:val="00C92B16"/>
    <w:rsid w:val="00CB5934"/>
    <w:rsid w:val="00CD216C"/>
    <w:rsid w:val="00CD6AF3"/>
    <w:rsid w:val="00CD73B1"/>
    <w:rsid w:val="00CE2BFC"/>
    <w:rsid w:val="00CF5A08"/>
    <w:rsid w:val="00D3012C"/>
    <w:rsid w:val="00D43E6B"/>
    <w:rsid w:val="00D543AA"/>
    <w:rsid w:val="00D61A52"/>
    <w:rsid w:val="00D6440A"/>
    <w:rsid w:val="00D715DB"/>
    <w:rsid w:val="00D85A60"/>
    <w:rsid w:val="00DA3B3D"/>
    <w:rsid w:val="00DB44FC"/>
    <w:rsid w:val="00DB666D"/>
    <w:rsid w:val="00DC7380"/>
    <w:rsid w:val="00DE6530"/>
    <w:rsid w:val="00E27D99"/>
    <w:rsid w:val="00E30599"/>
    <w:rsid w:val="00E55B0D"/>
    <w:rsid w:val="00E84626"/>
    <w:rsid w:val="00E925DF"/>
    <w:rsid w:val="00E947C9"/>
    <w:rsid w:val="00EA19F4"/>
    <w:rsid w:val="00EC68CE"/>
    <w:rsid w:val="00F057D1"/>
    <w:rsid w:val="00F16FF7"/>
    <w:rsid w:val="00F32CAD"/>
    <w:rsid w:val="00F6124D"/>
    <w:rsid w:val="00F6393C"/>
    <w:rsid w:val="00F77F9F"/>
    <w:rsid w:val="00F84D04"/>
    <w:rsid w:val="00F85292"/>
    <w:rsid w:val="00F86312"/>
    <w:rsid w:val="00F91419"/>
    <w:rsid w:val="00FC5374"/>
    <w:rsid w:val="00FD3DB6"/>
    <w:rsid w:val="00FE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CC0C"/>
  <w15:chartTrackingRefBased/>
  <w15:docId w15:val="{6E86062C-AAE8-4876-96C5-753875F4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D73B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F456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19F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78274">
      <w:bodyDiv w:val="1"/>
      <w:marLeft w:val="0"/>
      <w:marRight w:val="0"/>
      <w:marTop w:val="0"/>
      <w:marBottom w:val="0"/>
      <w:divBdr>
        <w:top w:val="none" w:sz="0" w:space="0" w:color="auto"/>
        <w:left w:val="none" w:sz="0" w:space="0" w:color="auto"/>
        <w:bottom w:val="none" w:sz="0" w:space="0" w:color="auto"/>
        <w:right w:val="none" w:sz="0" w:space="0" w:color="auto"/>
      </w:divBdr>
      <w:divsChild>
        <w:div w:id="1680352070">
          <w:marLeft w:val="0"/>
          <w:marRight w:val="0"/>
          <w:marTop w:val="0"/>
          <w:marBottom w:val="0"/>
          <w:divBdr>
            <w:top w:val="none" w:sz="0" w:space="0" w:color="auto"/>
            <w:left w:val="none" w:sz="0" w:space="0" w:color="auto"/>
            <w:bottom w:val="none" w:sz="0" w:space="0" w:color="auto"/>
            <w:right w:val="none" w:sz="0" w:space="0" w:color="auto"/>
          </w:divBdr>
        </w:div>
        <w:div w:id="135446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54E6-3CDD-4508-951F-B6E7E020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Siemek, Stephanie M</dc:creator>
  <cp:keywords/>
  <dc:description/>
  <cp:lastModifiedBy>Siemek, Stephanie M</cp:lastModifiedBy>
  <cp:revision>10</cp:revision>
  <dcterms:created xsi:type="dcterms:W3CDTF">2023-06-03T22:51:00Z</dcterms:created>
  <dcterms:modified xsi:type="dcterms:W3CDTF">2023-06-04T00:14:00Z</dcterms:modified>
</cp:coreProperties>
</file>