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B4" w:rsidRDefault="008924B4" w:rsidP="008924B4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Appendix 1. Parameter Estimation</w:t>
      </w:r>
    </w:p>
    <w:p w:rsidR="008924B4" w:rsidRDefault="008924B4" w:rsidP="008924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employ ordinary </w:t>
      </w:r>
      <w:r w:rsidRPr="00330612">
        <w:rPr>
          <w:rFonts w:ascii="Times New Roman" w:hAnsi="Times New Roman" w:cs="Times New Roman"/>
          <w:sz w:val="24"/>
          <w:szCs w:val="24"/>
        </w:rPr>
        <w:t>least squares (OLS) and linear specifications</w:t>
      </w:r>
      <w:r>
        <w:rPr>
          <w:rFonts w:ascii="Times New Roman" w:hAnsi="Times New Roman" w:cs="Times New Roman"/>
          <w:sz w:val="24"/>
          <w:szCs w:val="24"/>
        </w:rPr>
        <w:t xml:space="preserve"> in tandem with </w:t>
      </w:r>
      <w:r w:rsidRPr="005746AB">
        <w:rPr>
          <w:rFonts w:ascii="Times New Roman" w:hAnsi="Times New Roman" w:cs="Times New Roman"/>
          <w:sz w:val="24"/>
          <w:szCs w:val="24"/>
        </w:rPr>
        <w:t>annual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330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(USDA ERS, 2017) for the 1980-</w:t>
      </w:r>
      <w:r w:rsidRPr="0033061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3 timeframe to estimate behavioral parameters that describe U.S. sugar supply and demand in the modeling framework. OLS and linear specifications were used to </w:t>
      </w:r>
      <w:r w:rsidRPr="00330612">
        <w:rPr>
          <w:rFonts w:ascii="Times New Roman" w:hAnsi="Times New Roman" w:cs="Times New Roman"/>
          <w:sz w:val="24"/>
          <w:szCs w:val="24"/>
        </w:rPr>
        <w:t>save degrees of freedom</w:t>
      </w:r>
      <w:r>
        <w:rPr>
          <w:rFonts w:ascii="Times New Roman" w:hAnsi="Times New Roman" w:cs="Times New Roman"/>
          <w:sz w:val="24"/>
          <w:szCs w:val="24"/>
        </w:rPr>
        <w:t>, given</w:t>
      </w:r>
      <w:r w:rsidRPr="00330612">
        <w:rPr>
          <w:rFonts w:ascii="Times New Roman" w:hAnsi="Times New Roman" w:cs="Times New Roman"/>
          <w:sz w:val="24"/>
          <w:szCs w:val="24"/>
        </w:rPr>
        <w:t xml:space="preserve"> the relatively small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Pr="00330612">
        <w:rPr>
          <w:rFonts w:ascii="Times New Roman" w:hAnsi="Times New Roman" w:cs="Times New Roman"/>
          <w:sz w:val="24"/>
          <w:szCs w:val="24"/>
        </w:rPr>
        <w:t xml:space="preserve">time series used for estimation. </w:t>
      </w:r>
      <w:r>
        <w:rPr>
          <w:rFonts w:ascii="Times New Roman" w:hAnsi="Times New Roman" w:cs="Times New Roman"/>
          <w:sz w:val="24"/>
          <w:szCs w:val="24"/>
        </w:rPr>
        <w:t xml:space="preserve">We use parameters from </w:t>
      </w:r>
      <w:proofErr w:type="spellStart"/>
      <w:r w:rsidRPr="00330612">
        <w:rPr>
          <w:rFonts w:ascii="Times New Roman" w:hAnsi="Times New Roman" w:cs="Times New Roman"/>
          <w:sz w:val="24"/>
          <w:szCs w:val="24"/>
        </w:rPr>
        <w:t>Elobeid</w:t>
      </w:r>
      <w:proofErr w:type="spellEnd"/>
      <w:r w:rsidRPr="003306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0612">
        <w:rPr>
          <w:rFonts w:ascii="Times New Roman" w:hAnsi="Times New Roman" w:cs="Times New Roman"/>
          <w:sz w:val="24"/>
          <w:szCs w:val="24"/>
        </w:rPr>
        <w:t>Beghin</w:t>
      </w:r>
      <w:proofErr w:type="spellEnd"/>
      <w:r w:rsidRPr="00330612">
        <w:rPr>
          <w:rFonts w:ascii="Times New Roman" w:hAnsi="Times New Roman" w:cs="Times New Roman"/>
          <w:sz w:val="24"/>
          <w:szCs w:val="24"/>
        </w:rPr>
        <w:t xml:space="preserve"> (2006)</w:t>
      </w:r>
      <w:r>
        <w:rPr>
          <w:rFonts w:ascii="Times New Roman" w:hAnsi="Times New Roman" w:cs="Times New Roman"/>
          <w:sz w:val="24"/>
          <w:szCs w:val="24"/>
        </w:rPr>
        <w:t xml:space="preserve"> for all other modeled regions. Parameter estimates for the U.S. sugar market largely reflect those employed in the FAPRI/CARD model and are included in Appendix Tables A1-A6, below.</w:t>
      </w:r>
    </w:p>
    <w:p w:rsidR="008924B4" w:rsidRPr="004A21AC" w:rsidRDefault="008924B4" w:rsidP="008924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A1. </w:t>
      </w:r>
      <w:r w:rsidRPr="004A21AC">
        <w:rPr>
          <w:rFonts w:ascii="Times New Roman" w:hAnsi="Times New Roman" w:cs="Times New Roman"/>
          <w:sz w:val="24"/>
          <w:szCs w:val="24"/>
        </w:rPr>
        <w:t>U.S. Area Harvested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Sugar Beets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Sugarcane</w:t>
            </w: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Lagged Area Harvested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0.720*** (0.117)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0.909*** (0.103)</w:t>
            </w: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Lagged Crop Price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109.000*** (25.120)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-2.506 (16.340)</w:t>
            </w: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Lagged Soybean Price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-13.78*** (3.554)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Lagged Corn Price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9.711 (5.820)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-0.747 (0.714)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-0.155 (0.416)</w:t>
            </w: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1517 (1383)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346.8 (790.500)</w:t>
            </w: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</w:tr>
      <w:tr w:rsidR="008924B4" w:rsidRPr="0015557C" w:rsidTr="00586F99">
        <w:tc>
          <w:tcPr>
            <w:tcW w:w="9350" w:type="dxa"/>
            <w:gridSpan w:val="3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*** p&lt;0.01, ** p&lt;0.05, * p&lt;0.1, Standard errors in parentheses</w:t>
            </w:r>
          </w:p>
        </w:tc>
      </w:tr>
    </w:tbl>
    <w:p w:rsidR="008924B4" w:rsidRPr="004A21AC" w:rsidRDefault="008924B4" w:rsidP="008924B4">
      <w:pPr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eastAsia="MS Mincho" w:hAnsi="Times New Roman" w:cs="Times New Roman"/>
          <w:noProof/>
          <w:sz w:val="24"/>
          <w:szCs w:val="24"/>
        </w:rPr>
        <w:t>Source: Authors’ estimation</w:t>
      </w:r>
    </w:p>
    <w:p w:rsidR="00167CE1" w:rsidRDefault="0016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24B4" w:rsidRPr="004A21AC" w:rsidRDefault="008924B4" w:rsidP="0089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A2. </w:t>
      </w:r>
      <w:r w:rsidRPr="004A21AC">
        <w:rPr>
          <w:rFonts w:ascii="Times New Roman" w:hAnsi="Times New Roman" w:cs="Times New Roman"/>
          <w:sz w:val="24"/>
          <w:szCs w:val="24"/>
        </w:rPr>
        <w:t>U.S. Crop Yields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Sugar Beets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Sugarcane</w:t>
            </w: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Lagged Crop Yield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0.235 (0.175)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0.435** (0.173)</w:t>
            </w: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0.512*** (0.125)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-0.095 (0.0094)</w:t>
            </w: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-982.1 (242.700)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235.006 (193.080)</w:t>
            </w: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924B4" w:rsidRPr="0015557C" w:rsidTr="00586F99">
        <w:tc>
          <w:tcPr>
            <w:tcW w:w="3116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  <w:tc>
          <w:tcPr>
            <w:tcW w:w="3117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0.281</w:t>
            </w:r>
          </w:p>
        </w:tc>
      </w:tr>
      <w:tr w:rsidR="008924B4" w:rsidRPr="0015557C" w:rsidTr="00586F99">
        <w:tc>
          <w:tcPr>
            <w:tcW w:w="9350" w:type="dxa"/>
            <w:gridSpan w:val="3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*** p&lt;0.01, ** p&lt;0.05, * p&lt;0.1, Standard errors in parentheses</w:t>
            </w:r>
          </w:p>
        </w:tc>
      </w:tr>
    </w:tbl>
    <w:p w:rsidR="008924B4" w:rsidRPr="004A21AC" w:rsidRDefault="008924B4" w:rsidP="008924B4">
      <w:pPr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eastAsia="MS Mincho" w:hAnsi="Times New Roman" w:cs="Times New Roman"/>
          <w:noProof/>
          <w:sz w:val="24"/>
          <w:szCs w:val="24"/>
        </w:rPr>
        <w:t>Source: Authors’ estimation</w:t>
      </w:r>
    </w:p>
    <w:p w:rsidR="008924B4" w:rsidRPr="004A21AC" w:rsidRDefault="008924B4" w:rsidP="0089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A3. </w:t>
      </w:r>
      <w:r w:rsidRPr="004A21AC">
        <w:rPr>
          <w:rFonts w:ascii="Times New Roman" w:hAnsi="Times New Roman" w:cs="Times New Roman"/>
          <w:sz w:val="24"/>
          <w:szCs w:val="24"/>
        </w:rPr>
        <w:t>Consumption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Per Capita Consumption of Raw Sugar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Refined Sugar Price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0.153*** (0.039)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Real GDP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-0.00056*** (0.000124)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32.07*** (1.175)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0.387</w:t>
            </w:r>
          </w:p>
        </w:tc>
      </w:tr>
      <w:tr w:rsidR="008924B4" w:rsidRPr="0015557C" w:rsidTr="00586F99">
        <w:tc>
          <w:tcPr>
            <w:tcW w:w="9350" w:type="dxa"/>
            <w:gridSpan w:val="2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*** p&lt;0.01, ** p&lt;0.05, * p&lt;0.1, Standard errors in parentheses</w:t>
            </w:r>
          </w:p>
        </w:tc>
      </w:tr>
    </w:tbl>
    <w:p w:rsidR="008924B4" w:rsidRDefault="008924B4" w:rsidP="008924B4">
      <w:pPr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eastAsia="MS Mincho" w:hAnsi="Times New Roman" w:cs="Times New Roman"/>
          <w:noProof/>
          <w:sz w:val="24"/>
          <w:szCs w:val="24"/>
        </w:rPr>
        <w:t>Source: Authors’ estimation</w:t>
      </w:r>
    </w:p>
    <w:p w:rsidR="008924B4" w:rsidRPr="004A21AC" w:rsidRDefault="008924B4" w:rsidP="0089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A4. </w:t>
      </w:r>
      <w:r w:rsidRPr="004A21AC">
        <w:rPr>
          <w:rFonts w:ascii="Times New Roman" w:hAnsi="Times New Roman" w:cs="Times New Roman"/>
          <w:sz w:val="24"/>
          <w:szCs w:val="24"/>
        </w:rPr>
        <w:t>Ending Stocks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Ending Stocks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Beginning Stock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0.216 (0.176)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Consumption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0.121** (0.056)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Raw Price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-26.54** (10.580)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676.2 (411.600)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</w:tr>
      <w:tr w:rsidR="008924B4" w:rsidRPr="0015557C" w:rsidTr="00586F99">
        <w:tc>
          <w:tcPr>
            <w:tcW w:w="9350" w:type="dxa"/>
            <w:gridSpan w:val="2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*** p&lt;0.01, ** p&lt;0.05, * p&lt;0.1, Standard errors in parentheses</w:t>
            </w:r>
          </w:p>
        </w:tc>
      </w:tr>
    </w:tbl>
    <w:p w:rsidR="008924B4" w:rsidRPr="004A21AC" w:rsidRDefault="008924B4" w:rsidP="008924B4">
      <w:pPr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eastAsia="MS Mincho" w:hAnsi="Times New Roman" w:cs="Times New Roman"/>
          <w:noProof/>
          <w:sz w:val="24"/>
          <w:szCs w:val="24"/>
        </w:rPr>
        <w:t>Source: Authors’</w:t>
      </w:r>
      <w:r w:rsidRPr="000C3B42">
        <w:rPr>
          <w:rFonts w:ascii="Times New Roman" w:eastAsia="MS Mincho" w:hAnsi="Times New Roman" w:cs="Times New Roman"/>
          <w:noProof/>
          <w:sz w:val="24"/>
          <w:szCs w:val="24"/>
        </w:rPr>
        <w:t xml:space="preserve"> estimation</w:t>
      </w:r>
    </w:p>
    <w:p w:rsidR="008924B4" w:rsidRPr="004A21AC" w:rsidRDefault="008924B4" w:rsidP="0089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A5. </w:t>
      </w:r>
      <w:r w:rsidRPr="004A21AC">
        <w:rPr>
          <w:rFonts w:ascii="Times New Roman" w:hAnsi="Times New Roman" w:cs="Times New Roman"/>
          <w:sz w:val="24"/>
          <w:szCs w:val="24"/>
        </w:rPr>
        <w:t>TRQ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U.S. TRQ Allocation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Lagged Production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-0.560*** (0.117)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Lagged Consumption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0.209** (0.094)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3473*** (615.200)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0.457</w:t>
            </w:r>
          </w:p>
        </w:tc>
      </w:tr>
      <w:tr w:rsidR="008924B4" w:rsidRPr="0015557C" w:rsidTr="00586F99">
        <w:tc>
          <w:tcPr>
            <w:tcW w:w="9350" w:type="dxa"/>
            <w:gridSpan w:val="2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*** p&lt;0.01, ** p&lt;0.05, * p&lt;0.1, Standard errors in parentheses</w:t>
            </w:r>
          </w:p>
        </w:tc>
      </w:tr>
    </w:tbl>
    <w:p w:rsidR="008924B4" w:rsidRPr="004A21AC" w:rsidRDefault="008924B4" w:rsidP="008924B4">
      <w:pPr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eastAsia="MS Mincho" w:hAnsi="Times New Roman" w:cs="Times New Roman"/>
          <w:noProof/>
          <w:sz w:val="24"/>
          <w:szCs w:val="24"/>
        </w:rPr>
        <w:t>Source: Authors’</w:t>
      </w:r>
      <w:r w:rsidRPr="000C3B42">
        <w:rPr>
          <w:rFonts w:ascii="Times New Roman" w:eastAsia="MS Mincho" w:hAnsi="Times New Roman" w:cs="Times New Roman"/>
          <w:noProof/>
          <w:sz w:val="24"/>
          <w:szCs w:val="24"/>
        </w:rPr>
        <w:t xml:space="preserve"> estimation</w:t>
      </w:r>
    </w:p>
    <w:p w:rsidR="008924B4" w:rsidRPr="004A21AC" w:rsidRDefault="008924B4" w:rsidP="0089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A6. </w:t>
      </w:r>
      <w:r w:rsidRPr="004A21AC">
        <w:rPr>
          <w:rFonts w:ascii="Times New Roman" w:hAnsi="Times New Roman" w:cs="Times New Roman"/>
          <w:sz w:val="24"/>
          <w:szCs w:val="24"/>
        </w:rPr>
        <w:t>TRQ Fulfillments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U.S. TRQ Fulfillment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U.S. Price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2.264*** (0.552)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World Price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-2.048*** (0.430)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63.49*** (9.106)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924B4" w:rsidRPr="0015557C" w:rsidTr="00586F99"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4675" w:type="dxa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</w:tr>
      <w:tr w:rsidR="008924B4" w:rsidRPr="0015557C" w:rsidTr="00586F99">
        <w:tc>
          <w:tcPr>
            <w:tcW w:w="9350" w:type="dxa"/>
            <w:gridSpan w:val="2"/>
          </w:tcPr>
          <w:p w:rsidR="008924B4" w:rsidRPr="004A21AC" w:rsidRDefault="008924B4" w:rsidP="005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AC">
              <w:rPr>
                <w:rFonts w:ascii="Times New Roman" w:hAnsi="Times New Roman" w:cs="Times New Roman"/>
                <w:sz w:val="24"/>
                <w:szCs w:val="24"/>
              </w:rPr>
              <w:t xml:space="preserve">*** p&lt;0.01, ** p&lt;0.05, * p&lt;0.1, Standard errors in parentheses </w:t>
            </w:r>
          </w:p>
        </w:tc>
      </w:tr>
    </w:tbl>
    <w:p w:rsidR="008924B4" w:rsidRPr="004A21AC" w:rsidRDefault="008924B4" w:rsidP="008924B4">
      <w:pPr>
        <w:rPr>
          <w:rFonts w:ascii="Times New Roman" w:hAnsi="Times New Roman" w:cs="Times New Roman"/>
          <w:sz w:val="24"/>
          <w:szCs w:val="24"/>
        </w:rPr>
      </w:pPr>
      <w:r w:rsidRPr="0015557C">
        <w:rPr>
          <w:rFonts w:ascii="Times New Roman" w:eastAsia="MS Mincho" w:hAnsi="Times New Roman" w:cs="Times New Roman"/>
          <w:noProof/>
          <w:sz w:val="24"/>
          <w:szCs w:val="24"/>
        </w:rPr>
        <w:t>Source: Authors’</w:t>
      </w:r>
      <w:r w:rsidRPr="000C3B42">
        <w:rPr>
          <w:rFonts w:ascii="Times New Roman" w:eastAsia="MS Mincho" w:hAnsi="Times New Roman" w:cs="Times New Roman"/>
          <w:noProof/>
          <w:sz w:val="24"/>
          <w:szCs w:val="24"/>
        </w:rPr>
        <w:t xml:space="preserve"> estimation</w:t>
      </w:r>
    </w:p>
    <w:p w:rsidR="00316CDE" w:rsidRDefault="004B62E9"/>
    <w:sectPr w:rsidR="00316CD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6"/>
    <w:rsid w:val="00167CE1"/>
    <w:rsid w:val="004014AE"/>
    <w:rsid w:val="004B62E9"/>
    <w:rsid w:val="007908C0"/>
    <w:rsid w:val="008462DD"/>
    <w:rsid w:val="008924B4"/>
    <w:rsid w:val="00935896"/>
    <w:rsid w:val="00E16DBF"/>
    <w:rsid w:val="00E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78884-C8E4-0F41-893E-0F093833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B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4B4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4B4"/>
    <w:rPr>
      <w:rFonts w:eastAsiaTheme="majorEastAsia" w:cstheme="majorBidi"/>
      <w:b/>
      <w:sz w:val="22"/>
      <w:szCs w:val="32"/>
      <w:u w:val="single"/>
    </w:rPr>
  </w:style>
  <w:style w:type="table" w:styleId="TableGrid">
    <w:name w:val="Table Grid"/>
    <w:basedOn w:val="TableNormal"/>
    <w:uiPriority w:val="39"/>
    <w:rsid w:val="008924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wilsonjsinclair@gmail.com</dc:creator>
  <cp:keywords/>
  <dc:description/>
  <cp:lastModifiedBy>Christopher Flinn</cp:lastModifiedBy>
  <cp:revision>2</cp:revision>
  <cp:lastPrinted>2018-10-02T18:49:00Z</cp:lastPrinted>
  <dcterms:created xsi:type="dcterms:W3CDTF">2019-02-01T15:57:00Z</dcterms:created>
  <dcterms:modified xsi:type="dcterms:W3CDTF">2019-02-01T15:57:00Z</dcterms:modified>
</cp:coreProperties>
</file>