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E7" w:rsidRDefault="00BE42E7" w:rsidP="00BE42E7">
      <w:pPr>
        <w:rPr>
          <w:lang w:val="en-US"/>
        </w:rPr>
      </w:pPr>
      <w:r w:rsidRPr="004C55A8">
        <w:rPr>
          <w:b/>
          <w:lang w:val="en-US"/>
        </w:rPr>
        <w:t>APPENDIX</w:t>
      </w:r>
      <w:r>
        <w:rPr>
          <w:b/>
          <w:lang w:val="en-US"/>
        </w:rPr>
        <w:t xml:space="preserve"> 2</w:t>
      </w:r>
      <w:r w:rsidRPr="004C55A8">
        <w:rPr>
          <w:b/>
          <w:lang w:val="en-US"/>
        </w:rPr>
        <w:t xml:space="preserve">. </w:t>
      </w:r>
      <w:r>
        <w:rPr>
          <w:b/>
          <w:lang w:val="en-US"/>
        </w:rPr>
        <w:t>Engendering course skills</w:t>
      </w:r>
    </w:p>
    <w:p w:rsidR="00BE42E7" w:rsidRDefault="00BE42E7" w:rsidP="00BE42E7">
      <w:pPr>
        <w:rPr>
          <w:lang w:val="en-US"/>
        </w:rPr>
      </w:pPr>
    </w:p>
    <w:p w:rsidR="00BE42E7" w:rsidRDefault="00BE42E7" w:rsidP="00BE42E7">
      <w:pPr>
        <w:rPr>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4536"/>
      </w:tblGrid>
      <w:tr w:rsidR="00BE42E7" w:rsidRPr="004C55A8" w:rsidTr="004E5BD6">
        <w:tc>
          <w:tcPr>
            <w:tcW w:w="1951" w:type="dxa"/>
          </w:tcPr>
          <w:p w:rsidR="00BE42E7" w:rsidRPr="004C55A8" w:rsidRDefault="00BE42E7" w:rsidP="004E5BD6">
            <w:pPr>
              <w:rPr>
                <w:sz w:val="20"/>
                <w:szCs w:val="20"/>
                <w:lang w:val="en-US"/>
              </w:rPr>
            </w:pPr>
            <w:r w:rsidRPr="004C55A8">
              <w:rPr>
                <w:b/>
                <w:lang w:val="en-US"/>
              </w:rPr>
              <w:br w:type="page"/>
            </w:r>
            <w:r w:rsidRPr="004C55A8">
              <w:rPr>
                <w:b/>
                <w:bCs/>
                <w:i/>
                <w:iCs/>
                <w:sz w:val="20"/>
                <w:szCs w:val="20"/>
                <w:lang w:val="en-US"/>
              </w:rPr>
              <w:t xml:space="preserve">Goals </w:t>
            </w:r>
          </w:p>
        </w:tc>
        <w:tc>
          <w:tcPr>
            <w:tcW w:w="2126" w:type="dxa"/>
          </w:tcPr>
          <w:p w:rsidR="00BE42E7" w:rsidRPr="004C55A8" w:rsidRDefault="00BE42E7" w:rsidP="004E5BD6">
            <w:pPr>
              <w:rPr>
                <w:sz w:val="20"/>
                <w:szCs w:val="20"/>
                <w:lang w:val="en-US"/>
              </w:rPr>
            </w:pPr>
            <w:r w:rsidRPr="004C55A8">
              <w:rPr>
                <w:b/>
                <w:bCs/>
                <w:i/>
                <w:iCs/>
                <w:sz w:val="20"/>
                <w:szCs w:val="20"/>
                <w:lang w:val="en-US"/>
              </w:rPr>
              <w:t>Skills</w:t>
            </w:r>
          </w:p>
        </w:tc>
        <w:tc>
          <w:tcPr>
            <w:tcW w:w="4536" w:type="dxa"/>
          </w:tcPr>
          <w:p w:rsidR="00BE42E7" w:rsidRPr="004C55A8" w:rsidRDefault="00BE42E7" w:rsidP="004E5BD6">
            <w:pPr>
              <w:rPr>
                <w:sz w:val="20"/>
                <w:szCs w:val="20"/>
                <w:lang w:val="en-US"/>
              </w:rPr>
            </w:pPr>
            <w:r w:rsidRPr="004C55A8">
              <w:rPr>
                <w:b/>
                <w:bCs/>
                <w:i/>
                <w:iCs/>
                <w:sz w:val="20"/>
                <w:szCs w:val="20"/>
                <w:lang w:val="en-US"/>
              </w:rPr>
              <w:t>Engendered skills</w:t>
            </w:r>
          </w:p>
        </w:tc>
      </w:tr>
      <w:tr w:rsidR="00BE42E7" w:rsidRPr="004C55A8" w:rsidTr="004E5BD6">
        <w:tc>
          <w:tcPr>
            <w:tcW w:w="1951" w:type="dxa"/>
          </w:tcPr>
          <w:p w:rsidR="00BE42E7" w:rsidRDefault="00BE42E7" w:rsidP="004E5BD6">
            <w:pPr>
              <w:rPr>
                <w:sz w:val="20"/>
                <w:szCs w:val="20"/>
                <w:lang w:val="en-US"/>
              </w:rPr>
            </w:pPr>
          </w:p>
          <w:p w:rsidR="00BE42E7" w:rsidRDefault="00BE42E7" w:rsidP="004E5BD6">
            <w:pPr>
              <w:rPr>
                <w:sz w:val="20"/>
                <w:szCs w:val="20"/>
                <w:lang w:val="en-US"/>
              </w:rPr>
            </w:pPr>
          </w:p>
          <w:p w:rsidR="00BE42E7" w:rsidRDefault="00BE42E7" w:rsidP="004E5BD6">
            <w:pPr>
              <w:rPr>
                <w:sz w:val="20"/>
                <w:szCs w:val="20"/>
                <w:lang w:val="en-US"/>
              </w:rPr>
            </w:pPr>
          </w:p>
          <w:p w:rsidR="00BE42E7" w:rsidRPr="004C55A8" w:rsidRDefault="00BE42E7" w:rsidP="004E5BD6">
            <w:pPr>
              <w:rPr>
                <w:sz w:val="20"/>
                <w:szCs w:val="20"/>
                <w:lang w:val="en-US"/>
              </w:rPr>
            </w:pPr>
            <w:r w:rsidRPr="004C55A8">
              <w:rPr>
                <w:sz w:val="20"/>
                <w:szCs w:val="20"/>
                <w:lang w:val="en-US"/>
              </w:rPr>
              <w:t>Starting research</w:t>
            </w:r>
          </w:p>
        </w:tc>
        <w:tc>
          <w:tcPr>
            <w:tcW w:w="2126" w:type="dxa"/>
          </w:tcPr>
          <w:p w:rsidR="00BE42E7" w:rsidRDefault="00BE42E7" w:rsidP="004E5BD6">
            <w:pPr>
              <w:rPr>
                <w:sz w:val="20"/>
                <w:szCs w:val="20"/>
                <w:lang w:val="en-US"/>
              </w:rPr>
            </w:pPr>
          </w:p>
          <w:p w:rsidR="00BE42E7" w:rsidRDefault="00BE42E7" w:rsidP="004E5BD6">
            <w:pPr>
              <w:rPr>
                <w:sz w:val="20"/>
                <w:szCs w:val="20"/>
                <w:lang w:val="en-US"/>
              </w:rPr>
            </w:pPr>
          </w:p>
          <w:p w:rsidR="00BE42E7" w:rsidRPr="004C55A8" w:rsidRDefault="00BE42E7" w:rsidP="004E5BD6">
            <w:pPr>
              <w:rPr>
                <w:sz w:val="20"/>
                <w:szCs w:val="20"/>
                <w:lang w:val="en-US"/>
              </w:rPr>
            </w:pPr>
            <w:r w:rsidRPr="004C55A8">
              <w:rPr>
                <w:sz w:val="20"/>
                <w:szCs w:val="20"/>
                <w:lang w:val="en-US"/>
              </w:rPr>
              <w:t>Contextualizing the data in relation to a research question</w:t>
            </w:r>
          </w:p>
          <w:p w:rsidR="00BE42E7" w:rsidRPr="004C55A8" w:rsidRDefault="00BE42E7" w:rsidP="004E5BD6">
            <w:pPr>
              <w:rPr>
                <w:sz w:val="20"/>
                <w:szCs w:val="20"/>
                <w:lang w:val="en-US"/>
              </w:rPr>
            </w:pPr>
          </w:p>
        </w:tc>
        <w:tc>
          <w:tcPr>
            <w:tcW w:w="4536" w:type="dxa"/>
          </w:tcPr>
          <w:p w:rsidR="00BE42E7" w:rsidRDefault="00BE42E7" w:rsidP="004E5BD6">
            <w:pPr>
              <w:rPr>
                <w:sz w:val="20"/>
                <w:szCs w:val="20"/>
                <w:lang w:val="en-US"/>
              </w:rPr>
            </w:pPr>
          </w:p>
          <w:p w:rsidR="00BE42E7" w:rsidRPr="004C55A8" w:rsidRDefault="00BE42E7" w:rsidP="004E5BD6">
            <w:pPr>
              <w:rPr>
                <w:sz w:val="20"/>
                <w:szCs w:val="20"/>
                <w:lang w:val="en-US"/>
              </w:rPr>
            </w:pPr>
            <w:r w:rsidRPr="004C55A8">
              <w:rPr>
                <w:sz w:val="20"/>
                <w:szCs w:val="20"/>
                <w:lang w:val="en-US"/>
              </w:rPr>
              <w:t>Choice of gender-related topics puts gender equality issues on the research agenda of the political science discipline. Since in these topics most authors are women the citation gap found in the majority of courses is compensated and students obtain more diverse role models as regards scientific knowledge.</w:t>
            </w:r>
          </w:p>
          <w:p w:rsidR="00BE42E7" w:rsidRPr="004C55A8" w:rsidRDefault="00BE42E7" w:rsidP="004E5BD6">
            <w:pPr>
              <w:rPr>
                <w:sz w:val="20"/>
                <w:szCs w:val="20"/>
                <w:lang w:val="en-US"/>
              </w:rPr>
            </w:pPr>
          </w:p>
        </w:tc>
      </w:tr>
      <w:tr w:rsidR="00BE42E7" w:rsidRPr="004C55A8" w:rsidTr="004E5BD6">
        <w:trPr>
          <w:trHeight w:val="2770"/>
        </w:trPr>
        <w:tc>
          <w:tcPr>
            <w:tcW w:w="1951" w:type="dxa"/>
          </w:tcPr>
          <w:p w:rsidR="00BE42E7" w:rsidRDefault="00BE42E7" w:rsidP="004E5BD6">
            <w:pPr>
              <w:rPr>
                <w:sz w:val="20"/>
                <w:szCs w:val="20"/>
                <w:lang w:val="en-US"/>
              </w:rPr>
            </w:pPr>
          </w:p>
          <w:p w:rsidR="00BE42E7" w:rsidRDefault="00BE42E7" w:rsidP="004E5BD6">
            <w:pPr>
              <w:rPr>
                <w:sz w:val="20"/>
                <w:szCs w:val="20"/>
                <w:lang w:val="en-US"/>
              </w:rPr>
            </w:pPr>
          </w:p>
          <w:p w:rsidR="00BE42E7" w:rsidRDefault="00BE42E7" w:rsidP="004E5BD6">
            <w:pPr>
              <w:rPr>
                <w:sz w:val="20"/>
                <w:szCs w:val="20"/>
                <w:lang w:val="en-US"/>
              </w:rPr>
            </w:pPr>
          </w:p>
          <w:p w:rsidR="00BE42E7" w:rsidRDefault="00BE42E7" w:rsidP="004E5BD6">
            <w:pPr>
              <w:rPr>
                <w:sz w:val="20"/>
                <w:szCs w:val="20"/>
                <w:lang w:val="en-US"/>
              </w:rPr>
            </w:pPr>
          </w:p>
          <w:p w:rsidR="00BE42E7" w:rsidRDefault="00BE42E7" w:rsidP="004E5BD6">
            <w:pPr>
              <w:rPr>
                <w:sz w:val="20"/>
                <w:szCs w:val="20"/>
                <w:lang w:val="en-US"/>
              </w:rPr>
            </w:pPr>
          </w:p>
          <w:p w:rsidR="00BE42E7" w:rsidRDefault="00BE42E7" w:rsidP="004E5BD6">
            <w:pPr>
              <w:rPr>
                <w:sz w:val="20"/>
                <w:szCs w:val="20"/>
                <w:lang w:val="en-US"/>
              </w:rPr>
            </w:pPr>
          </w:p>
          <w:p w:rsidR="00BE42E7" w:rsidRPr="004C55A8" w:rsidRDefault="00BE42E7" w:rsidP="004E5BD6">
            <w:pPr>
              <w:rPr>
                <w:sz w:val="20"/>
                <w:szCs w:val="20"/>
                <w:lang w:val="en-US"/>
              </w:rPr>
            </w:pPr>
            <w:r w:rsidRPr="004C55A8">
              <w:rPr>
                <w:sz w:val="20"/>
                <w:szCs w:val="20"/>
                <w:lang w:val="en-US"/>
              </w:rPr>
              <w:t>Data analysis and construction of indicators</w:t>
            </w:r>
          </w:p>
        </w:tc>
        <w:tc>
          <w:tcPr>
            <w:tcW w:w="2126" w:type="dxa"/>
          </w:tcPr>
          <w:p w:rsidR="00BE42E7" w:rsidRDefault="00BE42E7" w:rsidP="004E5BD6">
            <w:pPr>
              <w:rPr>
                <w:sz w:val="20"/>
                <w:szCs w:val="20"/>
                <w:lang w:val="en-US"/>
              </w:rPr>
            </w:pPr>
          </w:p>
          <w:p w:rsidR="00BE42E7" w:rsidRDefault="00BE42E7" w:rsidP="004E5BD6">
            <w:pPr>
              <w:rPr>
                <w:sz w:val="20"/>
                <w:szCs w:val="20"/>
                <w:lang w:val="en-US"/>
              </w:rPr>
            </w:pPr>
          </w:p>
          <w:p w:rsidR="00BE42E7" w:rsidRPr="004C55A8" w:rsidRDefault="00BE42E7" w:rsidP="004E5BD6">
            <w:pPr>
              <w:rPr>
                <w:sz w:val="20"/>
                <w:szCs w:val="20"/>
                <w:lang w:val="en-US"/>
              </w:rPr>
            </w:pPr>
            <w:r w:rsidRPr="004C55A8">
              <w:rPr>
                <w:sz w:val="20"/>
                <w:szCs w:val="20"/>
                <w:lang w:val="en-US"/>
              </w:rPr>
              <w:t>Getting acquainted with relevant databases and indicators</w:t>
            </w:r>
          </w:p>
          <w:p w:rsidR="00BE42E7" w:rsidRPr="004C55A8" w:rsidRDefault="00BE42E7" w:rsidP="004E5BD6">
            <w:pPr>
              <w:rPr>
                <w:sz w:val="20"/>
                <w:szCs w:val="20"/>
                <w:lang w:val="en-US"/>
              </w:rPr>
            </w:pPr>
          </w:p>
          <w:p w:rsidR="00BE42E7" w:rsidRDefault="00BE42E7" w:rsidP="004E5BD6">
            <w:pPr>
              <w:rPr>
                <w:sz w:val="20"/>
                <w:szCs w:val="20"/>
                <w:lang w:val="en-US"/>
              </w:rPr>
            </w:pPr>
          </w:p>
          <w:p w:rsidR="00BE42E7" w:rsidRDefault="00BE42E7" w:rsidP="004E5BD6">
            <w:pPr>
              <w:rPr>
                <w:sz w:val="20"/>
                <w:szCs w:val="20"/>
                <w:lang w:val="en-US"/>
              </w:rPr>
            </w:pPr>
          </w:p>
          <w:p w:rsidR="00BE42E7" w:rsidRPr="004C55A8" w:rsidRDefault="00BE42E7" w:rsidP="004E5BD6">
            <w:pPr>
              <w:rPr>
                <w:sz w:val="20"/>
                <w:szCs w:val="20"/>
                <w:lang w:val="en-US"/>
              </w:rPr>
            </w:pPr>
          </w:p>
          <w:p w:rsidR="00BE42E7" w:rsidRPr="004C55A8" w:rsidRDefault="00BE42E7" w:rsidP="004E5BD6">
            <w:pPr>
              <w:rPr>
                <w:sz w:val="20"/>
                <w:szCs w:val="20"/>
                <w:lang w:val="en-US"/>
              </w:rPr>
            </w:pPr>
            <w:r w:rsidRPr="004C55A8">
              <w:rPr>
                <w:sz w:val="20"/>
                <w:szCs w:val="20"/>
                <w:lang w:val="en-US"/>
              </w:rPr>
              <w:t>Producing, collecting, analyzing and interpreting the data</w:t>
            </w:r>
          </w:p>
          <w:p w:rsidR="00BE42E7" w:rsidRPr="004C55A8" w:rsidRDefault="00BE42E7" w:rsidP="004E5BD6">
            <w:pPr>
              <w:rPr>
                <w:sz w:val="20"/>
                <w:szCs w:val="20"/>
                <w:lang w:val="en-US"/>
              </w:rPr>
            </w:pPr>
          </w:p>
        </w:tc>
        <w:tc>
          <w:tcPr>
            <w:tcW w:w="4536" w:type="dxa"/>
          </w:tcPr>
          <w:p w:rsidR="00BE42E7" w:rsidRDefault="00BE42E7" w:rsidP="004E5BD6">
            <w:pPr>
              <w:rPr>
                <w:sz w:val="20"/>
                <w:szCs w:val="20"/>
                <w:lang w:val="en-US"/>
              </w:rPr>
            </w:pPr>
          </w:p>
          <w:p w:rsidR="00BE42E7" w:rsidRPr="004C55A8" w:rsidRDefault="00BE42E7" w:rsidP="004E5BD6">
            <w:pPr>
              <w:rPr>
                <w:sz w:val="20"/>
                <w:szCs w:val="20"/>
                <w:lang w:val="en-US"/>
              </w:rPr>
            </w:pPr>
            <w:r w:rsidRPr="004C55A8">
              <w:rPr>
                <w:sz w:val="20"/>
                <w:szCs w:val="20"/>
                <w:lang w:val="en-US"/>
              </w:rPr>
              <w:t xml:space="preserve">Use of national and international open-access databases. Emphasis on </w:t>
            </w:r>
            <w:r>
              <w:rPr>
                <w:sz w:val="20"/>
                <w:szCs w:val="20"/>
                <w:lang w:val="en-US"/>
              </w:rPr>
              <w:t>sex-</w:t>
            </w:r>
            <w:r w:rsidRPr="004C55A8">
              <w:rPr>
                <w:sz w:val="20"/>
                <w:szCs w:val="20"/>
                <w:lang w:val="en-US"/>
              </w:rPr>
              <w:t xml:space="preserve">disaggregated data </w:t>
            </w:r>
            <w:r>
              <w:rPr>
                <w:sz w:val="20"/>
                <w:szCs w:val="20"/>
                <w:lang w:val="en-US"/>
              </w:rPr>
              <w:t>a</w:t>
            </w:r>
            <w:r w:rsidRPr="004C55A8">
              <w:rPr>
                <w:sz w:val="20"/>
                <w:szCs w:val="20"/>
                <w:lang w:val="en-US"/>
              </w:rPr>
              <w:t>nd on relevant variables measuring gender (in)equality.</w:t>
            </w:r>
            <w:r>
              <w:rPr>
                <w:sz w:val="20"/>
                <w:szCs w:val="20"/>
                <w:lang w:val="en-US"/>
              </w:rPr>
              <w:t xml:space="preserve"> Computing of composite indices to measure gender inequality across countries.</w:t>
            </w:r>
          </w:p>
          <w:p w:rsidR="00BE42E7" w:rsidRPr="004C55A8" w:rsidRDefault="00BE42E7" w:rsidP="004E5BD6">
            <w:pPr>
              <w:rPr>
                <w:sz w:val="20"/>
                <w:szCs w:val="20"/>
                <w:lang w:val="en-US"/>
              </w:rPr>
            </w:pPr>
          </w:p>
          <w:p w:rsidR="00BE42E7" w:rsidRDefault="00BE42E7" w:rsidP="004E5BD6">
            <w:pPr>
              <w:rPr>
                <w:sz w:val="20"/>
                <w:szCs w:val="20"/>
                <w:lang w:val="en-US"/>
              </w:rPr>
            </w:pPr>
            <w:r w:rsidRPr="004C55A8">
              <w:rPr>
                <w:sz w:val="20"/>
                <w:szCs w:val="20"/>
                <w:lang w:val="en-US"/>
              </w:rPr>
              <w:t xml:space="preserve">Finding ‘gender’ in the sex-disaggregated data analyzed and in the indicators produced. Students are made aware of </w:t>
            </w:r>
            <w:proofErr w:type="spellStart"/>
            <w:r w:rsidRPr="004C55A8">
              <w:rPr>
                <w:sz w:val="20"/>
                <w:szCs w:val="20"/>
                <w:lang w:val="en-US"/>
              </w:rPr>
              <w:t>intersectionality</w:t>
            </w:r>
            <w:proofErr w:type="spellEnd"/>
            <w:r w:rsidRPr="004C55A8">
              <w:rPr>
                <w:sz w:val="20"/>
                <w:szCs w:val="20"/>
                <w:lang w:val="en-US"/>
              </w:rPr>
              <w:t xml:space="preserve"> (</w:t>
            </w:r>
            <w:r>
              <w:rPr>
                <w:sz w:val="20"/>
                <w:szCs w:val="20"/>
                <w:lang w:val="en-US"/>
              </w:rPr>
              <w:t>age</w:t>
            </w:r>
            <w:r w:rsidRPr="004C55A8">
              <w:rPr>
                <w:sz w:val="20"/>
                <w:szCs w:val="20"/>
                <w:lang w:val="en-US"/>
              </w:rPr>
              <w:t xml:space="preserve"> and ethnicity, where available data exists) and are encouraged to identify the sources of inequality as well as their consequences. It addresses </w:t>
            </w:r>
            <w:r>
              <w:rPr>
                <w:sz w:val="20"/>
                <w:szCs w:val="20"/>
                <w:lang w:val="en-US"/>
              </w:rPr>
              <w:t xml:space="preserve">any </w:t>
            </w:r>
            <w:r w:rsidRPr="004C55A8">
              <w:rPr>
                <w:sz w:val="20"/>
                <w:szCs w:val="20"/>
                <w:lang w:val="en-US"/>
              </w:rPr>
              <w:t>insensitive quantification and exposes the complexity of women’s experiences.</w:t>
            </w:r>
          </w:p>
          <w:p w:rsidR="00BE42E7" w:rsidRPr="004C55A8" w:rsidRDefault="00BE42E7" w:rsidP="004E5BD6">
            <w:pPr>
              <w:rPr>
                <w:sz w:val="20"/>
                <w:szCs w:val="20"/>
                <w:lang w:val="en-US"/>
              </w:rPr>
            </w:pPr>
          </w:p>
        </w:tc>
      </w:tr>
      <w:tr w:rsidR="00BE42E7" w:rsidRPr="004C55A8" w:rsidTr="004E5BD6">
        <w:tc>
          <w:tcPr>
            <w:tcW w:w="1951" w:type="dxa"/>
          </w:tcPr>
          <w:p w:rsidR="00BE42E7" w:rsidRDefault="00BE42E7" w:rsidP="004E5BD6">
            <w:pPr>
              <w:rPr>
                <w:sz w:val="20"/>
                <w:szCs w:val="20"/>
                <w:lang w:val="en-US"/>
              </w:rPr>
            </w:pPr>
          </w:p>
          <w:p w:rsidR="00BE42E7" w:rsidRDefault="00BE42E7" w:rsidP="004E5BD6">
            <w:pPr>
              <w:rPr>
                <w:sz w:val="20"/>
                <w:szCs w:val="20"/>
                <w:lang w:val="en-US"/>
              </w:rPr>
            </w:pPr>
          </w:p>
          <w:p w:rsidR="00BE42E7" w:rsidRDefault="00BE42E7" w:rsidP="004E5BD6">
            <w:pPr>
              <w:rPr>
                <w:sz w:val="20"/>
                <w:szCs w:val="20"/>
                <w:lang w:val="en-US"/>
              </w:rPr>
            </w:pPr>
          </w:p>
          <w:p w:rsidR="00BE42E7" w:rsidRDefault="00BE42E7" w:rsidP="004E5BD6">
            <w:pPr>
              <w:rPr>
                <w:sz w:val="20"/>
                <w:szCs w:val="20"/>
                <w:lang w:val="en-US"/>
              </w:rPr>
            </w:pPr>
          </w:p>
          <w:p w:rsidR="00BE42E7" w:rsidRPr="004C55A8" w:rsidRDefault="00BE42E7" w:rsidP="004E5BD6">
            <w:pPr>
              <w:rPr>
                <w:sz w:val="20"/>
                <w:szCs w:val="20"/>
                <w:lang w:val="en-US"/>
              </w:rPr>
            </w:pPr>
            <w:r w:rsidRPr="004C55A8">
              <w:rPr>
                <w:sz w:val="20"/>
                <w:szCs w:val="20"/>
                <w:lang w:val="en-US"/>
              </w:rPr>
              <w:t>Calculating growth rates and estimating longitudinal trends</w:t>
            </w:r>
          </w:p>
        </w:tc>
        <w:tc>
          <w:tcPr>
            <w:tcW w:w="2126" w:type="dxa"/>
          </w:tcPr>
          <w:p w:rsidR="00BE42E7" w:rsidRDefault="00BE42E7" w:rsidP="004E5BD6">
            <w:pPr>
              <w:rPr>
                <w:sz w:val="20"/>
                <w:szCs w:val="20"/>
                <w:lang w:val="en-US"/>
              </w:rPr>
            </w:pPr>
          </w:p>
          <w:p w:rsidR="00BE42E7" w:rsidRDefault="00BE42E7" w:rsidP="004E5BD6">
            <w:pPr>
              <w:rPr>
                <w:sz w:val="20"/>
                <w:szCs w:val="20"/>
                <w:lang w:val="en-US"/>
              </w:rPr>
            </w:pPr>
          </w:p>
          <w:p w:rsidR="00BE42E7" w:rsidRDefault="00BE42E7" w:rsidP="004E5BD6">
            <w:pPr>
              <w:rPr>
                <w:sz w:val="20"/>
                <w:szCs w:val="20"/>
                <w:lang w:val="en-US"/>
              </w:rPr>
            </w:pPr>
          </w:p>
          <w:p w:rsidR="00BE42E7" w:rsidRDefault="00BE42E7" w:rsidP="004E5BD6">
            <w:pPr>
              <w:rPr>
                <w:sz w:val="20"/>
                <w:szCs w:val="20"/>
                <w:lang w:val="en-US"/>
              </w:rPr>
            </w:pPr>
          </w:p>
          <w:p w:rsidR="00BE42E7" w:rsidRPr="004C55A8" w:rsidRDefault="00BE42E7" w:rsidP="004E5BD6">
            <w:pPr>
              <w:rPr>
                <w:sz w:val="20"/>
                <w:szCs w:val="20"/>
                <w:lang w:val="en-US"/>
              </w:rPr>
            </w:pPr>
            <w:r w:rsidRPr="004C55A8">
              <w:rPr>
                <w:sz w:val="20"/>
                <w:szCs w:val="20"/>
                <w:lang w:val="en-US"/>
              </w:rPr>
              <w:t>Problem-solving through data analysis</w:t>
            </w:r>
          </w:p>
        </w:tc>
        <w:tc>
          <w:tcPr>
            <w:tcW w:w="4536" w:type="dxa"/>
          </w:tcPr>
          <w:p w:rsidR="00BE42E7" w:rsidRDefault="00BE42E7" w:rsidP="004E5BD6">
            <w:pPr>
              <w:rPr>
                <w:sz w:val="20"/>
                <w:szCs w:val="20"/>
                <w:lang w:val="en-US"/>
              </w:rPr>
            </w:pPr>
          </w:p>
          <w:p w:rsidR="00BE42E7" w:rsidRDefault="00BE42E7" w:rsidP="004E5BD6">
            <w:pPr>
              <w:rPr>
                <w:sz w:val="20"/>
                <w:szCs w:val="20"/>
                <w:lang w:val="en-US"/>
              </w:rPr>
            </w:pPr>
            <w:r w:rsidRPr="004C55A8">
              <w:rPr>
                <w:sz w:val="20"/>
                <w:szCs w:val="20"/>
                <w:lang w:val="en-US"/>
              </w:rPr>
              <w:t>For some variables related to the assigned research question, students must identify their longitudinal trend and apply linear or exponential models (e.g. using a 1</w:t>
            </w:r>
            <w:r>
              <w:rPr>
                <w:sz w:val="20"/>
                <w:szCs w:val="20"/>
                <w:lang w:val="en-US"/>
              </w:rPr>
              <w:t>5</w:t>
            </w:r>
            <w:r w:rsidRPr="004C55A8">
              <w:rPr>
                <w:sz w:val="20"/>
                <w:szCs w:val="20"/>
                <w:lang w:val="en-US"/>
              </w:rPr>
              <w:t xml:space="preserve">-year time span on the gender pay gap, students must calculate how long it will take to fade away, all else </w:t>
            </w:r>
            <w:r>
              <w:rPr>
                <w:sz w:val="20"/>
                <w:szCs w:val="20"/>
                <w:lang w:val="en-US"/>
              </w:rPr>
              <w:t xml:space="preserve">being </w:t>
            </w:r>
            <w:r w:rsidRPr="004C55A8">
              <w:rPr>
                <w:sz w:val="20"/>
                <w:szCs w:val="20"/>
                <w:lang w:val="en-US"/>
              </w:rPr>
              <w:t>equal). It helps to demystify the fallacy of equality and makes students aware of the pervasiveness of gender inequality in different social and political domains.</w:t>
            </w:r>
          </w:p>
          <w:p w:rsidR="00BE42E7" w:rsidRPr="004C55A8" w:rsidRDefault="00BE42E7" w:rsidP="004E5BD6">
            <w:pPr>
              <w:rPr>
                <w:sz w:val="20"/>
                <w:szCs w:val="20"/>
                <w:lang w:val="en-US"/>
              </w:rPr>
            </w:pPr>
          </w:p>
        </w:tc>
      </w:tr>
    </w:tbl>
    <w:p w:rsidR="00BE42E7" w:rsidRDefault="00BE42E7" w:rsidP="00BE42E7">
      <w:pPr>
        <w:rPr>
          <w:lang w:val="en-US"/>
        </w:rPr>
      </w:pPr>
    </w:p>
    <w:p w:rsidR="00F44F91" w:rsidRDefault="00F44F91" w:rsidP="00BE42E7">
      <w:bookmarkStart w:id="0" w:name="_GoBack"/>
      <w:bookmarkEnd w:id="0"/>
    </w:p>
    <w:sectPr w:rsidR="00F44F91" w:rsidSect="00F44F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E7"/>
    <w:rsid w:val="004B782D"/>
    <w:rsid w:val="00804C95"/>
    <w:rsid w:val="00BE42E7"/>
    <w:rsid w:val="00F4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DC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E7"/>
    <w:rPr>
      <w:rFonts w:ascii="Times New Roman" w:eastAsia="SimSun" w:hAnsi="Times New Roman" w:cs="Times New Roman"/>
      <w:lang w:val="ca-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
    <w:name w:val="transcript"/>
    <w:basedOn w:val="Normal"/>
    <w:rsid w:val="004B782D"/>
    <w:pPr>
      <w:ind w:left="810" w:hanging="1080"/>
    </w:pPr>
    <w:rPr>
      <w:rFonts w:asciiTheme="minorHAnsi" w:eastAsiaTheme="minorEastAsia" w:hAnsiTheme="minorHAnsi" w:cstheme="minorBidi"/>
      <w:lang w:val="en-US" w:eastAsia="en-US"/>
    </w:rPr>
  </w:style>
  <w:style w:type="character" w:customStyle="1" w:styleId="PS-Heading1">
    <w:name w:val="PS - Heading 1"/>
    <w:basedOn w:val="DefaultParagraphFont"/>
    <w:uiPriority w:val="1"/>
    <w:qFormat/>
    <w:rsid w:val="00804C95"/>
    <w:rPr>
      <w:rFonts w:ascii="Times New Roman" w:hAnsi="Times New Roman" w:cs="Times New Roman"/>
      <w:b/>
      <w:bCs/>
      <w:caps/>
      <w:smallCaps w:val="0"/>
      <w:color w:val="auto"/>
      <w:sz w:val="22"/>
      <w:szCs w:val="22"/>
      <w:u w:val="none"/>
    </w:rPr>
  </w:style>
  <w:style w:type="character" w:customStyle="1" w:styleId="PS-Heading2">
    <w:name w:val="PS- Heading 2"/>
    <w:basedOn w:val="PS-Heading1"/>
    <w:autoRedefine/>
    <w:uiPriority w:val="1"/>
    <w:qFormat/>
    <w:rsid w:val="00804C95"/>
    <w:rPr>
      <w:rFonts w:ascii="Times New Roman" w:hAnsi="Times New Roman" w:cs="Times New Roman"/>
      <w:b/>
      <w:bCs/>
      <w:caps/>
      <w:smallCaps w:val="0"/>
      <w:color w:val="auto"/>
      <w:sz w:val="22"/>
      <w:szCs w:val="24"/>
      <w:u w:val="none"/>
    </w:rPr>
  </w:style>
  <w:style w:type="character" w:customStyle="1" w:styleId="apple-converted-space">
    <w:name w:val="apple-converted-space"/>
    <w:basedOn w:val="DefaultParagraphFont"/>
    <w:rsid w:val="00804C95"/>
  </w:style>
  <w:style w:type="character" w:customStyle="1" w:styleId="PS-Heading3">
    <w:name w:val="PS - Heading 3"/>
    <w:basedOn w:val="PS-Heading1"/>
    <w:uiPriority w:val="1"/>
    <w:qFormat/>
    <w:rsid w:val="00804C95"/>
    <w:rPr>
      <w:rFonts w:ascii="Times New Roman" w:hAnsi="Times New Roman" w:cs="Times New Roman"/>
      <w:b/>
      <w:bCs/>
      <w:i/>
      <w:iCs/>
      <w:caps w:val="0"/>
      <w:smallCaps w:val="0"/>
      <w:color w:val="auto"/>
      <w:sz w:val="24"/>
      <w:szCs w:val="2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E7"/>
    <w:rPr>
      <w:rFonts w:ascii="Times New Roman" w:eastAsia="SimSun" w:hAnsi="Times New Roman" w:cs="Times New Roman"/>
      <w:lang w:val="ca-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
    <w:name w:val="transcript"/>
    <w:basedOn w:val="Normal"/>
    <w:rsid w:val="004B782D"/>
    <w:pPr>
      <w:ind w:left="810" w:hanging="1080"/>
    </w:pPr>
    <w:rPr>
      <w:rFonts w:asciiTheme="minorHAnsi" w:eastAsiaTheme="minorEastAsia" w:hAnsiTheme="minorHAnsi" w:cstheme="minorBidi"/>
      <w:lang w:val="en-US" w:eastAsia="en-US"/>
    </w:rPr>
  </w:style>
  <w:style w:type="character" w:customStyle="1" w:styleId="PS-Heading1">
    <w:name w:val="PS - Heading 1"/>
    <w:basedOn w:val="DefaultParagraphFont"/>
    <w:uiPriority w:val="1"/>
    <w:qFormat/>
    <w:rsid w:val="00804C95"/>
    <w:rPr>
      <w:rFonts w:ascii="Times New Roman" w:hAnsi="Times New Roman" w:cs="Times New Roman"/>
      <w:b/>
      <w:bCs/>
      <w:caps/>
      <w:smallCaps w:val="0"/>
      <w:color w:val="auto"/>
      <w:sz w:val="22"/>
      <w:szCs w:val="22"/>
      <w:u w:val="none"/>
    </w:rPr>
  </w:style>
  <w:style w:type="character" w:customStyle="1" w:styleId="PS-Heading2">
    <w:name w:val="PS- Heading 2"/>
    <w:basedOn w:val="PS-Heading1"/>
    <w:autoRedefine/>
    <w:uiPriority w:val="1"/>
    <w:qFormat/>
    <w:rsid w:val="00804C95"/>
    <w:rPr>
      <w:rFonts w:ascii="Times New Roman" w:hAnsi="Times New Roman" w:cs="Times New Roman"/>
      <w:b/>
      <w:bCs/>
      <w:caps/>
      <w:smallCaps w:val="0"/>
      <w:color w:val="auto"/>
      <w:sz w:val="22"/>
      <w:szCs w:val="24"/>
      <w:u w:val="none"/>
    </w:rPr>
  </w:style>
  <w:style w:type="character" w:customStyle="1" w:styleId="apple-converted-space">
    <w:name w:val="apple-converted-space"/>
    <w:basedOn w:val="DefaultParagraphFont"/>
    <w:rsid w:val="00804C95"/>
  </w:style>
  <w:style w:type="character" w:customStyle="1" w:styleId="PS-Heading3">
    <w:name w:val="PS - Heading 3"/>
    <w:basedOn w:val="PS-Heading1"/>
    <w:uiPriority w:val="1"/>
    <w:qFormat/>
    <w:rsid w:val="00804C95"/>
    <w:rPr>
      <w:rFonts w:ascii="Times New Roman" w:hAnsi="Times New Roman" w:cs="Times New Roman"/>
      <w:b/>
      <w:bCs/>
      <w:i/>
      <w:iCs/>
      <w:caps w:val="0"/>
      <w:smallCaps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Macintosh Word</Application>
  <DocSecurity>0</DocSecurity>
  <Lines>12</Lines>
  <Paragraphs>3</Paragraphs>
  <ScaleCrop>false</ScaleCrop>
  <Company>APSA</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Szymanski</dc:creator>
  <cp:keywords/>
  <dc:description/>
  <cp:lastModifiedBy>Celina Szymanski</cp:lastModifiedBy>
  <cp:revision>1</cp:revision>
  <dcterms:created xsi:type="dcterms:W3CDTF">2016-04-12T19:18:00Z</dcterms:created>
  <dcterms:modified xsi:type="dcterms:W3CDTF">2016-04-12T19:18:00Z</dcterms:modified>
</cp:coreProperties>
</file>