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12DB" w14:textId="7D998D6B" w:rsidR="00705631" w:rsidRPr="000634BE" w:rsidRDefault="00705631" w:rsidP="000634BE">
      <w:pPr>
        <w:spacing w:after="0" w:line="240" w:lineRule="auto"/>
        <w:rPr>
          <w:rFonts w:ascii="Times New Roman" w:hAnsi="Times New Roman" w:cs="Times New Roman"/>
          <w:noProof/>
          <w:sz w:val="24"/>
          <w:szCs w:val="24"/>
          <w:lang w:val="en-CA"/>
        </w:rPr>
      </w:pPr>
      <w:r w:rsidRPr="000634BE">
        <w:rPr>
          <w:rFonts w:ascii="Times New Roman" w:hAnsi="Times New Roman" w:cs="Times New Roman"/>
          <w:sz w:val="24"/>
          <w:szCs w:val="24"/>
          <w:lang w:val="en-CA"/>
        </w:rPr>
        <w:t xml:space="preserve">Table S4 and Table S5 show quality appraisal results. </w:t>
      </w:r>
    </w:p>
    <w:p w14:paraId="71B42EA7" w14:textId="77777777" w:rsidR="00705631" w:rsidRPr="000634BE" w:rsidRDefault="00705631" w:rsidP="000634BE">
      <w:pPr>
        <w:spacing w:after="0" w:line="240" w:lineRule="auto"/>
        <w:rPr>
          <w:rFonts w:ascii="Times New Roman" w:hAnsi="Times New Roman" w:cs="Times New Roman"/>
          <w:sz w:val="24"/>
          <w:szCs w:val="24"/>
          <w:shd w:val="clear" w:color="auto" w:fill="FFFFFF"/>
          <w:lang w:val="en-CA"/>
        </w:rPr>
      </w:pPr>
    </w:p>
    <w:tbl>
      <w:tblPr>
        <w:tblStyle w:val="TableGrid"/>
        <w:tblW w:w="14580" w:type="dxa"/>
        <w:tblInd w:w="-815" w:type="dxa"/>
        <w:tblLayout w:type="fixed"/>
        <w:tblLook w:val="04A0" w:firstRow="1" w:lastRow="0" w:firstColumn="1" w:lastColumn="0" w:noHBand="0" w:noVBand="1"/>
      </w:tblPr>
      <w:tblGrid>
        <w:gridCol w:w="2475"/>
        <w:gridCol w:w="1305"/>
        <w:gridCol w:w="2160"/>
        <w:gridCol w:w="1890"/>
        <w:gridCol w:w="1530"/>
        <w:gridCol w:w="1620"/>
        <w:gridCol w:w="1530"/>
        <w:gridCol w:w="2070"/>
      </w:tblGrid>
      <w:tr w:rsidR="00705631" w:rsidRPr="000634BE" w14:paraId="112439C4" w14:textId="77777777" w:rsidTr="000634BE">
        <w:tc>
          <w:tcPr>
            <w:tcW w:w="2475" w:type="dxa"/>
          </w:tcPr>
          <w:p w14:paraId="286EA75E" w14:textId="77777777" w:rsidR="00705631" w:rsidRPr="000634BE" w:rsidRDefault="00705631" w:rsidP="000634BE">
            <w:pPr>
              <w:spacing w:after="0" w:line="240" w:lineRule="auto"/>
              <w:jc w:val="center"/>
              <w:rPr>
                <w:rFonts w:ascii="Times New Roman" w:hAnsi="Times New Roman" w:cs="Times New Roman"/>
                <w:b/>
                <w:bCs/>
                <w:sz w:val="24"/>
                <w:szCs w:val="24"/>
                <w:u w:val="single"/>
                <w:shd w:val="clear" w:color="auto" w:fill="FFFFFF"/>
                <w:lang w:val="en-CA"/>
              </w:rPr>
            </w:pPr>
            <w:r w:rsidRPr="000634BE">
              <w:rPr>
                <w:rFonts w:ascii="Times New Roman" w:hAnsi="Times New Roman" w:cs="Times New Roman"/>
                <w:b/>
                <w:bCs/>
                <w:sz w:val="24"/>
                <w:szCs w:val="24"/>
                <w:u w:val="single"/>
                <w:shd w:val="clear" w:color="auto" w:fill="FFFFFF"/>
                <w:lang w:val="en-CA"/>
              </w:rPr>
              <w:t>STUDY</w:t>
            </w:r>
          </w:p>
        </w:tc>
        <w:tc>
          <w:tcPr>
            <w:tcW w:w="3465" w:type="dxa"/>
            <w:gridSpan w:val="2"/>
          </w:tcPr>
          <w:p w14:paraId="38178DCD" w14:textId="77777777" w:rsidR="00705631" w:rsidRPr="000634BE" w:rsidRDefault="00705631" w:rsidP="000634BE">
            <w:pPr>
              <w:spacing w:after="0" w:line="240" w:lineRule="auto"/>
              <w:jc w:val="center"/>
              <w:rPr>
                <w:rFonts w:ascii="Times New Roman" w:hAnsi="Times New Roman" w:cs="Times New Roman"/>
                <w:b/>
                <w:bCs/>
                <w:sz w:val="24"/>
                <w:szCs w:val="24"/>
                <w:u w:val="single"/>
                <w:shd w:val="clear" w:color="auto" w:fill="FFFFFF"/>
                <w:lang w:val="en-CA"/>
              </w:rPr>
            </w:pPr>
            <w:r w:rsidRPr="000634BE">
              <w:rPr>
                <w:rFonts w:ascii="Times New Roman" w:hAnsi="Times New Roman" w:cs="Times New Roman"/>
                <w:b/>
                <w:bCs/>
                <w:sz w:val="24"/>
                <w:szCs w:val="24"/>
                <w:u w:val="single"/>
                <w:shd w:val="clear" w:color="auto" w:fill="FFFFFF"/>
                <w:lang w:val="en-CA"/>
              </w:rPr>
              <w:t>SCREENING QUESTIONS</w:t>
            </w:r>
          </w:p>
        </w:tc>
        <w:tc>
          <w:tcPr>
            <w:tcW w:w="8640" w:type="dxa"/>
            <w:gridSpan w:val="5"/>
          </w:tcPr>
          <w:p w14:paraId="7AA7C457" w14:textId="77777777" w:rsidR="00705631" w:rsidRPr="000634BE" w:rsidRDefault="00705631" w:rsidP="000634BE">
            <w:pPr>
              <w:spacing w:after="0" w:line="240" w:lineRule="auto"/>
              <w:jc w:val="center"/>
              <w:rPr>
                <w:rFonts w:ascii="Times New Roman" w:hAnsi="Times New Roman" w:cs="Times New Roman"/>
                <w:b/>
                <w:bCs/>
                <w:sz w:val="24"/>
                <w:szCs w:val="24"/>
                <w:u w:val="single"/>
                <w:shd w:val="clear" w:color="auto" w:fill="FFFFFF"/>
                <w:lang w:val="en-CA"/>
              </w:rPr>
            </w:pPr>
            <w:r w:rsidRPr="000634BE">
              <w:rPr>
                <w:rFonts w:ascii="Times New Roman" w:hAnsi="Times New Roman" w:cs="Times New Roman"/>
                <w:b/>
                <w:bCs/>
                <w:sz w:val="24"/>
                <w:szCs w:val="24"/>
                <w:u w:val="single"/>
                <w:shd w:val="clear" w:color="auto" w:fill="FFFFFF"/>
                <w:lang w:val="en-CA"/>
              </w:rPr>
              <w:t>QUANTITATIVE DESCRIPTIVE STUDIES</w:t>
            </w:r>
          </w:p>
        </w:tc>
      </w:tr>
      <w:tr w:rsidR="00705631" w:rsidRPr="000634BE" w14:paraId="7C0E71C7" w14:textId="77777777" w:rsidTr="000634BE">
        <w:tc>
          <w:tcPr>
            <w:tcW w:w="2475" w:type="dxa"/>
          </w:tcPr>
          <w:p w14:paraId="35C8C6EE"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
        </w:tc>
        <w:tc>
          <w:tcPr>
            <w:tcW w:w="1305" w:type="dxa"/>
          </w:tcPr>
          <w:p w14:paraId="7284712C"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lang w:val="en-CA"/>
              </w:rPr>
              <w:t>Are there clear research questions?</w:t>
            </w:r>
          </w:p>
        </w:tc>
        <w:tc>
          <w:tcPr>
            <w:tcW w:w="2160" w:type="dxa"/>
          </w:tcPr>
          <w:p w14:paraId="5DF6A795"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lang w:val="en-CA"/>
              </w:rPr>
              <w:t>Do the collected data allow to address the research questions?</w:t>
            </w:r>
          </w:p>
        </w:tc>
        <w:tc>
          <w:tcPr>
            <w:tcW w:w="1890" w:type="dxa"/>
          </w:tcPr>
          <w:p w14:paraId="5A87F00B"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lang w:val="en-CA"/>
              </w:rPr>
              <w:t>Is the sampling strategy relevant to address the research question?</w:t>
            </w:r>
          </w:p>
        </w:tc>
        <w:tc>
          <w:tcPr>
            <w:tcW w:w="1530" w:type="dxa"/>
          </w:tcPr>
          <w:p w14:paraId="2C10CBEF"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lang w:val="en-CA"/>
              </w:rPr>
              <w:t>Is the sample representative of the target population?</w:t>
            </w:r>
          </w:p>
        </w:tc>
        <w:tc>
          <w:tcPr>
            <w:tcW w:w="1620" w:type="dxa"/>
          </w:tcPr>
          <w:p w14:paraId="1B6C65EB"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 xml:space="preserve">Are the </w:t>
            </w:r>
            <w:r w:rsidRPr="000634BE">
              <w:rPr>
                <w:rFonts w:ascii="Times New Roman" w:hAnsi="Times New Roman" w:cs="Times New Roman"/>
                <w:color w:val="000000"/>
                <w:sz w:val="24"/>
                <w:szCs w:val="24"/>
                <w:lang w:val="en-CA"/>
              </w:rPr>
              <w:t>measurements appropriate?</w:t>
            </w:r>
          </w:p>
        </w:tc>
        <w:tc>
          <w:tcPr>
            <w:tcW w:w="1530" w:type="dxa"/>
          </w:tcPr>
          <w:p w14:paraId="288EB6E6"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lang w:val="en-CA"/>
              </w:rPr>
              <w:t>Is the risk of non-response bias low?</w:t>
            </w:r>
          </w:p>
        </w:tc>
        <w:tc>
          <w:tcPr>
            <w:tcW w:w="2070" w:type="dxa"/>
          </w:tcPr>
          <w:p w14:paraId="060B56D2"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lang w:val="en-CA"/>
              </w:rPr>
              <w:t>Is the statistical analysis appropriate to answer the research question?</w:t>
            </w:r>
          </w:p>
        </w:tc>
      </w:tr>
      <w:tr w:rsidR="00705631" w:rsidRPr="000634BE" w14:paraId="1A4E7D2C" w14:textId="77777777" w:rsidTr="000634BE">
        <w:tc>
          <w:tcPr>
            <w:tcW w:w="2475" w:type="dxa"/>
          </w:tcPr>
          <w:p w14:paraId="512FE809" w14:textId="77777777" w:rsidR="00705631" w:rsidRPr="000634BE" w:rsidRDefault="00705631" w:rsidP="000634BE">
            <w:pPr>
              <w:spacing w:after="0" w:line="240" w:lineRule="auto"/>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Nozaki</w:t>
            </w:r>
            <w:proofErr w:type="spellEnd"/>
            <w:r w:rsidRPr="000634BE">
              <w:rPr>
                <w:rFonts w:ascii="Times New Roman" w:hAnsi="Times New Roman" w:cs="Times New Roman"/>
                <w:color w:val="000000"/>
                <w:sz w:val="24"/>
                <w:szCs w:val="24"/>
              </w:rPr>
              <w:t xml:space="preserve"> et al. (1995)</w:t>
            </w:r>
          </w:p>
        </w:tc>
        <w:tc>
          <w:tcPr>
            <w:tcW w:w="1305" w:type="dxa"/>
          </w:tcPr>
          <w:p w14:paraId="35E58E24"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c>
          <w:tcPr>
            <w:tcW w:w="2160" w:type="dxa"/>
          </w:tcPr>
          <w:p w14:paraId="428AD1FF"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1890" w:type="dxa"/>
          </w:tcPr>
          <w:p w14:paraId="62A6F216"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1530" w:type="dxa"/>
          </w:tcPr>
          <w:p w14:paraId="39A216A7"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c>
          <w:tcPr>
            <w:tcW w:w="1620" w:type="dxa"/>
          </w:tcPr>
          <w:p w14:paraId="1A4BC449"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c>
          <w:tcPr>
            <w:tcW w:w="1530" w:type="dxa"/>
          </w:tcPr>
          <w:p w14:paraId="67B5E029"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2070" w:type="dxa"/>
          </w:tcPr>
          <w:p w14:paraId="47657536"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r>
      <w:tr w:rsidR="00705631" w:rsidRPr="000634BE" w14:paraId="71F2C7A8" w14:textId="77777777" w:rsidTr="000634BE">
        <w:tc>
          <w:tcPr>
            <w:tcW w:w="2475" w:type="dxa"/>
          </w:tcPr>
          <w:p w14:paraId="5024D1AE" w14:textId="77777777" w:rsidR="00705631" w:rsidRPr="000634BE" w:rsidRDefault="00705631" w:rsidP="000634BE">
            <w:pPr>
              <w:spacing w:after="0" w:line="240" w:lineRule="auto"/>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Okumura</w:t>
            </w:r>
            <w:proofErr w:type="spellEnd"/>
            <w:r w:rsidRPr="000634BE">
              <w:rPr>
                <w:rFonts w:ascii="Times New Roman" w:hAnsi="Times New Roman" w:cs="Times New Roman"/>
                <w:color w:val="000000"/>
                <w:sz w:val="24"/>
                <w:szCs w:val="24"/>
              </w:rPr>
              <w:t xml:space="preserve"> et al. (1996)</w:t>
            </w:r>
          </w:p>
        </w:tc>
        <w:tc>
          <w:tcPr>
            <w:tcW w:w="1305" w:type="dxa"/>
          </w:tcPr>
          <w:p w14:paraId="2F8CF21A"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c>
          <w:tcPr>
            <w:tcW w:w="2160" w:type="dxa"/>
          </w:tcPr>
          <w:p w14:paraId="4D30ACE1"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1890" w:type="dxa"/>
          </w:tcPr>
          <w:p w14:paraId="5F6520FB"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1530" w:type="dxa"/>
          </w:tcPr>
          <w:p w14:paraId="45AF36F1"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1620" w:type="dxa"/>
          </w:tcPr>
          <w:p w14:paraId="6DDB9BC2"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1530" w:type="dxa"/>
          </w:tcPr>
          <w:p w14:paraId="1CF34402"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2070" w:type="dxa"/>
          </w:tcPr>
          <w:p w14:paraId="3B84D52C"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Yes</w:t>
            </w:r>
          </w:p>
        </w:tc>
      </w:tr>
      <w:tr w:rsidR="00705631" w:rsidRPr="000634BE" w14:paraId="7D7DE10E" w14:textId="77777777" w:rsidTr="000634BE">
        <w:tc>
          <w:tcPr>
            <w:tcW w:w="2475" w:type="dxa"/>
          </w:tcPr>
          <w:p w14:paraId="09E26D99" w14:textId="77777777" w:rsidR="00705631" w:rsidRPr="000634BE" w:rsidRDefault="00705631" w:rsidP="000634BE">
            <w:pPr>
              <w:spacing w:after="0" w:line="240" w:lineRule="auto"/>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Rosman</w:t>
            </w:r>
            <w:proofErr w:type="spellEnd"/>
            <w:r w:rsidRPr="000634BE">
              <w:rPr>
                <w:rFonts w:ascii="Times New Roman" w:hAnsi="Times New Roman" w:cs="Times New Roman"/>
                <w:color w:val="000000"/>
                <w:sz w:val="24"/>
                <w:szCs w:val="24"/>
              </w:rPr>
              <w:t xml:space="preserve"> et al. (2014)</w:t>
            </w:r>
          </w:p>
        </w:tc>
        <w:tc>
          <w:tcPr>
            <w:tcW w:w="1305" w:type="dxa"/>
          </w:tcPr>
          <w:p w14:paraId="4E9339E8"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c>
          <w:tcPr>
            <w:tcW w:w="2160" w:type="dxa"/>
          </w:tcPr>
          <w:p w14:paraId="01216362"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1890" w:type="dxa"/>
          </w:tcPr>
          <w:p w14:paraId="78EE61DE"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1530" w:type="dxa"/>
          </w:tcPr>
          <w:p w14:paraId="6C2D757D"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c>
          <w:tcPr>
            <w:tcW w:w="1620" w:type="dxa"/>
          </w:tcPr>
          <w:p w14:paraId="27011ABF"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c>
          <w:tcPr>
            <w:tcW w:w="1530" w:type="dxa"/>
          </w:tcPr>
          <w:p w14:paraId="706BDF3C"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2070" w:type="dxa"/>
          </w:tcPr>
          <w:p w14:paraId="755FF66E"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r>
      <w:tr w:rsidR="00705631" w:rsidRPr="000634BE" w14:paraId="7FDF793D" w14:textId="77777777" w:rsidTr="000634BE">
        <w:tc>
          <w:tcPr>
            <w:tcW w:w="2475" w:type="dxa"/>
          </w:tcPr>
          <w:p w14:paraId="612FC31B" w14:textId="77777777" w:rsidR="00705631" w:rsidRPr="000634BE" w:rsidRDefault="00705631" w:rsidP="000634BE">
            <w:pPr>
              <w:spacing w:after="0" w:line="240" w:lineRule="auto"/>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Yanagisawa</w:t>
            </w:r>
            <w:proofErr w:type="spellEnd"/>
            <w:r w:rsidRPr="000634BE">
              <w:rPr>
                <w:rFonts w:ascii="Times New Roman" w:hAnsi="Times New Roman" w:cs="Times New Roman"/>
                <w:color w:val="000000"/>
                <w:sz w:val="24"/>
                <w:szCs w:val="24"/>
              </w:rPr>
              <w:t xml:space="preserve"> et al. (2006)</w:t>
            </w:r>
          </w:p>
        </w:tc>
        <w:tc>
          <w:tcPr>
            <w:tcW w:w="1305" w:type="dxa"/>
          </w:tcPr>
          <w:p w14:paraId="005CC7BE"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c>
          <w:tcPr>
            <w:tcW w:w="2160" w:type="dxa"/>
          </w:tcPr>
          <w:p w14:paraId="02676AD7"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1890" w:type="dxa"/>
          </w:tcPr>
          <w:p w14:paraId="547A7107"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Yes</w:t>
            </w:r>
          </w:p>
        </w:tc>
        <w:tc>
          <w:tcPr>
            <w:tcW w:w="1530" w:type="dxa"/>
          </w:tcPr>
          <w:p w14:paraId="784F0739"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Yes</w:t>
            </w:r>
          </w:p>
        </w:tc>
        <w:tc>
          <w:tcPr>
            <w:tcW w:w="1620" w:type="dxa"/>
          </w:tcPr>
          <w:p w14:paraId="0AD512FE"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c>
          <w:tcPr>
            <w:tcW w:w="1530" w:type="dxa"/>
          </w:tcPr>
          <w:p w14:paraId="2B46425D"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Can’t</w:t>
            </w:r>
            <w:proofErr w:type="spellEnd"/>
            <w:r w:rsidRPr="000634BE">
              <w:rPr>
                <w:rFonts w:ascii="Times New Roman" w:hAnsi="Times New Roman" w:cs="Times New Roman"/>
                <w:color w:val="000000"/>
                <w:sz w:val="24"/>
                <w:szCs w:val="24"/>
              </w:rPr>
              <w:t xml:space="preserve"> tell</w:t>
            </w:r>
          </w:p>
        </w:tc>
        <w:tc>
          <w:tcPr>
            <w:tcW w:w="2070" w:type="dxa"/>
          </w:tcPr>
          <w:p w14:paraId="416CA414"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No</w:t>
            </w:r>
          </w:p>
        </w:tc>
      </w:tr>
    </w:tbl>
    <w:p w14:paraId="6682285C" w14:textId="72F0B555" w:rsidR="00705631" w:rsidRPr="000634BE" w:rsidRDefault="00705631" w:rsidP="000634BE">
      <w:pPr>
        <w:spacing w:after="0" w:line="240" w:lineRule="auto"/>
        <w:rPr>
          <w:rFonts w:ascii="Times New Roman" w:hAnsi="Times New Roman" w:cs="Times New Roman"/>
          <w:b/>
          <w:bCs/>
          <w:sz w:val="24"/>
          <w:szCs w:val="24"/>
          <w:shd w:val="clear" w:color="auto" w:fill="FFFFFF"/>
          <w:lang w:val="en-CA"/>
        </w:rPr>
      </w:pPr>
      <w:r w:rsidRPr="000634BE">
        <w:rPr>
          <w:rFonts w:ascii="Times New Roman" w:hAnsi="Times New Roman" w:cs="Times New Roman"/>
          <w:b/>
          <w:bCs/>
          <w:sz w:val="24"/>
          <w:szCs w:val="24"/>
          <w:shd w:val="clear" w:color="auto" w:fill="FFFFFF"/>
          <w:lang w:val="en-CA"/>
        </w:rPr>
        <w:t xml:space="preserve">Table S4. Hong’s mixed methods appraisal tool applied to published papers retained. </w:t>
      </w:r>
    </w:p>
    <w:p w14:paraId="2A5335FA" w14:textId="77777777" w:rsidR="00705631" w:rsidRPr="000634BE" w:rsidRDefault="00705631" w:rsidP="000634BE">
      <w:pPr>
        <w:spacing w:after="0" w:line="240" w:lineRule="auto"/>
        <w:rPr>
          <w:rFonts w:ascii="Times New Roman" w:hAnsi="Times New Roman" w:cs="Times New Roman"/>
          <w:sz w:val="24"/>
          <w:szCs w:val="24"/>
          <w:u w:val="single"/>
          <w:shd w:val="clear" w:color="auto" w:fill="FFFFFF"/>
          <w:lang w:val="en-CA"/>
        </w:rPr>
      </w:pPr>
      <w:r w:rsidRPr="000634BE">
        <w:rPr>
          <w:rFonts w:ascii="Times New Roman" w:hAnsi="Times New Roman" w:cs="Times New Roman"/>
          <w:b/>
          <w:bCs/>
          <w:sz w:val="24"/>
          <w:szCs w:val="24"/>
          <w:u w:val="single"/>
          <w:shd w:val="clear" w:color="auto" w:fill="FFFFFF"/>
          <w:lang w:val="en-CA"/>
        </w:rPr>
        <w:t>NOTE.</w:t>
      </w:r>
      <w:r w:rsidRPr="000634BE">
        <w:rPr>
          <w:rFonts w:ascii="Times New Roman" w:hAnsi="Times New Roman" w:cs="Times New Roman"/>
          <w:sz w:val="24"/>
          <w:szCs w:val="24"/>
          <w:shd w:val="clear" w:color="auto" w:fill="FFFFFF"/>
          <w:lang w:val="en-CA"/>
        </w:rPr>
        <w:t xml:space="preserve"> Hong et al. (2019) Appendix 1 template format was used. Answer choices were Yes, </w:t>
      </w:r>
      <w:proofErr w:type="gramStart"/>
      <w:r w:rsidRPr="000634BE">
        <w:rPr>
          <w:rFonts w:ascii="Times New Roman" w:hAnsi="Times New Roman" w:cs="Times New Roman"/>
          <w:sz w:val="24"/>
          <w:szCs w:val="24"/>
          <w:shd w:val="clear" w:color="auto" w:fill="FFFFFF"/>
          <w:lang w:val="en-CA"/>
        </w:rPr>
        <w:t>No</w:t>
      </w:r>
      <w:proofErr w:type="gramEnd"/>
      <w:r w:rsidRPr="000634BE">
        <w:rPr>
          <w:rFonts w:ascii="Times New Roman" w:hAnsi="Times New Roman" w:cs="Times New Roman"/>
          <w:sz w:val="24"/>
          <w:szCs w:val="24"/>
          <w:shd w:val="clear" w:color="auto" w:fill="FFFFFF"/>
          <w:lang w:val="en-CA"/>
        </w:rPr>
        <w:t xml:space="preserve">, Can’t Tell. </w:t>
      </w:r>
      <w:r w:rsidRPr="000634BE">
        <w:rPr>
          <w:rFonts w:ascii="Times New Roman" w:hAnsi="Times New Roman" w:cs="Times New Roman"/>
          <w:sz w:val="24"/>
          <w:szCs w:val="24"/>
          <w:u w:val="single"/>
          <w:shd w:val="clear" w:color="auto" w:fill="FFFFFF"/>
          <w:lang w:val="en-CA"/>
        </w:rPr>
        <w:t>(Hong</w:t>
      </w:r>
      <w:r w:rsidRPr="000634BE">
        <w:rPr>
          <w:rFonts w:ascii="Times New Roman" w:hAnsi="Times New Roman" w:cs="Times New Roman"/>
          <w:sz w:val="24"/>
          <w:szCs w:val="24"/>
          <w:lang w:val="en-CA"/>
        </w:rPr>
        <w:t xml:space="preserve"> QN, </w:t>
      </w:r>
      <w:proofErr w:type="spellStart"/>
      <w:r w:rsidRPr="000634BE">
        <w:rPr>
          <w:rFonts w:ascii="Times New Roman" w:hAnsi="Times New Roman" w:cs="Times New Roman"/>
          <w:sz w:val="24"/>
          <w:szCs w:val="24"/>
          <w:lang w:val="en-CA"/>
        </w:rPr>
        <w:t>Pluye</w:t>
      </w:r>
      <w:proofErr w:type="spellEnd"/>
      <w:r w:rsidRPr="000634BE">
        <w:rPr>
          <w:rFonts w:ascii="Times New Roman" w:hAnsi="Times New Roman" w:cs="Times New Roman"/>
          <w:sz w:val="24"/>
          <w:szCs w:val="24"/>
          <w:lang w:val="en-CA"/>
        </w:rPr>
        <w:t xml:space="preserve"> P, </w:t>
      </w:r>
      <w:proofErr w:type="spellStart"/>
      <w:r w:rsidRPr="000634BE">
        <w:rPr>
          <w:rFonts w:ascii="Times New Roman" w:hAnsi="Times New Roman" w:cs="Times New Roman"/>
          <w:sz w:val="24"/>
          <w:szCs w:val="24"/>
          <w:lang w:val="en-CA"/>
        </w:rPr>
        <w:t>Fàbregues</w:t>
      </w:r>
      <w:proofErr w:type="spellEnd"/>
      <w:r w:rsidRPr="000634BE">
        <w:rPr>
          <w:rFonts w:ascii="Times New Roman" w:hAnsi="Times New Roman" w:cs="Times New Roman"/>
          <w:sz w:val="24"/>
          <w:szCs w:val="24"/>
          <w:lang w:val="en-CA"/>
        </w:rPr>
        <w:t xml:space="preserve"> S, Bartlett G, Boardman F, Cargo M, et al. </w:t>
      </w:r>
      <w:r w:rsidRPr="000634BE">
        <w:rPr>
          <w:rFonts w:ascii="Times New Roman" w:hAnsi="Times New Roman" w:cs="Times New Roman"/>
          <w:i/>
          <w:sz w:val="24"/>
          <w:szCs w:val="24"/>
          <w:lang w:val="en-CA"/>
        </w:rPr>
        <w:t>Improving the content validity of the mixed methods appraisal tool: a modified e-Delphi study</w:t>
      </w:r>
      <w:r w:rsidRPr="000634BE">
        <w:rPr>
          <w:rFonts w:ascii="Times New Roman" w:hAnsi="Times New Roman" w:cs="Times New Roman"/>
          <w:sz w:val="24"/>
          <w:szCs w:val="24"/>
          <w:lang w:val="en-CA"/>
        </w:rPr>
        <w:t>. Journal of Clinical Epidemiology 2019; 111:49-</w:t>
      </w:r>
      <w:proofErr w:type="gramStart"/>
      <w:r w:rsidRPr="000634BE">
        <w:rPr>
          <w:rFonts w:ascii="Times New Roman" w:hAnsi="Times New Roman" w:cs="Times New Roman"/>
          <w:sz w:val="24"/>
          <w:szCs w:val="24"/>
          <w:lang w:val="en-CA"/>
        </w:rPr>
        <w:t>59.e</w:t>
      </w:r>
      <w:proofErr w:type="gramEnd"/>
      <w:r w:rsidRPr="000634BE">
        <w:rPr>
          <w:rFonts w:ascii="Times New Roman" w:hAnsi="Times New Roman" w:cs="Times New Roman"/>
          <w:sz w:val="24"/>
          <w:szCs w:val="24"/>
          <w:lang w:val="en-CA"/>
        </w:rPr>
        <w:t xml:space="preserve">41) </w:t>
      </w:r>
      <w:r w:rsidRPr="000634BE">
        <w:rPr>
          <w:rFonts w:ascii="Times New Roman" w:hAnsi="Times New Roman" w:cs="Times New Roman"/>
          <w:noProof/>
          <w:sz w:val="24"/>
          <w:szCs w:val="24"/>
          <w:vertAlign w:val="superscript"/>
          <w:lang w:val="en-CA"/>
        </w:rPr>
        <w:t>4</w:t>
      </w:r>
    </w:p>
    <w:p w14:paraId="1DD5919E" w14:textId="77777777" w:rsidR="000634BE" w:rsidRDefault="000634BE" w:rsidP="000634BE">
      <w:pPr>
        <w:spacing w:after="0" w:line="240" w:lineRule="auto"/>
        <w:rPr>
          <w:rFonts w:ascii="Times New Roman" w:hAnsi="Times New Roman" w:cs="Times New Roman"/>
          <w:sz w:val="24"/>
          <w:szCs w:val="24"/>
          <w:u w:val="single"/>
          <w:shd w:val="clear" w:color="auto" w:fill="FFFFFF"/>
          <w:lang w:val="en-CA"/>
        </w:rPr>
      </w:pPr>
    </w:p>
    <w:p w14:paraId="261BF3A4" w14:textId="77777777" w:rsidR="000634BE" w:rsidRDefault="000634BE" w:rsidP="000634BE">
      <w:pPr>
        <w:spacing w:after="0" w:line="240" w:lineRule="auto"/>
        <w:rPr>
          <w:rFonts w:ascii="Times New Roman" w:hAnsi="Times New Roman" w:cs="Times New Roman"/>
          <w:sz w:val="24"/>
          <w:szCs w:val="24"/>
          <w:u w:val="single"/>
          <w:shd w:val="clear" w:color="auto" w:fill="FFFFFF"/>
          <w:lang w:val="en-CA"/>
        </w:rPr>
      </w:pPr>
    </w:p>
    <w:p w14:paraId="554A8884" w14:textId="097ED729" w:rsidR="00705631" w:rsidRPr="000634BE" w:rsidRDefault="00705631" w:rsidP="000634BE">
      <w:pPr>
        <w:spacing w:after="0" w:line="240" w:lineRule="auto"/>
        <w:rPr>
          <w:rFonts w:ascii="Times New Roman" w:hAnsi="Times New Roman" w:cs="Times New Roman"/>
          <w:sz w:val="24"/>
          <w:szCs w:val="24"/>
          <w:u w:val="single"/>
          <w:shd w:val="clear" w:color="auto" w:fill="FFFFFF"/>
          <w:lang w:val="en-CA"/>
        </w:rPr>
      </w:pPr>
    </w:p>
    <w:tbl>
      <w:tblPr>
        <w:tblStyle w:val="TableGrid"/>
        <w:tblW w:w="15030" w:type="dxa"/>
        <w:tblInd w:w="-1085" w:type="dxa"/>
        <w:tblLayout w:type="fixed"/>
        <w:tblLook w:val="04A0" w:firstRow="1" w:lastRow="0" w:firstColumn="1" w:lastColumn="0" w:noHBand="0" w:noVBand="1"/>
      </w:tblPr>
      <w:tblGrid>
        <w:gridCol w:w="2250"/>
        <w:gridCol w:w="1260"/>
        <w:gridCol w:w="1530"/>
        <w:gridCol w:w="1260"/>
        <w:gridCol w:w="1260"/>
        <w:gridCol w:w="1260"/>
        <w:gridCol w:w="1260"/>
        <w:gridCol w:w="1260"/>
        <w:gridCol w:w="2070"/>
        <w:gridCol w:w="1620"/>
      </w:tblGrid>
      <w:tr w:rsidR="000634BE" w:rsidRPr="000634BE" w14:paraId="72122617" w14:textId="77777777" w:rsidTr="000634BE">
        <w:tc>
          <w:tcPr>
            <w:tcW w:w="2250" w:type="dxa"/>
          </w:tcPr>
          <w:p w14:paraId="276421D9"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b/>
                <w:bCs/>
                <w:color w:val="000000"/>
                <w:sz w:val="24"/>
                <w:szCs w:val="24"/>
              </w:rPr>
              <w:t>Study</w:t>
            </w:r>
            <w:proofErr w:type="spellEnd"/>
          </w:p>
        </w:tc>
        <w:tc>
          <w:tcPr>
            <w:tcW w:w="1260" w:type="dxa"/>
          </w:tcPr>
          <w:p w14:paraId="477338E7"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b/>
                <w:bCs/>
                <w:color w:val="000000"/>
                <w:sz w:val="24"/>
                <w:szCs w:val="24"/>
              </w:rPr>
              <w:t xml:space="preserve">Abstract &amp; </w:t>
            </w:r>
            <w:proofErr w:type="spellStart"/>
            <w:r w:rsidRPr="000634BE">
              <w:rPr>
                <w:rFonts w:ascii="Times New Roman" w:hAnsi="Times New Roman" w:cs="Times New Roman"/>
                <w:b/>
                <w:bCs/>
                <w:color w:val="000000"/>
                <w:sz w:val="24"/>
                <w:szCs w:val="24"/>
              </w:rPr>
              <w:t>Title</w:t>
            </w:r>
            <w:proofErr w:type="spellEnd"/>
          </w:p>
        </w:tc>
        <w:tc>
          <w:tcPr>
            <w:tcW w:w="1530" w:type="dxa"/>
          </w:tcPr>
          <w:p w14:paraId="2A5AE32A"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b/>
                <w:bCs/>
                <w:color w:val="000000"/>
                <w:sz w:val="24"/>
                <w:szCs w:val="24"/>
              </w:rPr>
              <w:t xml:space="preserve">Introduction &amp; </w:t>
            </w:r>
            <w:proofErr w:type="spellStart"/>
            <w:r w:rsidRPr="000634BE">
              <w:rPr>
                <w:rFonts w:ascii="Times New Roman" w:hAnsi="Times New Roman" w:cs="Times New Roman"/>
                <w:b/>
                <w:bCs/>
                <w:color w:val="000000"/>
                <w:sz w:val="24"/>
                <w:szCs w:val="24"/>
              </w:rPr>
              <w:t>Aims</w:t>
            </w:r>
            <w:proofErr w:type="spellEnd"/>
          </w:p>
        </w:tc>
        <w:tc>
          <w:tcPr>
            <w:tcW w:w="1260" w:type="dxa"/>
          </w:tcPr>
          <w:p w14:paraId="7BC995A6"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b/>
                <w:bCs/>
                <w:color w:val="000000"/>
                <w:sz w:val="24"/>
                <w:szCs w:val="24"/>
              </w:rPr>
              <w:t>Method &amp; Data</w:t>
            </w:r>
          </w:p>
        </w:tc>
        <w:tc>
          <w:tcPr>
            <w:tcW w:w="1260" w:type="dxa"/>
          </w:tcPr>
          <w:p w14:paraId="7F7F07DF"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b/>
                <w:bCs/>
                <w:color w:val="000000"/>
                <w:sz w:val="24"/>
                <w:szCs w:val="24"/>
              </w:rPr>
              <w:t>Sampling</w:t>
            </w:r>
          </w:p>
        </w:tc>
        <w:tc>
          <w:tcPr>
            <w:tcW w:w="1260" w:type="dxa"/>
          </w:tcPr>
          <w:p w14:paraId="475DFEE8"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b/>
                <w:bCs/>
                <w:color w:val="000000"/>
                <w:sz w:val="24"/>
                <w:szCs w:val="24"/>
              </w:rPr>
              <w:t xml:space="preserve">Data </w:t>
            </w:r>
            <w:proofErr w:type="spellStart"/>
            <w:r w:rsidRPr="000634BE">
              <w:rPr>
                <w:rFonts w:ascii="Times New Roman" w:hAnsi="Times New Roman" w:cs="Times New Roman"/>
                <w:b/>
                <w:bCs/>
                <w:color w:val="000000"/>
                <w:sz w:val="24"/>
                <w:szCs w:val="24"/>
              </w:rPr>
              <w:t>analysis</w:t>
            </w:r>
            <w:proofErr w:type="spellEnd"/>
          </w:p>
        </w:tc>
        <w:tc>
          <w:tcPr>
            <w:tcW w:w="1260" w:type="dxa"/>
          </w:tcPr>
          <w:p w14:paraId="7C08DEB9"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b/>
                <w:bCs/>
                <w:color w:val="000000"/>
                <w:sz w:val="24"/>
                <w:szCs w:val="24"/>
              </w:rPr>
              <w:t>Ethics</w:t>
            </w:r>
            <w:proofErr w:type="spellEnd"/>
            <w:r w:rsidRPr="000634BE">
              <w:rPr>
                <w:rFonts w:ascii="Times New Roman" w:hAnsi="Times New Roman" w:cs="Times New Roman"/>
                <w:b/>
                <w:bCs/>
                <w:color w:val="000000"/>
                <w:sz w:val="24"/>
                <w:szCs w:val="24"/>
              </w:rPr>
              <w:t xml:space="preserve"> &amp; </w:t>
            </w:r>
            <w:proofErr w:type="spellStart"/>
            <w:r w:rsidRPr="000634BE">
              <w:rPr>
                <w:rFonts w:ascii="Times New Roman" w:hAnsi="Times New Roman" w:cs="Times New Roman"/>
                <w:b/>
                <w:bCs/>
                <w:color w:val="000000"/>
                <w:sz w:val="24"/>
                <w:szCs w:val="24"/>
              </w:rPr>
              <w:t>Bias</w:t>
            </w:r>
            <w:proofErr w:type="spellEnd"/>
          </w:p>
        </w:tc>
        <w:tc>
          <w:tcPr>
            <w:tcW w:w="1260" w:type="dxa"/>
          </w:tcPr>
          <w:p w14:paraId="7B55543E"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b/>
                <w:bCs/>
                <w:color w:val="000000"/>
                <w:sz w:val="24"/>
                <w:szCs w:val="24"/>
              </w:rPr>
              <w:t>Findings</w:t>
            </w:r>
            <w:proofErr w:type="spellEnd"/>
            <w:r w:rsidRPr="000634BE">
              <w:rPr>
                <w:rFonts w:ascii="Times New Roman" w:hAnsi="Times New Roman" w:cs="Times New Roman"/>
                <w:b/>
                <w:bCs/>
                <w:color w:val="000000"/>
                <w:sz w:val="24"/>
                <w:szCs w:val="24"/>
              </w:rPr>
              <w:t xml:space="preserve"> &amp; </w:t>
            </w:r>
            <w:proofErr w:type="spellStart"/>
            <w:r w:rsidRPr="000634BE">
              <w:rPr>
                <w:rFonts w:ascii="Times New Roman" w:hAnsi="Times New Roman" w:cs="Times New Roman"/>
                <w:b/>
                <w:bCs/>
                <w:color w:val="000000"/>
                <w:sz w:val="24"/>
                <w:szCs w:val="24"/>
              </w:rPr>
              <w:t>Results</w:t>
            </w:r>
            <w:proofErr w:type="spellEnd"/>
          </w:p>
        </w:tc>
        <w:tc>
          <w:tcPr>
            <w:tcW w:w="2070" w:type="dxa"/>
          </w:tcPr>
          <w:p w14:paraId="138DC43D"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b/>
                <w:bCs/>
                <w:color w:val="000000"/>
                <w:sz w:val="24"/>
                <w:szCs w:val="24"/>
              </w:rPr>
              <w:t>Transferability</w:t>
            </w:r>
            <w:proofErr w:type="spellEnd"/>
            <w:r w:rsidRPr="000634BE">
              <w:rPr>
                <w:rFonts w:ascii="Times New Roman" w:hAnsi="Times New Roman" w:cs="Times New Roman"/>
                <w:b/>
                <w:bCs/>
                <w:color w:val="000000"/>
                <w:sz w:val="24"/>
                <w:szCs w:val="24"/>
              </w:rPr>
              <w:t xml:space="preserve"> &amp; </w:t>
            </w:r>
            <w:proofErr w:type="spellStart"/>
            <w:r w:rsidRPr="000634BE">
              <w:rPr>
                <w:rFonts w:ascii="Times New Roman" w:hAnsi="Times New Roman" w:cs="Times New Roman"/>
                <w:b/>
                <w:bCs/>
                <w:color w:val="000000"/>
                <w:sz w:val="24"/>
                <w:szCs w:val="24"/>
              </w:rPr>
              <w:t>Generalizability</w:t>
            </w:r>
            <w:proofErr w:type="spellEnd"/>
          </w:p>
        </w:tc>
        <w:tc>
          <w:tcPr>
            <w:tcW w:w="1620" w:type="dxa"/>
          </w:tcPr>
          <w:p w14:paraId="40AE196C"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b/>
                <w:bCs/>
                <w:color w:val="000000"/>
                <w:sz w:val="24"/>
                <w:szCs w:val="24"/>
              </w:rPr>
              <w:t xml:space="preserve">Implications &amp; </w:t>
            </w:r>
            <w:proofErr w:type="spellStart"/>
            <w:r w:rsidRPr="000634BE">
              <w:rPr>
                <w:rFonts w:ascii="Times New Roman" w:hAnsi="Times New Roman" w:cs="Times New Roman"/>
                <w:b/>
                <w:bCs/>
                <w:color w:val="000000"/>
                <w:sz w:val="24"/>
                <w:szCs w:val="24"/>
              </w:rPr>
              <w:t>Usefulness</w:t>
            </w:r>
            <w:proofErr w:type="spellEnd"/>
          </w:p>
        </w:tc>
      </w:tr>
      <w:tr w:rsidR="000634BE" w:rsidRPr="000634BE" w14:paraId="2220EE99" w14:textId="77777777" w:rsidTr="000634BE">
        <w:tc>
          <w:tcPr>
            <w:tcW w:w="2250" w:type="dxa"/>
            <w:vAlign w:val="bottom"/>
          </w:tcPr>
          <w:p w14:paraId="3D4C22BD" w14:textId="77777777" w:rsidR="00705631" w:rsidRPr="000634BE" w:rsidRDefault="00705631" w:rsidP="000634BE">
            <w:pPr>
              <w:spacing w:after="0" w:line="240" w:lineRule="auto"/>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Nozaki</w:t>
            </w:r>
            <w:proofErr w:type="spellEnd"/>
            <w:r w:rsidRPr="000634BE">
              <w:rPr>
                <w:rFonts w:ascii="Times New Roman" w:hAnsi="Times New Roman" w:cs="Times New Roman"/>
                <w:color w:val="000000"/>
                <w:sz w:val="24"/>
                <w:szCs w:val="24"/>
              </w:rPr>
              <w:t xml:space="preserve"> et al. (1995)</w:t>
            </w:r>
          </w:p>
        </w:tc>
        <w:tc>
          <w:tcPr>
            <w:tcW w:w="1260" w:type="dxa"/>
          </w:tcPr>
          <w:p w14:paraId="2CDD732B"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Fair</w:t>
            </w:r>
            <w:proofErr w:type="spellEnd"/>
          </w:p>
        </w:tc>
        <w:tc>
          <w:tcPr>
            <w:tcW w:w="1530" w:type="dxa"/>
          </w:tcPr>
          <w:p w14:paraId="46980F8A"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260" w:type="dxa"/>
          </w:tcPr>
          <w:p w14:paraId="5298EF95"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260" w:type="dxa"/>
          </w:tcPr>
          <w:p w14:paraId="502C07C9"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260" w:type="dxa"/>
          </w:tcPr>
          <w:p w14:paraId="44338FFF"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Very Poor</w:t>
            </w:r>
          </w:p>
        </w:tc>
        <w:tc>
          <w:tcPr>
            <w:tcW w:w="1260" w:type="dxa"/>
          </w:tcPr>
          <w:p w14:paraId="09280BA6"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Very Poor</w:t>
            </w:r>
          </w:p>
        </w:tc>
        <w:tc>
          <w:tcPr>
            <w:tcW w:w="1260" w:type="dxa"/>
          </w:tcPr>
          <w:p w14:paraId="605382E5"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2070" w:type="dxa"/>
          </w:tcPr>
          <w:p w14:paraId="7ED16FBE"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620" w:type="dxa"/>
          </w:tcPr>
          <w:p w14:paraId="43B8C316"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Good</w:t>
            </w:r>
          </w:p>
        </w:tc>
      </w:tr>
      <w:tr w:rsidR="000634BE" w:rsidRPr="000634BE" w14:paraId="24FD5CB4" w14:textId="77777777" w:rsidTr="000634BE">
        <w:tc>
          <w:tcPr>
            <w:tcW w:w="2250" w:type="dxa"/>
            <w:vAlign w:val="bottom"/>
          </w:tcPr>
          <w:p w14:paraId="646E219F" w14:textId="77777777" w:rsidR="00705631" w:rsidRPr="000634BE" w:rsidRDefault="00705631" w:rsidP="000634BE">
            <w:pPr>
              <w:spacing w:after="0" w:line="240" w:lineRule="auto"/>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Okumura</w:t>
            </w:r>
            <w:proofErr w:type="spellEnd"/>
            <w:r w:rsidRPr="000634BE">
              <w:rPr>
                <w:rFonts w:ascii="Times New Roman" w:hAnsi="Times New Roman" w:cs="Times New Roman"/>
                <w:color w:val="000000"/>
                <w:sz w:val="24"/>
                <w:szCs w:val="24"/>
              </w:rPr>
              <w:t xml:space="preserve"> et al. (1996)</w:t>
            </w:r>
          </w:p>
        </w:tc>
        <w:tc>
          <w:tcPr>
            <w:tcW w:w="1260" w:type="dxa"/>
          </w:tcPr>
          <w:p w14:paraId="700CB9E2"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Very Poor</w:t>
            </w:r>
          </w:p>
        </w:tc>
        <w:tc>
          <w:tcPr>
            <w:tcW w:w="1530" w:type="dxa"/>
          </w:tcPr>
          <w:p w14:paraId="33440D3C"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260" w:type="dxa"/>
          </w:tcPr>
          <w:p w14:paraId="54BC93A2"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Very Poor</w:t>
            </w:r>
          </w:p>
        </w:tc>
        <w:tc>
          <w:tcPr>
            <w:tcW w:w="1260" w:type="dxa"/>
          </w:tcPr>
          <w:p w14:paraId="617889B6"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260" w:type="dxa"/>
          </w:tcPr>
          <w:p w14:paraId="6847FF7B"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Very Poor</w:t>
            </w:r>
          </w:p>
        </w:tc>
        <w:tc>
          <w:tcPr>
            <w:tcW w:w="1260" w:type="dxa"/>
          </w:tcPr>
          <w:p w14:paraId="2D20EEE5"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Very Poor</w:t>
            </w:r>
          </w:p>
        </w:tc>
        <w:tc>
          <w:tcPr>
            <w:tcW w:w="1260" w:type="dxa"/>
          </w:tcPr>
          <w:p w14:paraId="63799F88"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2070" w:type="dxa"/>
          </w:tcPr>
          <w:p w14:paraId="4BEA042A"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Fair</w:t>
            </w:r>
            <w:proofErr w:type="spellEnd"/>
          </w:p>
        </w:tc>
        <w:tc>
          <w:tcPr>
            <w:tcW w:w="1620" w:type="dxa"/>
          </w:tcPr>
          <w:p w14:paraId="6BAE9E57"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Good</w:t>
            </w:r>
          </w:p>
        </w:tc>
      </w:tr>
      <w:tr w:rsidR="000634BE" w:rsidRPr="000634BE" w14:paraId="500BEC45" w14:textId="77777777" w:rsidTr="000634BE">
        <w:tc>
          <w:tcPr>
            <w:tcW w:w="2250" w:type="dxa"/>
            <w:vAlign w:val="bottom"/>
          </w:tcPr>
          <w:p w14:paraId="26DA2ADA" w14:textId="77777777" w:rsidR="00705631" w:rsidRPr="000634BE" w:rsidRDefault="00705631" w:rsidP="000634BE">
            <w:pPr>
              <w:spacing w:after="0" w:line="240" w:lineRule="auto"/>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Rosman</w:t>
            </w:r>
            <w:proofErr w:type="spellEnd"/>
            <w:r w:rsidRPr="000634BE">
              <w:rPr>
                <w:rFonts w:ascii="Times New Roman" w:hAnsi="Times New Roman" w:cs="Times New Roman"/>
                <w:color w:val="000000"/>
                <w:sz w:val="24"/>
                <w:szCs w:val="24"/>
              </w:rPr>
              <w:t xml:space="preserve"> et al. (2014)</w:t>
            </w:r>
          </w:p>
        </w:tc>
        <w:tc>
          <w:tcPr>
            <w:tcW w:w="1260" w:type="dxa"/>
          </w:tcPr>
          <w:p w14:paraId="1AAAAF49"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Fair</w:t>
            </w:r>
            <w:proofErr w:type="spellEnd"/>
          </w:p>
        </w:tc>
        <w:tc>
          <w:tcPr>
            <w:tcW w:w="1530" w:type="dxa"/>
          </w:tcPr>
          <w:p w14:paraId="21133EF1"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Fair</w:t>
            </w:r>
            <w:proofErr w:type="spellEnd"/>
          </w:p>
        </w:tc>
        <w:tc>
          <w:tcPr>
            <w:tcW w:w="1260" w:type="dxa"/>
          </w:tcPr>
          <w:p w14:paraId="7A625899"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260" w:type="dxa"/>
          </w:tcPr>
          <w:p w14:paraId="29EDD680"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Good</w:t>
            </w:r>
          </w:p>
        </w:tc>
        <w:tc>
          <w:tcPr>
            <w:tcW w:w="1260" w:type="dxa"/>
          </w:tcPr>
          <w:p w14:paraId="244ABC27"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260" w:type="dxa"/>
          </w:tcPr>
          <w:p w14:paraId="6220DADD"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Good</w:t>
            </w:r>
          </w:p>
        </w:tc>
        <w:tc>
          <w:tcPr>
            <w:tcW w:w="1260" w:type="dxa"/>
          </w:tcPr>
          <w:p w14:paraId="2179410E"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2070" w:type="dxa"/>
          </w:tcPr>
          <w:p w14:paraId="43C177B9"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620" w:type="dxa"/>
          </w:tcPr>
          <w:p w14:paraId="701AD28A"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Good</w:t>
            </w:r>
          </w:p>
        </w:tc>
      </w:tr>
      <w:tr w:rsidR="000634BE" w:rsidRPr="000634BE" w14:paraId="05191638" w14:textId="77777777" w:rsidTr="000634BE">
        <w:tc>
          <w:tcPr>
            <w:tcW w:w="2250" w:type="dxa"/>
            <w:vAlign w:val="bottom"/>
          </w:tcPr>
          <w:p w14:paraId="747401E2" w14:textId="77777777" w:rsidR="00705631" w:rsidRPr="000634BE" w:rsidRDefault="00705631" w:rsidP="000634BE">
            <w:pPr>
              <w:spacing w:after="0" w:line="240" w:lineRule="auto"/>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Yanagisawa</w:t>
            </w:r>
            <w:proofErr w:type="spellEnd"/>
            <w:r w:rsidRPr="000634BE">
              <w:rPr>
                <w:rFonts w:ascii="Times New Roman" w:hAnsi="Times New Roman" w:cs="Times New Roman"/>
                <w:color w:val="000000"/>
                <w:sz w:val="24"/>
                <w:szCs w:val="24"/>
              </w:rPr>
              <w:t xml:space="preserve"> et al. (2006)</w:t>
            </w:r>
          </w:p>
        </w:tc>
        <w:tc>
          <w:tcPr>
            <w:tcW w:w="1260" w:type="dxa"/>
          </w:tcPr>
          <w:p w14:paraId="21792DBE"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530" w:type="dxa"/>
          </w:tcPr>
          <w:p w14:paraId="40DCA891"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260" w:type="dxa"/>
          </w:tcPr>
          <w:p w14:paraId="6C3B94A5"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Very Poor</w:t>
            </w:r>
          </w:p>
        </w:tc>
        <w:tc>
          <w:tcPr>
            <w:tcW w:w="1260" w:type="dxa"/>
          </w:tcPr>
          <w:p w14:paraId="44C27334"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proofErr w:type="spellStart"/>
            <w:r w:rsidRPr="000634BE">
              <w:rPr>
                <w:rFonts w:ascii="Times New Roman" w:hAnsi="Times New Roman" w:cs="Times New Roman"/>
                <w:color w:val="000000"/>
                <w:sz w:val="24"/>
                <w:szCs w:val="24"/>
              </w:rPr>
              <w:t>Fair</w:t>
            </w:r>
            <w:proofErr w:type="spellEnd"/>
          </w:p>
        </w:tc>
        <w:tc>
          <w:tcPr>
            <w:tcW w:w="1260" w:type="dxa"/>
          </w:tcPr>
          <w:p w14:paraId="72CA7611"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260" w:type="dxa"/>
          </w:tcPr>
          <w:p w14:paraId="5C2064C2"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Very Poor</w:t>
            </w:r>
          </w:p>
        </w:tc>
        <w:tc>
          <w:tcPr>
            <w:tcW w:w="1260" w:type="dxa"/>
          </w:tcPr>
          <w:p w14:paraId="61C6469C"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2070" w:type="dxa"/>
          </w:tcPr>
          <w:p w14:paraId="0E8FAA3D"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Poor</w:t>
            </w:r>
          </w:p>
        </w:tc>
        <w:tc>
          <w:tcPr>
            <w:tcW w:w="1620" w:type="dxa"/>
          </w:tcPr>
          <w:p w14:paraId="3882984A" w14:textId="77777777" w:rsidR="00705631" w:rsidRPr="000634BE" w:rsidRDefault="00705631" w:rsidP="000634BE">
            <w:pPr>
              <w:spacing w:after="0" w:line="240" w:lineRule="auto"/>
              <w:jc w:val="center"/>
              <w:rPr>
                <w:rFonts w:ascii="Times New Roman" w:hAnsi="Times New Roman" w:cs="Times New Roman"/>
                <w:sz w:val="24"/>
                <w:szCs w:val="24"/>
                <w:u w:val="single"/>
                <w:shd w:val="clear" w:color="auto" w:fill="FFFFFF"/>
                <w:lang w:val="en-CA"/>
              </w:rPr>
            </w:pPr>
            <w:r w:rsidRPr="000634BE">
              <w:rPr>
                <w:rFonts w:ascii="Times New Roman" w:hAnsi="Times New Roman" w:cs="Times New Roman"/>
                <w:color w:val="000000"/>
                <w:sz w:val="24"/>
                <w:szCs w:val="24"/>
              </w:rPr>
              <w:t>Good</w:t>
            </w:r>
          </w:p>
        </w:tc>
      </w:tr>
    </w:tbl>
    <w:p w14:paraId="02BCF023" w14:textId="429B7A08" w:rsidR="00705631" w:rsidRPr="000634BE" w:rsidRDefault="00705631" w:rsidP="000634BE">
      <w:pPr>
        <w:spacing w:after="0" w:line="240" w:lineRule="auto"/>
        <w:rPr>
          <w:rFonts w:ascii="Times New Roman" w:hAnsi="Times New Roman" w:cs="Times New Roman"/>
          <w:b/>
          <w:bCs/>
          <w:sz w:val="24"/>
          <w:szCs w:val="24"/>
          <w:shd w:val="clear" w:color="auto" w:fill="FFFFFF"/>
          <w:lang w:val="en-CA"/>
        </w:rPr>
      </w:pPr>
      <w:r w:rsidRPr="000634BE">
        <w:rPr>
          <w:rFonts w:ascii="Times New Roman" w:hAnsi="Times New Roman" w:cs="Times New Roman"/>
          <w:b/>
          <w:bCs/>
          <w:sz w:val="24"/>
          <w:szCs w:val="24"/>
          <w:shd w:val="clear" w:color="auto" w:fill="FFFFFF"/>
          <w:lang w:val="en-CA"/>
        </w:rPr>
        <w:t xml:space="preserve">Table S5. Hawkers’ appraisal tool applied to published papers retained. </w:t>
      </w:r>
    </w:p>
    <w:p w14:paraId="25552D22" w14:textId="77777777" w:rsidR="00705631" w:rsidRPr="000634BE" w:rsidRDefault="00705631" w:rsidP="000634BE">
      <w:pPr>
        <w:spacing w:after="0" w:line="240" w:lineRule="auto"/>
        <w:rPr>
          <w:rFonts w:ascii="Times New Roman" w:hAnsi="Times New Roman" w:cs="Times New Roman"/>
          <w:sz w:val="24"/>
          <w:szCs w:val="24"/>
          <w:shd w:val="clear" w:color="auto" w:fill="FFFFFF"/>
          <w:lang w:val="en-CA"/>
        </w:rPr>
      </w:pPr>
      <w:r w:rsidRPr="000634BE">
        <w:rPr>
          <w:rFonts w:ascii="Times New Roman" w:hAnsi="Times New Roman" w:cs="Times New Roman"/>
          <w:b/>
          <w:bCs/>
          <w:sz w:val="24"/>
          <w:szCs w:val="24"/>
          <w:u w:val="single"/>
          <w:shd w:val="clear" w:color="auto" w:fill="FFFFFF"/>
          <w:lang w:val="en-CA"/>
        </w:rPr>
        <w:t>NOTE</w:t>
      </w:r>
      <w:r w:rsidRPr="000634BE">
        <w:rPr>
          <w:rFonts w:ascii="Times New Roman" w:hAnsi="Times New Roman" w:cs="Times New Roman"/>
          <w:sz w:val="24"/>
          <w:szCs w:val="24"/>
          <w:u w:val="single"/>
          <w:shd w:val="clear" w:color="auto" w:fill="FFFFFF"/>
          <w:lang w:val="en-CA"/>
        </w:rPr>
        <w:t>.</w:t>
      </w:r>
      <w:r w:rsidRPr="000634BE">
        <w:rPr>
          <w:rFonts w:ascii="Times New Roman" w:hAnsi="Times New Roman" w:cs="Times New Roman"/>
          <w:sz w:val="24"/>
          <w:szCs w:val="24"/>
          <w:shd w:val="clear" w:color="auto" w:fill="FFFFFF"/>
          <w:lang w:val="en-CA"/>
        </w:rPr>
        <w:t xml:space="preserve"> Hawker et al. (2002) Appendix D template format was used. Answer choices were Good, Fair, Poor, Very Poor. </w:t>
      </w:r>
      <w:r w:rsidRPr="000634BE">
        <w:rPr>
          <w:rFonts w:ascii="Times New Roman" w:hAnsi="Times New Roman" w:cs="Times New Roman"/>
          <w:sz w:val="24"/>
          <w:szCs w:val="24"/>
          <w:lang w:val="en-CA"/>
        </w:rPr>
        <w:t xml:space="preserve">(Hawker S, Payne S, Kerr C, </w:t>
      </w:r>
      <w:proofErr w:type="spellStart"/>
      <w:r w:rsidRPr="000634BE">
        <w:rPr>
          <w:rFonts w:ascii="Times New Roman" w:hAnsi="Times New Roman" w:cs="Times New Roman"/>
          <w:sz w:val="24"/>
          <w:szCs w:val="24"/>
          <w:lang w:val="en-CA"/>
        </w:rPr>
        <w:t>Hardey</w:t>
      </w:r>
      <w:proofErr w:type="spellEnd"/>
      <w:r w:rsidRPr="000634BE">
        <w:rPr>
          <w:rFonts w:ascii="Times New Roman" w:hAnsi="Times New Roman" w:cs="Times New Roman"/>
          <w:sz w:val="24"/>
          <w:szCs w:val="24"/>
          <w:lang w:val="en-CA"/>
        </w:rPr>
        <w:t xml:space="preserve"> M, Powell J. </w:t>
      </w:r>
      <w:r w:rsidRPr="000634BE">
        <w:rPr>
          <w:rFonts w:ascii="Times New Roman" w:hAnsi="Times New Roman" w:cs="Times New Roman"/>
          <w:i/>
          <w:sz w:val="24"/>
          <w:szCs w:val="24"/>
          <w:lang w:val="en-CA"/>
        </w:rPr>
        <w:t>Appraising the Evidence: Reviewing Disparate Data Systematically</w:t>
      </w:r>
      <w:r w:rsidRPr="000634BE">
        <w:rPr>
          <w:rFonts w:ascii="Times New Roman" w:hAnsi="Times New Roman" w:cs="Times New Roman"/>
          <w:sz w:val="24"/>
          <w:szCs w:val="24"/>
          <w:lang w:val="en-CA"/>
        </w:rPr>
        <w:t xml:space="preserve">. Qualitative Health Research 2002;12(9):1284-1299.) </w:t>
      </w:r>
      <w:r w:rsidRPr="000634BE">
        <w:rPr>
          <w:rFonts w:ascii="Times New Roman" w:hAnsi="Times New Roman" w:cs="Times New Roman"/>
          <w:noProof/>
          <w:sz w:val="24"/>
          <w:szCs w:val="24"/>
          <w:vertAlign w:val="superscript"/>
          <w:lang w:val="en-CA"/>
        </w:rPr>
        <w:t>5</w:t>
      </w:r>
    </w:p>
    <w:p w14:paraId="4FB13098" w14:textId="77777777" w:rsidR="00705631" w:rsidRPr="000634BE" w:rsidRDefault="00705631" w:rsidP="000634BE">
      <w:pPr>
        <w:spacing w:after="0" w:line="240" w:lineRule="auto"/>
        <w:rPr>
          <w:rFonts w:ascii="Times New Roman" w:hAnsi="Times New Roman" w:cs="Times New Roman"/>
          <w:sz w:val="24"/>
          <w:szCs w:val="24"/>
          <w:lang w:val="en-CA"/>
        </w:rPr>
        <w:sectPr w:rsidR="00705631" w:rsidRPr="000634BE" w:rsidSect="00B7667A">
          <w:pgSz w:w="15840" w:h="12240" w:orient="landscape"/>
          <w:pgMar w:top="1440" w:right="1440" w:bottom="1440" w:left="1440" w:header="708" w:footer="708" w:gutter="0"/>
          <w:cols w:space="708"/>
          <w:docGrid w:linePitch="360"/>
        </w:sectPr>
      </w:pPr>
    </w:p>
    <w:p w14:paraId="5BA20D63" w14:textId="16DD06DD" w:rsidR="00705631" w:rsidRPr="000634BE" w:rsidRDefault="00705631" w:rsidP="000634BE">
      <w:pPr>
        <w:spacing w:after="0" w:line="240" w:lineRule="auto"/>
        <w:ind w:firstLine="720"/>
        <w:rPr>
          <w:rFonts w:ascii="Times New Roman" w:hAnsi="Times New Roman" w:cs="Times New Roman"/>
          <w:sz w:val="24"/>
          <w:szCs w:val="24"/>
          <w:lang w:val="en-CA"/>
        </w:rPr>
      </w:pPr>
      <w:r w:rsidRPr="000634BE">
        <w:rPr>
          <w:rFonts w:ascii="Times New Roman" w:hAnsi="Times New Roman" w:cs="Times New Roman"/>
          <w:sz w:val="24"/>
          <w:szCs w:val="24"/>
          <w:lang w:val="en-CA"/>
        </w:rPr>
        <w:lastRenderedPageBreak/>
        <w:t xml:space="preserve">Table S6 and Table S7 show results of the data we processed in order to obtain uniform data on counts for exposed and deceased individuals from the limited and scattered data available across the four studies </w:t>
      </w:r>
      <w:r w:rsidRPr="000634BE">
        <w:rPr>
          <w:rFonts w:ascii="Times New Roman" w:hAnsi="Times New Roman" w:cs="Times New Roman"/>
          <w:noProof/>
          <w:sz w:val="24"/>
          <w:szCs w:val="24"/>
          <w:vertAlign w:val="superscript"/>
          <w:lang w:val="en-CA"/>
        </w:rPr>
        <w:t>6-9</w:t>
      </w:r>
      <w:r w:rsidRPr="000634BE">
        <w:rPr>
          <w:rFonts w:ascii="Times New Roman" w:hAnsi="Times New Roman" w:cs="Times New Roman"/>
          <w:sz w:val="24"/>
          <w:szCs w:val="24"/>
          <w:lang w:val="en-CA"/>
        </w:rPr>
        <w:t xml:space="preserve">. </w:t>
      </w:r>
    </w:p>
    <w:tbl>
      <w:tblPr>
        <w:tblStyle w:val="TableGrid"/>
        <w:tblW w:w="9720" w:type="dxa"/>
        <w:tblInd w:w="-455" w:type="dxa"/>
        <w:tblLayout w:type="fixed"/>
        <w:tblLook w:val="04A0" w:firstRow="1" w:lastRow="0" w:firstColumn="1" w:lastColumn="0" w:noHBand="0" w:noVBand="1"/>
      </w:tblPr>
      <w:tblGrid>
        <w:gridCol w:w="1868"/>
        <w:gridCol w:w="1192"/>
        <w:gridCol w:w="1218"/>
        <w:gridCol w:w="1676"/>
        <w:gridCol w:w="1584"/>
        <w:gridCol w:w="2182"/>
      </w:tblGrid>
      <w:tr w:rsidR="00705631" w:rsidRPr="000634BE" w14:paraId="428BF57A" w14:textId="77777777" w:rsidTr="000634BE">
        <w:tc>
          <w:tcPr>
            <w:tcW w:w="1868" w:type="dxa"/>
          </w:tcPr>
          <w:p w14:paraId="72E86475"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p>
        </w:tc>
        <w:tc>
          <w:tcPr>
            <w:tcW w:w="4086" w:type="dxa"/>
            <w:gridSpan w:val="3"/>
          </w:tcPr>
          <w:p w14:paraId="5862C002"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Impact of the Chemical Exposure</w:t>
            </w:r>
          </w:p>
        </w:tc>
        <w:tc>
          <w:tcPr>
            <w:tcW w:w="1584" w:type="dxa"/>
          </w:tcPr>
          <w:p w14:paraId="5F6CEEF5"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p>
        </w:tc>
        <w:tc>
          <w:tcPr>
            <w:tcW w:w="2182" w:type="dxa"/>
          </w:tcPr>
          <w:p w14:paraId="71180BDC"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Day of the attacks</w:t>
            </w:r>
          </w:p>
        </w:tc>
      </w:tr>
      <w:tr w:rsidR="00705631" w:rsidRPr="000634BE" w14:paraId="3BB68715" w14:textId="77777777" w:rsidTr="000634BE">
        <w:tc>
          <w:tcPr>
            <w:tcW w:w="1868" w:type="dxa"/>
          </w:tcPr>
          <w:p w14:paraId="0E551B38"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Country</w:t>
            </w:r>
          </w:p>
        </w:tc>
        <w:tc>
          <w:tcPr>
            <w:tcW w:w="1192" w:type="dxa"/>
          </w:tcPr>
          <w:p w14:paraId="7201FB46"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 xml:space="preserve">Affected </w:t>
            </w:r>
          </w:p>
        </w:tc>
        <w:tc>
          <w:tcPr>
            <w:tcW w:w="1218" w:type="dxa"/>
          </w:tcPr>
          <w:p w14:paraId="511194A7"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 xml:space="preserve">Dead </w:t>
            </w:r>
          </w:p>
        </w:tc>
        <w:tc>
          <w:tcPr>
            <w:tcW w:w="1676" w:type="dxa"/>
          </w:tcPr>
          <w:p w14:paraId="2A80BDFC"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Total exposed (minimum)</w:t>
            </w:r>
          </w:p>
        </w:tc>
        <w:tc>
          <w:tcPr>
            <w:tcW w:w="1584" w:type="dxa"/>
          </w:tcPr>
          <w:p w14:paraId="280534EE"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Authors</w:t>
            </w:r>
          </w:p>
        </w:tc>
        <w:tc>
          <w:tcPr>
            <w:tcW w:w="2182" w:type="dxa"/>
          </w:tcPr>
          <w:p w14:paraId="6ACC53C4"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Confirmed cases managed</w:t>
            </w:r>
          </w:p>
        </w:tc>
      </w:tr>
      <w:tr w:rsidR="00705631" w:rsidRPr="000634BE" w14:paraId="2AAEDFC1" w14:textId="77777777" w:rsidTr="000634BE">
        <w:tc>
          <w:tcPr>
            <w:tcW w:w="1868" w:type="dxa"/>
          </w:tcPr>
          <w:p w14:paraId="6468F44A"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Japan</w:t>
            </w:r>
          </w:p>
          <w:p w14:paraId="2970958C"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(1994 &amp; 1995) *</w:t>
            </w:r>
          </w:p>
        </w:tc>
        <w:tc>
          <w:tcPr>
            <w:tcW w:w="1192" w:type="dxa"/>
          </w:tcPr>
          <w:p w14:paraId="5F25ED74"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&gt; 6000</w:t>
            </w:r>
          </w:p>
        </w:tc>
        <w:tc>
          <w:tcPr>
            <w:tcW w:w="1218" w:type="dxa"/>
          </w:tcPr>
          <w:p w14:paraId="4D1373ED"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19</w:t>
            </w:r>
          </w:p>
        </w:tc>
        <w:tc>
          <w:tcPr>
            <w:tcW w:w="1676" w:type="dxa"/>
          </w:tcPr>
          <w:p w14:paraId="7E531D71"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6019</w:t>
            </w:r>
          </w:p>
        </w:tc>
        <w:tc>
          <w:tcPr>
            <w:tcW w:w="1584" w:type="dxa"/>
          </w:tcPr>
          <w:p w14:paraId="559D69CA"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eastAsia="Times New Roman" w:hAnsi="Times New Roman" w:cs="Times New Roman"/>
                <w:color w:val="000000"/>
                <w:sz w:val="24"/>
                <w:szCs w:val="24"/>
                <w:lang w:val="en-US" w:eastAsia="en-CA"/>
              </w:rPr>
              <w:t xml:space="preserve">Yanagisawa et al. </w:t>
            </w:r>
            <w:r w:rsidRPr="000634BE">
              <w:rPr>
                <w:rFonts w:ascii="Times New Roman" w:eastAsia="Times New Roman" w:hAnsi="Times New Roman" w:cs="Times New Roman"/>
                <w:color w:val="000000"/>
                <w:sz w:val="24"/>
                <w:szCs w:val="24"/>
                <w:lang w:val="en-CA" w:eastAsia="en-CA"/>
              </w:rPr>
              <w:t xml:space="preserve">(2006) </w:t>
            </w:r>
            <w:r w:rsidRPr="000634BE">
              <w:rPr>
                <w:rFonts w:ascii="Times New Roman" w:eastAsia="Times New Roman" w:hAnsi="Times New Roman" w:cs="Times New Roman"/>
                <w:noProof/>
                <w:color w:val="000000"/>
                <w:sz w:val="24"/>
                <w:szCs w:val="24"/>
                <w:vertAlign w:val="superscript"/>
                <w:lang w:val="en-CA" w:eastAsia="en-CA"/>
              </w:rPr>
              <w:t>9</w:t>
            </w:r>
          </w:p>
        </w:tc>
        <w:tc>
          <w:tcPr>
            <w:tcW w:w="2182" w:type="dxa"/>
          </w:tcPr>
          <w:p w14:paraId="12F06066" w14:textId="77777777" w:rsidR="00705631" w:rsidRPr="000634BE" w:rsidRDefault="00705631" w:rsidP="000634BE">
            <w:pPr>
              <w:spacing w:after="0" w:line="240" w:lineRule="auto"/>
              <w:jc w:val="center"/>
              <w:rPr>
                <w:rFonts w:ascii="Times New Roman" w:eastAsia="Times New Roman" w:hAnsi="Times New Roman" w:cs="Times New Roman"/>
                <w:color w:val="000000"/>
                <w:sz w:val="24"/>
                <w:szCs w:val="24"/>
                <w:lang w:val="en-US" w:eastAsia="en-CA"/>
              </w:rPr>
            </w:pPr>
            <w:r w:rsidRPr="000634BE">
              <w:rPr>
                <w:rFonts w:ascii="Times New Roman" w:eastAsia="Times New Roman" w:hAnsi="Times New Roman" w:cs="Times New Roman"/>
                <w:color w:val="000000"/>
                <w:sz w:val="24"/>
                <w:szCs w:val="24"/>
                <w:lang w:val="en-CA" w:eastAsia="en-CA"/>
              </w:rPr>
              <w:t>1203</w:t>
            </w:r>
            <w:r w:rsidRPr="000634BE">
              <w:rPr>
                <w:rFonts w:ascii="Times New Roman" w:eastAsia="Times New Roman" w:hAnsi="Times New Roman" w:cs="Times New Roman"/>
                <w:b/>
                <w:bCs/>
                <w:color w:val="000000"/>
                <w:sz w:val="24"/>
                <w:szCs w:val="24"/>
                <w:lang w:val="en-CA" w:eastAsia="en-CA"/>
              </w:rPr>
              <w:t xml:space="preserve"> </w:t>
            </w:r>
            <w:r w:rsidRPr="000634BE">
              <w:rPr>
                <w:rFonts w:ascii="Times New Roman" w:eastAsia="Times New Roman" w:hAnsi="Times New Roman" w:cs="Times New Roman"/>
                <w:b/>
                <w:bCs/>
                <w:color w:val="000000"/>
                <w:sz w:val="24"/>
                <w:szCs w:val="24"/>
                <w:vertAlign w:val="superscript"/>
                <w:lang w:val="en-CA" w:eastAsia="en-CA"/>
              </w:rPr>
              <w:t>‡</w:t>
            </w:r>
          </w:p>
        </w:tc>
      </w:tr>
      <w:tr w:rsidR="00705631" w:rsidRPr="000634BE" w14:paraId="11916FAC" w14:textId="77777777" w:rsidTr="000634BE">
        <w:tc>
          <w:tcPr>
            <w:tcW w:w="1868" w:type="dxa"/>
          </w:tcPr>
          <w:p w14:paraId="11CAB985"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Syria</w:t>
            </w:r>
          </w:p>
          <w:p w14:paraId="293BE4F5"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(2014) †</w:t>
            </w:r>
          </w:p>
        </w:tc>
        <w:tc>
          <w:tcPr>
            <w:tcW w:w="1192" w:type="dxa"/>
          </w:tcPr>
          <w:p w14:paraId="79CB42F9"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&gt; 1130 </w:t>
            </w:r>
            <w:r w:rsidRPr="000634BE">
              <w:rPr>
                <w:rFonts w:ascii="Times New Roman" w:hAnsi="Times New Roman" w:cs="Times New Roman"/>
                <w:b/>
                <w:bCs/>
                <w:sz w:val="24"/>
                <w:szCs w:val="24"/>
                <w:lang w:val="en-CA"/>
              </w:rPr>
              <w:t>*</w:t>
            </w:r>
          </w:p>
        </w:tc>
        <w:tc>
          <w:tcPr>
            <w:tcW w:w="1218" w:type="dxa"/>
          </w:tcPr>
          <w:p w14:paraId="05D53E9A"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1400 </w:t>
            </w:r>
            <w:r w:rsidRPr="000634BE">
              <w:rPr>
                <w:rFonts w:ascii="Times New Roman" w:hAnsi="Times New Roman" w:cs="Times New Roman"/>
                <w:b/>
                <w:bCs/>
                <w:sz w:val="24"/>
                <w:szCs w:val="24"/>
                <w:lang w:val="en-CA"/>
              </w:rPr>
              <w:t>*</w:t>
            </w:r>
          </w:p>
        </w:tc>
        <w:tc>
          <w:tcPr>
            <w:tcW w:w="1676" w:type="dxa"/>
          </w:tcPr>
          <w:p w14:paraId="60CF3C09"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2530</w:t>
            </w:r>
          </w:p>
        </w:tc>
        <w:tc>
          <w:tcPr>
            <w:tcW w:w="1584" w:type="dxa"/>
          </w:tcPr>
          <w:p w14:paraId="093F17EA"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Rosman et al. (2014) </w:t>
            </w:r>
            <w:r w:rsidRPr="000634BE">
              <w:rPr>
                <w:rFonts w:ascii="Times New Roman" w:hAnsi="Times New Roman" w:cs="Times New Roman"/>
                <w:noProof/>
                <w:sz w:val="24"/>
                <w:szCs w:val="24"/>
                <w:vertAlign w:val="superscript"/>
                <w:lang w:val="en-CA"/>
              </w:rPr>
              <w:t>8</w:t>
            </w:r>
          </w:p>
        </w:tc>
        <w:tc>
          <w:tcPr>
            <w:tcW w:w="2182" w:type="dxa"/>
          </w:tcPr>
          <w:p w14:paraId="54851C09"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130 </w:t>
            </w:r>
            <w:r w:rsidRPr="000634BE">
              <w:rPr>
                <w:rFonts w:ascii="Times New Roman" w:eastAsia="Times New Roman" w:hAnsi="Times New Roman" w:cs="Times New Roman"/>
                <w:b/>
                <w:bCs/>
                <w:color w:val="000000"/>
                <w:sz w:val="24"/>
                <w:szCs w:val="24"/>
                <w:vertAlign w:val="superscript"/>
                <w:lang w:val="en-CA" w:eastAsia="en-CA"/>
              </w:rPr>
              <w:t>€</w:t>
            </w:r>
          </w:p>
        </w:tc>
      </w:tr>
      <w:tr w:rsidR="00705631" w:rsidRPr="000634BE" w14:paraId="7DBEE6B5" w14:textId="77777777" w:rsidTr="000634BE">
        <w:tc>
          <w:tcPr>
            <w:tcW w:w="1868" w:type="dxa"/>
          </w:tcPr>
          <w:p w14:paraId="1375CA44"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p>
        </w:tc>
        <w:tc>
          <w:tcPr>
            <w:tcW w:w="1192" w:type="dxa"/>
          </w:tcPr>
          <w:p w14:paraId="28DD4FB2" w14:textId="77777777" w:rsidR="00705631" w:rsidRPr="000634BE" w:rsidRDefault="00705631" w:rsidP="000634BE">
            <w:pPr>
              <w:spacing w:after="0" w:line="240" w:lineRule="auto"/>
              <w:jc w:val="center"/>
              <w:rPr>
                <w:rFonts w:ascii="Times New Roman" w:hAnsi="Times New Roman" w:cs="Times New Roman"/>
                <w:sz w:val="24"/>
                <w:szCs w:val="24"/>
                <w:lang w:val="en-CA"/>
              </w:rPr>
            </w:pPr>
          </w:p>
        </w:tc>
        <w:tc>
          <w:tcPr>
            <w:tcW w:w="1218" w:type="dxa"/>
          </w:tcPr>
          <w:p w14:paraId="4D4733F5"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b/>
                <w:bCs/>
                <w:sz w:val="24"/>
                <w:szCs w:val="24"/>
                <w:u w:val="single"/>
                <w:lang w:val="en-CA"/>
              </w:rPr>
              <w:t>Grand Total</w:t>
            </w:r>
            <w:r w:rsidRPr="000634BE">
              <w:rPr>
                <w:rFonts w:ascii="Times New Roman" w:hAnsi="Times New Roman" w:cs="Times New Roman"/>
                <w:sz w:val="24"/>
                <w:szCs w:val="24"/>
                <w:lang w:val="en-CA"/>
              </w:rPr>
              <w:t xml:space="preserve"> </w:t>
            </w:r>
          </w:p>
        </w:tc>
        <w:tc>
          <w:tcPr>
            <w:tcW w:w="1676" w:type="dxa"/>
          </w:tcPr>
          <w:p w14:paraId="3FA1251B"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8549 (rounded to 8550)</w:t>
            </w:r>
          </w:p>
        </w:tc>
        <w:tc>
          <w:tcPr>
            <w:tcW w:w="1584" w:type="dxa"/>
          </w:tcPr>
          <w:p w14:paraId="24195440" w14:textId="77777777" w:rsidR="00705631" w:rsidRPr="000634BE" w:rsidRDefault="00705631" w:rsidP="000634BE">
            <w:pPr>
              <w:spacing w:after="0" w:line="240" w:lineRule="auto"/>
              <w:jc w:val="center"/>
              <w:rPr>
                <w:rFonts w:ascii="Times New Roman" w:hAnsi="Times New Roman" w:cs="Times New Roman"/>
                <w:sz w:val="24"/>
                <w:szCs w:val="24"/>
                <w:lang w:val="en-CA"/>
              </w:rPr>
            </w:pPr>
          </w:p>
        </w:tc>
        <w:tc>
          <w:tcPr>
            <w:tcW w:w="2182" w:type="dxa"/>
          </w:tcPr>
          <w:p w14:paraId="7AC1F41D"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1333</w:t>
            </w:r>
          </w:p>
        </w:tc>
      </w:tr>
    </w:tbl>
    <w:p w14:paraId="1FA5966E" w14:textId="6AFB25B9" w:rsidR="00705631" w:rsidRPr="000634BE" w:rsidRDefault="00705631" w:rsidP="000634BE">
      <w:pPr>
        <w:spacing w:after="0" w:line="240" w:lineRule="auto"/>
        <w:rPr>
          <w:rFonts w:ascii="Times New Roman" w:hAnsi="Times New Roman" w:cs="Times New Roman"/>
          <w:sz w:val="24"/>
          <w:szCs w:val="24"/>
          <w:lang w:val="en-CA"/>
        </w:rPr>
      </w:pPr>
      <w:r w:rsidRPr="000634BE">
        <w:rPr>
          <w:rFonts w:ascii="Times New Roman" w:hAnsi="Times New Roman" w:cs="Times New Roman"/>
          <w:b/>
          <w:bCs/>
          <w:sz w:val="24"/>
          <w:szCs w:val="24"/>
          <w:lang w:val="en-CA"/>
        </w:rPr>
        <w:t>Table S</w:t>
      </w:r>
      <w:r w:rsidR="000634BE" w:rsidRPr="000634BE">
        <w:rPr>
          <w:rFonts w:ascii="Times New Roman" w:hAnsi="Times New Roman" w:cs="Times New Roman"/>
          <w:b/>
          <w:bCs/>
          <w:sz w:val="24"/>
          <w:szCs w:val="24"/>
          <w:lang w:val="en-CA"/>
        </w:rPr>
        <w:t>6</w:t>
      </w:r>
      <w:r w:rsidRPr="000634BE">
        <w:rPr>
          <w:rFonts w:ascii="Times New Roman" w:hAnsi="Times New Roman" w:cs="Times New Roman"/>
          <w:b/>
          <w:bCs/>
          <w:sz w:val="24"/>
          <w:szCs w:val="24"/>
          <w:lang w:val="en-CA"/>
        </w:rPr>
        <w:t>.</w:t>
      </w:r>
      <w:r w:rsidRPr="000634BE">
        <w:rPr>
          <w:rFonts w:ascii="Times New Roman" w:hAnsi="Times New Roman" w:cs="Times New Roman"/>
          <w:sz w:val="24"/>
          <w:szCs w:val="24"/>
          <w:lang w:val="en-CA"/>
        </w:rPr>
        <w:t xml:space="preserve"> </w:t>
      </w:r>
      <w:r w:rsidRPr="000634BE">
        <w:rPr>
          <w:rFonts w:ascii="Times New Roman" w:hAnsi="Times New Roman" w:cs="Times New Roman"/>
          <w:b/>
          <w:bCs/>
          <w:sz w:val="24"/>
          <w:szCs w:val="24"/>
          <w:lang w:val="en-CA"/>
        </w:rPr>
        <w:t>Calculation of cases of exposure to sarin gas per country and grand total.</w:t>
      </w:r>
      <w:r w:rsidRPr="000634BE">
        <w:rPr>
          <w:rFonts w:ascii="Times New Roman" w:hAnsi="Times New Roman" w:cs="Times New Roman"/>
          <w:sz w:val="24"/>
          <w:szCs w:val="24"/>
          <w:lang w:val="en-CA"/>
        </w:rPr>
        <w:t xml:space="preserve"> </w:t>
      </w:r>
    </w:p>
    <w:p w14:paraId="2E88CA5C" w14:textId="77777777" w:rsidR="00705631" w:rsidRPr="000634BE" w:rsidRDefault="00705631" w:rsidP="000634BE">
      <w:pPr>
        <w:spacing w:after="0" w:line="240" w:lineRule="auto"/>
        <w:rPr>
          <w:rFonts w:ascii="Times New Roman" w:hAnsi="Times New Roman" w:cs="Times New Roman"/>
          <w:sz w:val="24"/>
          <w:szCs w:val="24"/>
          <w:shd w:val="clear" w:color="auto" w:fill="FFFFFF"/>
          <w:lang w:val="en-CA"/>
        </w:rPr>
      </w:pPr>
      <w:r w:rsidRPr="000634BE">
        <w:rPr>
          <w:rFonts w:ascii="Times New Roman" w:hAnsi="Times New Roman" w:cs="Times New Roman"/>
          <w:b/>
          <w:bCs/>
          <w:sz w:val="24"/>
          <w:szCs w:val="24"/>
          <w:u w:val="single"/>
          <w:shd w:val="clear" w:color="auto" w:fill="FFFFFF"/>
          <w:lang w:val="en-CA"/>
        </w:rPr>
        <w:t>Acronyms and Symbols</w:t>
      </w:r>
      <w:r w:rsidRPr="000634BE">
        <w:rPr>
          <w:rFonts w:ascii="Times New Roman" w:hAnsi="Times New Roman" w:cs="Times New Roman"/>
          <w:sz w:val="24"/>
          <w:szCs w:val="24"/>
          <w:shd w:val="clear" w:color="auto" w:fill="FFFFFF"/>
          <w:lang w:val="en-CA"/>
        </w:rPr>
        <w:t xml:space="preserve">: </w:t>
      </w:r>
    </w:p>
    <w:p w14:paraId="50C80170" w14:textId="77777777" w:rsidR="00705631" w:rsidRPr="000634BE" w:rsidRDefault="00705631" w:rsidP="000634BE">
      <w:pPr>
        <w:spacing w:after="0" w:line="240" w:lineRule="auto"/>
        <w:rPr>
          <w:rFonts w:ascii="Times New Roman" w:hAnsi="Times New Roman" w:cs="Times New Roman"/>
          <w:sz w:val="20"/>
          <w:szCs w:val="20"/>
          <w:lang w:val="en-CA"/>
        </w:rPr>
      </w:pPr>
      <w:r w:rsidRPr="000634BE">
        <w:rPr>
          <w:rFonts w:ascii="Times New Roman" w:hAnsi="Times New Roman" w:cs="Times New Roman"/>
          <w:b/>
          <w:bCs/>
          <w:sz w:val="20"/>
          <w:szCs w:val="20"/>
          <w:shd w:val="clear" w:color="auto" w:fill="FFFFFF"/>
          <w:lang w:val="en-CA"/>
        </w:rPr>
        <w:t>*</w:t>
      </w:r>
      <w:r w:rsidRPr="000634BE">
        <w:rPr>
          <w:rFonts w:ascii="Times New Roman" w:hAnsi="Times New Roman" w:cs="Times New Roman"/>
          <w:sz w:val="20"/>
          <w:szCs w:val="20"/>
          <w:shd w:val="clear" w:color="auto" w:fill="FFFFFF"/>
          <w:lang w:val="en-CA"/>
        </w:rPr>
        <w:t xml:space="preserve"> </w:t>
      </w:r>
      <w:r w:rsidRPr="000634BE">
        <w:rPr>
          <w:rFonts w:ascii="Times New Roman" w:hAnsi="Times New Roman" w:cs="Times New Roman"/>
          <w:sz w:val="20"/>
          <w:szCs w:val="20"/>
          <w:lang w:val="en-CA"/>
        </w:rPr>
        <w:t xml:space="preserve">Since </w:t>
      </w:r>
      <w:r w:rsidRPr="000634BE">
        <w:rPr>
          <w:rFonts w:ascii="Times New Roman" w:eastAsia="Times New Roman" w:hAnsi="Times New Roman" w:cs="Times New Roman"/>
          <w:color w:val="000000"/>
          <w:sz w:val="20"/>
          <w:szCs w:val="20"/>
          <w:lang w:val="en-US" w:eastAsia="en-CA"/>
        </w:rPr>
        <w:t xml:space="preserve">Yanagisawa et al. </w:t>
      </w:r>
      <w:r w:rsidRPr="000634BE">
        <w:rPr>
          <w:rFonts w:ascii="Times New Roman" w:eastAsia="Times New Roman" w:hAnsi="Times New Roman" w:cs="Times New Roman"/>
          <w:color w:val="000000"/>
          <w:sz w:val="20"/>
          <w:szCs w:val="20"/>
          <w:lang w:val="en-CA" w:eastAsia="en-CA"/>
        </w:rPr>
        <w:t xml:space="preserve">(2006), presented more accurate statistics on the chemical events, they superseded those from </w:t>
      </w:r>
      <w:r w:rsidRPr="000634BE">
        <w:rPr>
          <w:rFonts w:ascii="Times New Roman" w:hAnsi="Times New Roman" w:cs="Times New Roman"/>
          <w:sz w:val="20"/>
          <w:szCs w:val="20"/>
          <w:lang w:val="en-CA"/>
        </w:rPr>
        <w:t xml:space="preserve">Okumura et al. (1996). Okumura et al. (1996) reported different statistics for the Tokyo attack (i.e.: 11 dead, more than 5000 exposed individuals required medical attention) </w:t>
      </w:r>
      <w:r w:rsidRPr="000634BE">
        <w:rPr>
          <w:rFonts w:ascii="Times New Roman" w:hAnsi="Times New Roman" w:cs="Times New Roman"/>
          <w:noProof/>
          <w:sz w:val="20"/>
          <w:szCs w:val="20"/>
          <w:vertAlign w:val="superscript"/>
          <w:lang w:val="en-CA"/>
        </w:rPr>
        <w:t>7</w:t>
      </w:r>
      <w:r w:rsidRPr="000634BE">
        <w:rPr>
          <w:rFonts w:ascii="Times New Roman" w:hAnsi="Times New Roman" w:cs="Times New Roman"/>
          <w:sz w:val="20"/>
          <w:szCs w:val="20"/>
          <w:lang w:val="en-CA"/>
        </w:rPr>
        <w:t xml:space="preserve">. Yanagisawa et al. (2006), for their part, reported 7 died in Matsumoto in 1994, while 12 died in Tokyo in 1995 (2 at the attack site (Station Yard), 10 in hospitals - an hour to three months after the attack) </w:t>
      </w:r>
      <w:r w:rsidRPr="000634BE">
        <w:rPr>
          <w:rFonts w:ascii="Times New Roman" w:hAnsi="Times New Roman" w:cs="Times New Roman"/>
          <w:noProof/>
          <w:sz w:val="20"/>
          <w:szCs w:val="20"/>
          <w:vertAlign w:val="superscript"/>
          <w:lang w:val="en-CA"/>
        </w:rPr>
        <w:t>9</w:t>
      </w:r>
      <w:r w:rsidRPr="000634BE">
        <w:rPr>
          <w:rFonts w:ascii="Times New Roman" w:hAnsi="Times New Roman" w:cs="Times New Roman"/>
          <w:sz w:val="20"/>
          <w:szCs w:val="20"/>
          <w:lang w:val="en-CA"/>
        </w:rPr>
        <w:t xml:space="preserve">. </w:t>
      </w:r>
    </w:p>
    <w:p w14:paraId="23EC139C" w14:textId="77777777" w:rsidR="00705631" w:rsidRPr="000634BE" w:rsidRDefault="00705631" w:rsidP="000634BE">
      <w:pPr>
        <w:spacing w:after="0" w:line="240" w:lineRule="auto"/>
        <w:rPr>
          <w:rFonts w:ascii="Times New Roman" w:hAnsi="Times New Roman" w:cs="Times New Roman"/>
          <w:sz w:val="20"/>
          <w:szCs w:val="20"/>
          <w:highlight w:val="yellow"/>
          <w:lang w:val="en-CA"/>
        </w:rPr>
      </w:pPr>
    </w:p>
    <w:p w14:paraId="32B90D0E" w14:textId="77777777" w:rsidR="00705631" w:rsidRPr="000634BE" w:rsidRDefault="00705631" w:rsidP="000634BE">
      <w:pPr>
        <w:spacing w:after="0" w:line="240" w:lineRule="auto"/>
        <w:rPr>
          <w:rFonts w:ascii="Times New Roman" w:hAnsi="Times New Roman" w:cs="Times New Roman"/>
          <w:sz w:val="20"/>
          <w:szCs w:val="20"/>
          <w:lang w:val="en-CA"/>
        </w:rPr>
      </w:pPr>
      <w:r w:rsidRPr="000634BE">
        <w:rPr>
          <w:rFonts w:ascii="Times New Roman" w:hAnsi="Times New Roman" w:cs="Times New Roman"/>
          <w:b/>
          <w:bCs/>
          <w:sz w:val="20"/>
          <w:szCs w:val="20"/>
          <w:vertAlign w:val="superscript"/>
          <w:lang w:val="en-CA"/>
        </w:rPr>
        <w:t>†</w:t>
      </w:r>
      <w:r w:rsidRPr="000634BE">
        <w:rPr>
          <w:rFonts w:ascii="Times New Roman" w:hAnsi="Times New Roman" w:cs="Times New Roman"/>
          <w:sz w:val="20"/>
          <w:szCs w:val="20"/>
          <w:vertAlign w:val="superscript"/>
          <w:lang w:val="en-CA"/>
        </w:rPr>
        <w:t xml:space="preserve"> </w:t>
      </w:r>
      <w:r w:rsidRPr="000634BE">
        <w:rPr>
          <w:rFonts w:ascii="Times New Roman" w:hAnsi="Times New Roman" w:cs="Times New Roman"/>
          <w:sz w:val="20"/>
          <w:szCs w:val="20"/>
          <w:lang w:val="en-CA"/>
        </w:rPr>
        <w:t xml:space="preserve">In Rosman et al. (2014), the authors analyzed 130 confirmed cases the day of the attacks using YouTube footage </w:t>
      </w:r>
      <w:proofErr w:type="gramStart"/>
      <w:r w:rsidRPr="000634BE">
        <w:rPr>
          <w:rFonts w:ascii="Times New Roman" w:hAnsi="Times New Roman" w:cs="Times New Roman"/>
          <w:noProof/>
          <w:sz w:val="20"/>
          <w:szCs w:val="20"/>
          <w:vertAlign w:val="superscript"/>
          <w:lang w:val="en-CA"/>
        </w:rPr>
        <w:t>8</w:t>
      </w:r>
      <w:r w:rsidRPr="000634BE">
        <w:rPr>
          <w:rFonts w:ascii="Times New Roman" w:hAnsi="Times New Roman" w:cs="Times New Roman"/>
          <w:sz w:val="20"/>
          <w:szCs w:val="20"/>
          <w:lang w:val="en-CA"/>
        </w:rPr>
        <w:t xml:space="preserve"> .</w:t>
      </w:r>
      <w:proofErr w:type="gramEnd"/>
      <w:r w:rsidRPr="000634BE">
        <w:rPr>
          <w:rFonts w:ascii="Times New Roman" w:hAnsi="Times New Roman" w:cs="Times New Roman"/>
          <w:sz w:val="20"/>
          <w:szCs w:val="20"/>
          <w:lang w:val="en-CA"/>
        </w:rPr>
        <w:t xml:space="preserve"> The authors reported with uncertainty that affected people received care in medical and non-medical facilities </w:t>
      </w:r>
      <w:r w:rsidRPr="000634BE">
        <w:rPr>
          <w:rFonts w:ascii="Times New Roman" w:hAnsi="Times New Roman" w:cs="Times New Roman"/>
          <w:noProof/>
          <w:sz w:val="20"/>
          <w:szCs w:val="20"/>
          <w:vertAlign w:val="superscript"/>
          <w:lang w:val="en-CA"/>
        </w:rPr>
        <w:t>8</w:t>
      </w:r>
      <w:r w:rsidRPr="000634BE">
        <w:rPr>
          <w:rFonts w:ascii="Times New Roman" w:hAnsi="Times New Roman" w:cs="Times New Roman"/>
          <w:sz w:val="20"/>
          <w:szCs w:val="20"/>
          <w:lang w:val="en-CA"/>
        </w:rPr>
        <w:t xml:space="preserve">. They also presented data from third-party organizations, such as the United Nations (1400 dead and over 1000 exposed) </w:t>
      </w:r>
      <w:r w:rsidRPr="000634BE">
        <w:rPr>
          <w:rFonts w:ascii="Times New Roman" w:hAnsi="Times New Roman" w:cs="Times New Roman"/>
          <w:noProof/>
          <w:sz w:val="20"/>
          <w:szCs w:val="20"/>
          <w:vertAlign w:val="superscript"/>
          <w:lang w:val="en-CA"/>
        </w:rPr>
        <w:t>8</w:t>
      </w:r>
      <w:r w:rsidRPr="000634BE">
        <w:rPr>
          <w:rFonts w:ascii="Times New Roman" w:hAnsi="Times New Roman" w:cs="Times New Roman"/>
          <w:sz w:val="20"/>
          <w:szCs w:val="20"/>
          <w:lang w:val="en-CA"/>
        </w:rPr>
        <w:t>.</w:t>
      </w:r>
    </w:p>
    <w:p w14:paraId="0036B392" w14:textId="77777777" w:rsidR="00705631" w:rsidRPr="000634BE" w:rsidRDefault="00705631" w:rsidP="000634BE">
      <w:pPr>
        <w:spacing w:after="0" w:line="240" w:lineRule="auto"/>
        <w:rPr>
          <w:rFonts w:ascii="Times New Roman" w:eastAsia="Times New Roman" w:hAnsi="Times New Roman" w:cs="Times New Roman"/>
          <w:b/>
          <w:bCs/>
          <w:color w:val="000000"/>
          <w:sz w:val="20"/>
          <w:szCs w:val="20"/>
          <w:lang w:val="en-CA" w:eastAsia="en-CA"/>
        </w:rPr>
      </w:pPr>
    </w:p>
    <w:p w14:paraId="4D93A794" w14:textId="64A1386E" w:rsidR="00705631" w:rsidRPr="000634BE" w:rsidRDefault="00705631" w:rsidP="000634BE">
      <w:pPr>
        <w:spacing w:after="0" w:line="240" w:lineRule="auto"/>
        <w:jc w:val="both"/>
        <w:rPr>
          <w:rFonts w:ascii="Times New Roman" w:eastAsia="Times New Roman" w:hAnsi="Times New Roman" w:cs="Times New Roman"/>
          <w:color w:val="000000"/>
          <w:sz w:val="20"/>
          <w:szCs w:val="20"/>
          <w:lang w:val="en-CA" w:eastAsia="en-CA"/>
        </w:rPr>
      </w:pPr>
      <w:r w:rsidRPr="000634BE">
        <w:rPr>
          <w:rFonts w:ascii="Times New Roman" w:eastAsia="Times New Roman" w:hAnsi="Times New Roman" w:cs="Times New Roman"/>
          <w:b/>
          <w:bCs/>
          <w:color w:val="000000"/>
          <w:sz w:val="20"/>
          <w:szCs w:val="20"/>
          <w:vertAlign w:val="superscript"/>
          <w:lang w:val="en-CA" w:eastAsia="en-CA"/>
        </w:rPr>
        <w:t>‡</w:t>
      </w:r>
      <w:r w:rsidRPr="000634BE">
        <w:rPr>
          <w:rFonts w:ascii="Times New Roman" w:eastAsia="Times New Roman" w:hAnsi="Times New Roman" w:cs="Times New Roman"/>
          <w:b/>
          <w:bCs/>
          <w:color w:val="000000"/>
          <w:sz w:val="20"/>
          <w:szCs w:val="20"/>
          <w:lang w:val="en-CA" w:eastAsia="en-CA"/>
        </w:rPr>
        <w:t xml:space="preserve"> </w:t>
      </w:r>
      <w:r w:rsidRPr="000634BE">
        <w:rPr>
          <w:rFonts w:ascii="Times New Roman" w:eastAsia="Times New Roman" w:hAnsi="Times New Roman" w:cs="Times New Roman"/>
          <w:color w:val="000000"/>
          <w:sz w:val="20"/>
          <w:szCs w:val="20"/>
          <w:lang w:val="en-CA" w:eastAsia="en-CA"/>
        </w:rPr>
        <w:t>Same data as Table S7 for the day of the 1994 and 1995 attacks in Japan.</w:t>
      </w:r>
      <w:r w:rsidRPr="000634BE">
        <w:rPr>
          <w:rFonts w:ascii="Times New Roman" w:eastAsia="Times New Roman" w:hAnsi="Times New Roman" w:cs="Times New Roman"/>
          <w:b/>
          <w:bCs/>
          <w:color w:val="000000"/>
          <w:sz w:val="20"/>
          <w:szCs w:val="20"/>
          <w:lang w:val="en-CA" w:eastAsia="en-CA"/>
        </w:rPr>
        <w:t xml:space="preserve"> </w:t>
      </w:r>
      <w:r w:rsidRPr="000634BE">
        <w:rPr>
          <w:rFonts w:ascii="Times New Roman" w:eastAsia="Times New Roman" w:hAnsi="Times New Roman" w:cs="Times New Roman"/>
          <w:color w:val="000000"/>
          <w:sz w:val="20"/>
          <w:szCs w:val="20"/>
          <w:lang w:val="en-US" w:eastAsia="en-CA"/>
        </w:rPr>
        <w:t xml:space="preserve">Yanagisawa et al. </w:t>
      </w:r>
      <w:r w:rsidRPr="000634BE">
        <w:rPr>
          <w:rFonts w:ascii="Times New Roman" w:eastAsia="Times New Roman" w:hAnsi="Times New Roman" w:cs="Times New Roman"/>
          <w:color w:val="000000"/>
          <w:sz w:val="20"/>
          <w:szCs w:val="20"/>
          <w:lang w:val="en-CA" w:eastAsia="en-CA"/>
        </w:rPr>
        <w:t xml:space="preserve">(2006) presented numbers from the Japanese medical centers involved in the response to the chemical attacks, such as in Matsumoto and Tokyo </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as opposed to two studies that only addressed cases seen at Keio University and St. Luke’s Hospital medical facilities in the Tokyo area (</w:t>
      </w:r>
      <w:proofErr w:type="spellStart"/>
      <w:r w:rsidRPr="000634BE">
        <w:rPr>
          <w:rFonts w:ascii="Times New Roman" w:hAnsi="Times New Roman" w:cs="Times New Roman"/>
          <w:sz w:val="20"/>
          <w:szCs w:val="20"/>
          <w:lang w:val="en-CA"/>
        </w:rPr>
        <w:t>Novaki</w:t>
      </w:r>
      <w:proofErr w:type="spellEnd"/>
      <w:r w:rsidRPr="000634BE">
        <w:rPr>
          <w:rFonts w:ascii="Times New Roman" w:hAnsi="Times New Roman" w:cs="Times New Roman"/>
          <w:sz w:val="20"/>
          <w:szCs w:val="20"/>
          <w:lang w:val="en-CA"/>
        </w:rPr>
        <w:t xml:space="preserve"> et al. (1995); Okumura et al. (1996)) </w:t>
      </w:r>
      <w:r w:rsidRPr="000634BE">
        <w:rPr>
          <w:rFonts w:ascii="Times New Roman" w:hAnsi="Times New Roman" w:cs="Times New Roman"/>
          <w:noProof/>
          <w:sz w:val="20"/>
          <w:szCs w:val="20"/>
          <w:vertAlign w:val="superscript"/>
          <w:lang w:val="en-CA"/>
        </w:rPr>
        <w:t>6,7</w:t>
      </w:r>
      <w:r w:rsidRPr="000634BE">
        <w:rPr>
          <w:rFonts w:ascii="Times New Roman" w:eastAsia="Times New Roman" w:hAnsi="Times New Roman" w:cs="Times New Roman"/>
          <w:color w:val="000000"/>
          <w:sz w:val="20"/>
          <w:szCs w:val="20"/>
          <w:lang w:val="en-CA" w:eastAsia="en-CA"/>
        </w:rPr>
        <w:t xml:space="preserve">. </w:t>
      </w:r>
    </w:p>
    <w:p w14:paraId="3490B3CE" w14:textId="77777777" w:rsidR="00705631" w:rsidRPr="000634BE" w:rsidRDefault="00705631" w:rsidP="000634BE">
      <w:pPr>
        <w:spacing w:after="0" w:line="240" w:lineRule="auto"/>
        <w:rPr>
          <w:rFonts w:ascii="Times New Roman" w:eastAsia="Times New Roman" w:hAnsi="Times New Roman" w:cs="Times New Roman"/>
          <w:color w:val="000000"/>
          <w:sz w:val="20"/>
          <w:szCs w:val="20"/>
          <w:lang w:val="en-CA" w:eastAsia="en-CA"/>
        </w:rPr>
      </w:pPr>
    </w:p>
    <w:p w14:paraId="2E4EC24D" w14:textId="231EA376" w:rsidR="00705631" w:rsidRPr="000634BE" w:rsidRDefault="00705631" w:rsidP="000634BE">
      <w:pPr>
        <w:spacing w:after="0" w:line="240" w:lineRule="auto"/>
        <w:rPr>
          <w:rFonts w:ascii="Times New Roman" w:hAnsi="Times New Roman" w:cs="Times New Roman"/>
          <w:sz w:val="20"/>
          <w:szCs w:val="20"/>
          <w:lang w:val="en-CA"/>
        </w:rPr>
      </w:pPr>
      <w:r w:rsidRPr="000634BE">
        <w:rPr>
          <w:rFonts w:ascii="Times New Roman" w:eastAsia="Times New Roman" w:hAnsi="Times New Roman" w:cs="Times New Roman"/>
          <w:b/>
          <w:bCs/>
          <w:color w:val="000000"/>
          <w:sz w:val="20"/>
          <w:szCs w:val="20"/>
          <w:vertAlign w:val="superscript"/>
          <w:lang w:val="en-CA" w:eastAsia="en-CA"/>
        </w:rPr>
        <w:t>€</w:t>
      </w:r>
      <w:r w:rsidRPr="000634BE">
        <w:rPr>
          <w:rFonts w:ascii="Times New Roman" w:eastAsia="Times New Roman" w:hAnsi="Times New Roman" w:cs="Times New Roman"/>
          <w:b/>
          <w:bCs/>
          <w:color w:val="000000"/>
          <w:sz w:val="20"/>
          <w:szCs w:val="20"/>
          <w:lang w:val="en-CA" w:eastAsia="en-CA"/>
        </w:rPr>
        <w:t xml:space="preserve"> </w:t>
      </w:r>
      <w:r w:rsidRPr="000634BE">
        <w:rPr>
          <w:rFonts w:ascii="Times New Roman" w:eastAsia="Times New Roman" w:hAnsi="Times New Roman" w:cs="Times New Roman"/>
          <w:color w:val="000000"/>
          <w:sz w:val="20"/>
          <w:szCs w:val="20"/>
          <w:lang w:val="en-CA" w:eastAsia="en-CA"/>
        </w:rPr>
        <w:t xml:space="preserve">Same data as Table S7 for the day of the 2014 attacks in Syria addressed by </w:t>
      </w:r>
      <w:r w:rsidRPr="000634BE">
        <w:rPr>
          <w:rFonts w:ascii="Times New Roman" w:hAnsi="Times New Roman" w:cs="Times New Roman"/>
          <w:sz w:val="20"/>
          <w:szCs w:val="20"/>
          <w:lang w:val="en-CA"/>
        </w:rPr>
        <w:t xml:space="preserve">Rosman et al. (2014) </w:t>
      </w:r>
      <w:r w:rsidRPr="000634BE">
        <w:rPr>
          <w:rFonts w:ascii="Times New Roman" w:hAnsi="Times New Roman" w:cs="Times New Roman"/>
          <w:noProof/>
          <w:sz w:val="20"/>
          <w:szCs w:val="20"/>
          <w:vertAlign w:val="superscript"/>
          <w:lang w:val="en-CA"/>
        </w:rPr>
        <w:t>8</w:t>
      </w:r>
      <w:r w:rsidRPr="000634BE">
        <w:rPr>
          <w:rFonts w:ascii="Times New Roman" w:hAnsi="Times New Roman" w:cs="Times New Roman"/>
          <w:sz w:val="20"/>
          <w:szCs w:val="20"/>
          <w:lang w:val="en-CA"/>
        </w:rPr>
        <w:t>.</w:t>
      </w:r>
    </w:p>
    <w:p w14:paraId="1B843524" w14:textId="77777777" w:rsidR="000634BE" w:rsidRDefault="000634BE" w:rsidP="000634BE">
      <w:pPr>
        <w:spacing w:after="0" w:line="240" w:lineRule="auto"/>
        <w:rPr>
          <w:rFonts w:ascii="Times New Roman" w:hAnsi="Times New Roman" w:cs="Times New Roman"/>
          <w:sz w:val="24"/>
          <w:szCs w:val="24"/>
          <w:lang w:val="en-CA"/>
        </w:rPr>
      </w:pPr>
    </w:p>
    <w:p w14:paraId="61672BEE" w14:textId="77777777" w:rsidR="000634BE" w:rsidRDefault="000634BE" w:rsidP="000634BE">
      <w:pPr>
        <w:spacing w:after="0" w:line="240" w:lineRule="auto"/>
        <w:rPr>
          <w:rFonts w:ascii="Times New Roman" w:hAnsi="Times New Roman" w:cs="Times New Roman"/>
          <w:sz w:val="24"/>
          <w:szCs w:val="24"/>
          <w:lang w:val="en-CA"/>
        </w:rPr>
      </w:pPr>
    </w:p>
    <w:p w14:paraId="1E80BCFF" w14:textId="385BB245" w:rsidR="00705631" w:rsidRPr="000634BE" w:rsidRDefault="00705631" w:rsidP="000634BE">
      <w:pPr>
        <w:spacing w:after="0" w:line="240" w:lineRule="auto"/>
        <w:rPr>
          <w:rFonts w:ascii="Times New Roman" w:hAnsi="Times New Roman" w:cs="Times New Roman"/>
          <w:sz w:val="24"/>
          <w:szCs w:val="24"/>
          <w:lang w:val="en-CA"/>
        </w:rPr>
      </w:pPr>
    </w:p>
    <w:tbl>
      <w:tblPr>
        <w:tblStyle w:val="TableGrid"/>
        <w:tblW w:w="10800" w:type="dxa"/>
        <w:tblInd w:w="-725" w:type="dxa"/>
        <w:tblLook w:val="04A0" w:firstRow="1" w:lastRow="0" w:firstColumn="1" w:lastColumn="0" w:noHBand="0" w:noVBand="1"/>
      </w:tblPr>
      <w:tblGrid>
        <w:gridCol w:w="4410"/>
        <w:gridCol w:w="1080"/>
        <w:gridCol w:w="1260"/>
        <w:gridCol w:w="1170"/>
        <w:gridCol w:w="2880"/>
      </w:tblGrid>
      <w:tr w:rsidR="00705631" w:rsidRPr="000634BE" w14:paraId="4E7C1913" w14:textId="77777777" w:rsidTr="000634BE">
        <w:tc>
          <w:tcPr>
            <w:tcW w:w="10800" w:type="dxa"/>
            <w:gridSpan w:val="5"/>
          </w:tcPr>
          <w:p w14:paraId="4BDF3EE1"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Confirmed cases managed on the day of the chemical attacks</w:t>
            </w:r>
          </w:p>
        </w:tc>
      </w:tr>
      <w:tr w:rsidR="00705631" w:rsidRPr="000634BE" w14:paraId="769F78A8" w14:textId="77777777" w:rsidTr="000634BE">
        <w:tc>
          <w:tcPr>
            <w:tcW w:w="4410" w:type="dxa"/>
          </w:tcPr>
          <w:p w14:paraId="09DAD7DB"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City</w:t>
            </w:r>
          </w:p>
        </w:tc>
        <w:tc>
          <w:tcPr>
            <w:tcW w:w="1080" w:type="dxa"/>
          </w:tcPr>
          <w:p w14:paraId="2B9799E4"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Dead</w:t>
            </w:r>
          </w:p>
        </w:tc>
        <w:tc>
          <w:tcPr>
            <w:tcW w:w="1260" w:type="dxa"/>
          </w:tcPr>
          <w:p w14:paraId="71F7958B"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 xml:space="preserve">Affected </w:t>
            </w:r>
          </w:p>
        </w:tc>
        <w:tc>
          <w:tcPr>
            <w:tcW w:w="1170" w:type="dxa"/>
          </w:tcPr>
          <w:p w14:paraId="4230EDE8"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 xml:space="preserve">Total </w:t>
            </w:r>
          </w:p>
        </w:tc>
        <w:tc>
          <w:tcPr>
            <w:tcW w:w="2880" w:type="dxa"/>
          </w:tcPr>
          <w:p w14:paraId="6A23B339"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Study</w:t>
            </w:r>
          </w:p>
        </w:tc>
      </w:tr>
      <w:tr w:rsidR="00705631" w:rsidRPr="000634BE" w14:paraId="62527B51" w14:textId="77777777" w:rsidTr="000634BE">
        <w:tc>
          <w:tcPr>
            <w:tcW w:w="4410" w:type="dxa"/>
          </w:tcPr>
          <w:p w14:paraId="5EE4B4E6" w14:textId="77777777" w:rsidR="00705631" w:rsidRPr="000634BE" w:rsidRDefault="00705631" w:rsidP="000634BE">
            <w:pPr>
              <w:spacing w:after="0" w:line="240" w:lineRule="auto"/>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Matsumoto</w:t>
            </w:r>
          </w:p>
        </w:tc>
        <w:tc>
          <w:tcPr>
            <w:tcW w:w="1080" w:type="dxa"/>
          </w:tcPr>
          <w:p w14:paraId="06FCBCBE"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7</w:t>
            </w:r>
          </w:p>
        </w:tc>
        <w:tc>
          <w:tcPr>
            <w:tcW w:w="1260" w:type="dxa"/>
          </w:tcPr>
          <w:p w14:paraId="28E168B1"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272</w:t>
            </w:r>
          </w:p>
        </w:tc>
        <w:tc>
          <w:tcPr>
            <w:tcW w:w="1170" w:type="dxa"/>
          </w:tcPr>
          <w:p w14:paraId="6A7A1375"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279 </w:t>
            </w:r>
            <w:r w:rsidRPr="000634BE">
              <w:rPr>
                <w:rFonts w:ascii="Times New Roman" w:eastAsia="Times New Roman" w:hAnsi="Times New Roman" w:cs="Times New Roman"/>
                <w:b/>
                <w:bCs/>
                <w:color w:val="000000"/>
                <w:sz w:val="24"/>
                <w:szCs w:val="24"/>
                <w:lang w:val="en-CA" w:eastAsia="en-CA"/>
              </w:rPr>
              <w:t xml:space="preserve">* </w:t>
            </w:r>
          </w:p>
        </w:tc>
        <w:tc>
          <w:tcPr>
            <w:tcW w:w="2880" w:type="dxa"/>
          </w:tcPr>
          <w:p w14:paraId="68496271" w14:textId="77777777" w:rsidR="00705631" w:rsidRPr="000634BE" w:rsidRDefault="00705631" w:rsidP="000634BE">
            <w:pPr>
              <w:spacing w:after="0" w:line="240" w:lineRule="auto"/>
              <w:rPr>
                <w:rFonts w:ascii="Times New Roman" w:hAnsi="Times New Roman" w:cs="Times New Roman"/>
                <w:sz w:val="24"/>
                <w:szCs w:val="24"/>
                <w:lang w:val="en-CA"/>
              </w:rPr>
            </w:pPr>
            <w:r w:rsidRPr="000634BE">
              <w:rPr>
                <w:rFonts w:ascii="Times New Roman" w:eastAsia="Times New Roman" w:hAnsi="Times New Roman" w:cs="Times New Roman"/>
                <w:color w:val="000000"/>
                <w:sz w:val="24"/>
                <w:szCs w:val="24"/>
                <w:lang w:val="en-US" w:eastAsia="en-CA"/>
              </w:rPr>
              <w:t xml:space="preserve">Yanagisawa et al. </w:t>
            </w:r>
            <w:r w:rsidRPr="000634BE">
              <w:rPr>
                <w:rFonts w:ascii="Times New Roman" w:eastAsia="Times New Roman" w:hAnsi="Times New Roman" w:cs="Times New Roman"/>
                <w:color w:val="000000"/>
                <w:sz w:val="24"/>
                <w:szCs w:val="24"/>
                <w:lang w:val="en-CA" w:eastAsia="en-CA"/>
              </w:rPr>
              <w:t xml:space="preserve">(2006) </w:t>
            </w:r>
            <w:r w:rsidRPr="000634BE">
              <w:rPr>
                <w:rFonts w:ascii="Times New Roman" w:eastAsia="Times New Roman" w:hAnsi="Times New Roman" w:cs="Times New Roman"/>
                <w:noProof/>
                <w:color w:val="000000"/>
                <w:sz w:val="24"/>
                <w:szCs w:val="24"/>
                <w:vertAlign w:val="superscript"/>
                <w:lang w:val="en-CA" w:eastAsia="en-CA"/>
              </w:rPr>
              <w:t>9</w:t>
            </w:r>
          </w:p>
        </w:tc>
      </w:tr>
      <w:tr w:rsidR="00705631" w:rsidRPr="000634BE" w14:paraId="0318A2DE" w14:textId="77777777" w:rsidTr="000634BE">
        <w:tc>
          <w:tcPr>
            <w:tcW w:w="4410" w:type="dxa"/>
          </w:tcPr>
          <w:p w14:paraId="1151AC58" w14:textId="77777777" w:rsidR="00705631" w:rsidRPr="000634BE" w:rsidRDefault="00705631" w:rsidP="000634BE">
            <w:pPr>
              <w:spacing w:after="0" w:line="240" w:lineRule="auto"/>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Tokyo</w:t>
            </w:r>
          </w:p>
        </w:tc>
        <w:tc>
          <w:tcPr>
            <w:tcW w:w="1080" w:type="dxa"/>
          </w:tcPr>
          <w:p w14:paraId="054D5E40"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4 </w:t>
            </w:r>
            <w:r w:rsidRPr="000634BE">
              <w:rPr>
                <w:rFonts w:ascii="Times New Roman" w:eastAsia="Times New Roman" w:hAnsi="Times New Roman" w:cs="Times New Roman"/>
                <w:b/>
                <w:bCs/>
                <w:color w:val="000000"/>
                <w:sz w:val="24"/>
                <w:szCs w:val="24"/>
                <w:vertAlign w:val="superscript"/>
                <w:lang w:val="en-CA" w:eastAsia="en-CA"/>
              </w:rPr>
              <w:t>‡</w:t>
            </w:r>
          </w:p>
        </w:tc>
        <w:tc>
          <w:tcPr>
            <w:tcW w:w="1260" w:type="dxa"/>
          </w:tcPr>
          <w:p w14:paraId="04256C29"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920</w:t>
            </w:r>
          </w:p>
        </w:tc>
        <w:tc>
          <w:tcPr>
            <w:tcW w:w="1170" w:type="dxa"/>
          </w:tcPr>
          <w:p w14:paraId="2AB30922"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924</w:t>
            </w:r>
            <w:r w:rsidRPr="000634BE">
              <w:rPr>
                <w:rFonts w:ascii="Times New Roman" w:hAnsi="Times New Roman" w:cs="Times New Roman"/>
                <w:sz w:val="24"/>
                <w:szCs w:val="24"/>
                <w:vertAlign w:val="superscript"/>
                <w:lang w:val="en-CA"/>
              </w:rPr>
              <w:t xml:space="preserve"> </w:t>
            </w:r>
            <w:r w:rsidRPr="000634BE">
              <w:rPr>
                <w:rFonts w:ascii="Times New Roman" w:eastAsia="Times New Roman" w:hAnsi="Times New Roman" w:cs="Times New Roman"/>
                <w:b/>
                <w:bCs/>
                <w:color w:val="000000"/>
                <w:sz w:val="24"/>
                <w:szCs w:val="24"/>
                <w:vertAlign w:val="superscript"/>
                <w:lang w:val="en-CA" w:eastAsia="en-CA"/>
              </w:rPr>
              <w:t>‡</w:t>
            </w:r>
          </w:p>
        </w:tc>
        <w:tc>
          <w:tcPr>
            <w:tcW w:w="2880" w:type="dxa"/>
          </w:tcPr>
          <w:p w14:paraId="31722595" w14:textId="77777777" w:rsidR="00705631" w:rsidRPr="000634BE" w:rsidRDefault="00705631" w:rsidP="000634BE">
            <w:pPr>
              <w:spacing w:after="0" w:line="240" w:lineRule="auto"/>
              <w:rPr>
                <w:rFonts w:ascii="Times New Roman" w:hAnsi="Times New Roman" w:cs="Times New Roman"/>
                <w:sz w:val="24"/>
                <w:szCs w:val="24"/>
              </w:rPr>
            </w:pPr>
            <w:proofErr w:type="spellStart"/>
            <w:r w:rsidRPr="000634BE">
              <w:rPr>
                <w:rFonts w:ascii="Times New Roman" w:eastAsia="Times New Roman" w:hAnsi="Times New Roman" w:cs="Times New Roman"/>
                <w:color w:val="000000"/>
                <w:sz w:val="24"/>
                <w:szCs w:val="24"/>
                <w:lang w:eastAsia="en-CA"/>
              </w:rPr>
              <w:t>Yanagisawa</w:t>
            </w:r>
            <w:proofErr w:type="spellEnd"/>
            <w:r w:rsidRPr="000634BE">
              <w:rPr>
                <w:rFonts w:ascii="Times New Roman" w:eastAsia="Times New Roman" w:hAnsi="Times New Roman" w:cs="Times New Roman"/>
                <w:color w:val="000000"/>
                <w:sz w:val="24"/>
                <w:szCs w:val="24"/>
                <w:lang w:eastAsia="en-CA"/>
              </w:rPr>
              <w:t xml:space="preserve"> et al. (2006) </w:t>
            </w:r>
            <w:r w:rsidRPr="000634BE">
              <w:rPr>
                <w:rFonts w:ascii="Times New Roman" w:eastAsia="Times New Roman" w:hAnsi="Times New Roman" w:cs="Times New Roman"/>
                <w:noProof/>
                <w:color w:val="000000"/>
                <w:sz w:val="24"/>
                <w:szCs w:val="24"/>
                <w:vertAlign w:val="superscript"/>
                <w:lang w:eastAsia="en-CA"/>
              </w:rPr>
              <w:t>9</w:t>
            </w:r>
            <w:r w:rsidRPr="000634BE">
              <w:rPr>
                <w:rFonts w:ascii="Times New Roman" w:eastAsia="Times New Roman" w:hAnsi="Times New Roman" w:cs="Times New Roman"/>
                <w:color w:val="000000"/>
                <w:sz w:val="24"/>
                <w:szCs w:val="24"/>
                <w:lang w:eastAsia="en-CA"/>
              </w:rPr>
              <w:t xml:space="preserve">; </w:t>
            </w:r>
            <w:proofErr w:type="spellStart"/>
            <w:r w:rsidRPr="000634BE">
              <w:rPr>
                <w:rFonts w:ascii="Times New Roman" w:hAnsi="Times New Roman" w:cs="Times New Roman"/>
                <w:sz w:val="24"/>
                <w:szCs w:val="24"/>
              </w:rPr>
              <w:t>Novaki</w:t>
            </w:r>
            <w:proofErr w:type="spellEnd"/>
            <w:r w:rsidRPr="000634BE">
              <w:rPr>
                <w:rFonts w:ascii="Times New Roman" w:hAnsi="Times New Roman" w:cs="Times New Roman"/>
                <w:sz w:val="24"/>
                <w:szCs w:val="24"/>
              </w:rPr>
              <w:t xml:space="preserve"> et al. (1995) </w:t>
            </w:r>
            <w:r w:rsidRPr="000634BE">
              <w:rPr>
                <w:rFonts w:ascii="Times New Roman" w:hAnsi="Times New Roman" w:cs="Times New Roman"/>
                <w:noProof/>
                <w:sz w:val="24"/>
                <w:szCs w:val="24"/>
                <w:vertAlign w:val="superscript"/>
                <w:lang w:val="en-CA"/>
              </w:rPr>
              <w:t>6</w:t>
            </w:r>
          </w:p>
        </w:tc>
      </w:tr>
      <w:tr w:rsidR="00705631" w:rsidRPr="000634BE" w14:paraId="25FD047D" w14:textId="77777777" w:rsidTr="000634BE">
        <w:tc>
          <w:tcPr>
            <w:tcW w:w="4410" w:type="dxa"/>
          </w:tcPr>
          <w:p w14:paraId="632CDB0A" w14:textId="77777777" w:rsidR="00705631" w:rsidRPr="000634BE" w:rsidRDefault="00705631" w:rsidP="000634BE">
            <w:pPr>
              <w:spacing w:after="0" w:line="240" w:lineRule="auto"/>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Damascus</w:t>
            </w:r>
          </w:p>
        </w:tc>
        <w:tc>
          <w:tcPr>
            <w:tcW w:w="1080" w:type="dxa"/>
          </w:tcPr>
          <w:p w14:paraId="4ADBF7E9" w14:textId="77777777" w:rsidR="00705631" w:rsidRPr="000634BE" w:rsidRDefault="00705631" w:rsidP="000634BE">
            <w:pPr>
              <w:spacing w:after="0" w:line="240" w:lineRule="auto"/>
              <w:jc w:val="center"/>
              <w:rPr>
                <w:rFonts w:ascii="Times New Roman" w:eastAsia="Times New Roman" w:hAnsi="Times New Roman" w:cs="Times New Roman"/>
                <w:b/>
                <w:bCs/>
                <w:color w:val="000000"/>
                <w:sz w:val="24"/>
                <w:szCs w:val="24"/>
                <w:lang w:val="en-CA" w:eastAsia="en-CA"/>
              </w:rPr>
            </w:pPr>
            <w:r w:rsidRPr="000634BE">
              <w:rPr>
                <w:rFonts w:ascii="Times New Roman" w:hAnsi="Times New Roman" w:cs="Times New Roman"/>
                <w:sz w:val="24"/>
                <w:szCs w:val="24"/>
                <w:lang w:val="en-CA"/>
              </w:rPr>
              <w:t xml:space="preserve">--- </w:t>
            </w:r>
            <w:r w:rsidRPr="000634BE">
              <w:rPr>
                <w:rFonts w:ascii="Times New Roman" w:eastAsia="Times New Roman" w:hAnsi="Times New Roman" w:cs="Times New Roman"/>
                <w:b/>
                <w:bCs/>
                <w:color w:val="000000"/>
                <w:sz w:val="24"/>
                <w:szCs w:val="24"/>
                <w:vertAlign w:val="superscript"/>
                <w:lang w:val="en-CA" w:eastAsia="en-CA"/>
              </w:rPr>
              <w:t xml:space="preserve">¥ </w:t>
            </w:r>
          </w:p>
        </w:tc>
        <w:tc>
          <w:tcPr>
            <w:tcW w:w="1260" w:type="dxa"/>
          </w:tcPr>
          <w:p w14:paraId="73C277FD"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130 </w:t>
            </w:r>
            <w:r w:rsidRPr="000634BE">
              <w:rPr>
                <w:rFonts w:ascii="Times New Roman" w:eastAsia="Times New Roman" w:hAnsi="Times New Roman" w:cs="Times New Roman"/>
                <w:b/>
                <w:bCs/>
                <w:color w:val="000000"/>
                <w:sz w:val="24"/>
                <w:szCs w:val="24"/>
                <w:vertAlign w:val="superscript"/>
                <w:lang w:val="en-CA" w:eastAsia="en-CA"/>
              </w:rPr>
              <w:t xml:space="preserve">€ </w:t>
            </w:r>
          </w:p>
        </w:tc>
        <w:tc>
          <w:tcPr>
            <w:tcW w:w="1170" w:type="dxa"/>
          </w:tcPr>
          <w:p w14:paraId="068216A8"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130 </w:t>
            </w:r>
            <w:r w:rsidRPr="000634BE">
              <w:rPr>
                <w:rFonts w:ascii="Times New Roman" w:eastAsia="Times New Roman" w:hAnsi="Times New Roman" w:cs="Times New Roman"/>
                <w:b/>
                <w:bCs/>
                <w:color w:val="000000"/>
                <w:sz w:val="24"/>
                <w:szCs w:val="24"/>
                <w:vertAlign w:val="superscript"/>
                <w:lang w:val="en-CA" w:eastAsia="en-CA"/>
              </w:rPr>
              <w:t>€</w:t>
            </w:r>
          </w:p>
        </w:tc>
        <w:tc>
          <w:tcPr>
            <w:tcW w:w="2880" w:type="dxa"/>
          </w:tcPr>
          <w:p w14:paraId="47ABD451" w14:textId="77777777" w:rsidR="00705631" w:rsidRPr="000634BE" w:rsidRDefault="00705631" w:rsidP="000634BE">
            <w:pPr>
              <w:spacing w:after="0" w:line="240" w:lineRule="auto"/>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Rosman et al. (2014) </w:t>
            </w:r>
            <w:r w:rsidRPr="000634BE">
              <w:rPr>
                <w:rFonts w:ascii="Times New Roman" w:hAnsi="Times New Roman" w:cs="Times New Roman"/>
                <w:noProof/>
                <w:sz w:val="24"/>
                <w:szCs w:val="24"/>
                <w:vertAlign w:val="superscript"/>
                <w:lang w:val="en-CA"/>
              </w:rPr>
              <w:t>8</w:t>
            </w:r>
          </w:p>
        </w:tc>
      </w:tr>
      <w:tr w:rsidR="00705631" w:rsidRPr="000634BE" w14:paraId="775FAE86" w14:textId="77777777" w:rsidTr="000634BE">
        <w:tc>
          <w:tcPr>
            <w:tcW w:w="4410" w:type="dxa"/>
            <w:shd w:val="clear" w:color="auto" w:fill="auto"/>
          </w:tcPr>
          <w:p w14:paraId="76A1F9D0" w14:textId="77777777" w:rsidR="00705631" w:rsidRPr="000634BE" w:rsidRDefault="00705631" w:rsidP="000634BE">
            <w:pPr>
              <w:spacing w:after="0" w:line="240" w:lineRule="auto"/>
              <w:rPr>
                <w:rFonts w:ascii="Times New Roman" w:hAnsi="Times New Roman" w:cs="Times New Roman"/>
                <w:b/>
                <w:bCs/>
                <w:sz w:val="24"/>
                <w:szCs w:val="24"/>
                <w:lang w:val="en-CA"/>
              </w:rPr>
            </w:pPr>
          </w:p>
        </w:tc>
        <w:tc>
          <w:tcPr>
            <w:tcW w:w="1080" w:type="dxa"/>
            <w:shd w:val="clear" w:color="auto" w:fill="auto"/>
          </w:tcPr>
          <w:p w14:paraId="3EF98890" w14:textId="77777777" w:rsidR="00705631" w:rsidRPr="000634BE" w:rsidRDefault="00705631" w:rsidP="000634BE">
            <w:pPr>
              <w:spacing w:after="0" w:line="240" w:lineRule="auto"/>
              <w:jc w:val="center"/>
              <w:rPr>
                <w:rFonts w:ascii="Times New Roman" w:hAnsi="Times New Roman" w:cs="Times New Roman"/>
                <w:sz w:val="24"/>
                <w:szCs w:val="24"/>
                <w:lang w:val="en-CA"/>
              </w:rPr>
            </w:pPr>
          </w:p>
        </w:tc>
        <w:tc>
          <w:tcPr>
            <w:tcW w:w="1260" w:type="dxa"/>
            <w:shd w:val="clear" w:color="auto" w:fill="auto"/>
          </w:tcPr>
          <w:p w14:paraId="05F8DAA7" w14:textId="77777777" w:rsidR="00705631" w:rsidRPr="000634BE" w:rsidRDefault="00705631" w:rsidP="000634BE">
            <w:pPr>
              <w:spacing w:after="0" w:line="240" w:lineRule="auto"/>
              <w:jc w:val="right"/>
              <w:rPr>
                <w:rFonts w:ascii="Times New Roman" w:hAnsi="Times New Roman" w:cs="Times New Roman"/>
                <w:sz w:val="24"/>
                <w:szCs w:val="24"/>
                <w:lang w:val="en-CA"/>
              </w:rPr>
            </w:pPr>
            <w:r w:rsidRPr="000634BE">
              <w:rPr>
                <w:rFonts w:ascii="Times New Roman" w:hAnsi="Times New Roman" w:cs="Times New Roman"/>
                <w:b/>
                <w:bCs/>
                <w:sz w:val="24"/>
                <w:szCs w:val="24"/>
                <w:u w:val="single"/>
                <w:lang w:val="en-CA"/>
              </w:rPr>
              <w:t>Total</w:t>
            </w:r>
          </w:p>
        </w:tc>
        <w:tc>
          <w:tcPr>
            <w:tcW w:w="1170" w:type="dxa"/>
            <w:shd w:val="clear" w:color="auto" w:fill="auto"/>
          </w:tcPr>
          <w:p w14:paraId="36E8E015"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1333</w:t>
            </w:r>
          </w:p>
        </w:tc>
        <w:tc>
          <w:tcPr>
            <w:tcW w:w="2880" w:type="dxa"/>
            <w:shd w:val="clear" w:color="auto" w:fill="auto"/>
          </w:tcPr>
          <w:p w14:paraId="1EE94DF0" w14:textId="77777777" w:rsidR="00705631" w:rsidRPr="000634BE" w:rsidRDefault="00705631" w:rsidP="000634BE">
            <w:pPr>
              <w:spacing w:after="0" w:line="240" w:lineRule="auto"/>
              <w:rPr>
                <w:rFonts w:ascii="Times New Roman" w:hAnsi="Times New Roman" w:cs="Times New Roman"/>
                <w:sz w:val="24"/>
                <w:szCs w:val="24"/>
                <w:lang w:val="en-CA"/>
              </w:rPr>
            </w:pPr>
          </w:p>
        </w:tc>
      </w:tr>
      <w:tr w:rsidR="00705631" w:rsidRPr="000634BE" w14:paraId="45D7D19D" w14:textId="77777777" w:rsidTr="000634BE">
        <w:tc>
          <w:tcPr>
            <w:tcW w:w="4410" w:type="dxa"/>
            <w:shd w:val="clear" w:color="auto" w:fill="000000" w:themeFill="text1"/>
          </w:tcPr>
          <w:p w14:paraId="2CB74FAE" w14:textId="77777777" w:rsidR="00705631" w:rsidRPr="000634BE" w:rsidRDefault="00705631" w:rsidP="000634BE">
            <w:pPr>
              <w:spacing w:after="0" w:line="240" w:lineRule="auto"/>
              <w:rPr>
                <w:rFonts w:ascii="Times New Roman" w:hAnsi="Times New Roman" w:cs="Times New Roman"/>
                <w:b/>
                <w:bCs/>
                <w:sz w:val="24"/>
                <w:szCs w:val="24"/>
                <w:lang w:val="en-CA"/>
              </w:rPr>
            </w:pPr>
          </w:p>
        </w:tc>
        <w:tc>
          <w:tcPr>
            <w:tcW w:w="1080" w:type="dxa"/>
            <w:shd w:val="clear" w:color="auto" w:fill="000000" w:themeFill="text1"/>
          </w:tcPr>
          <w:p w14:paraId="0F788993" w14:textId="77777777" w:rsidR="00705631" w:rsidRPr="000634BE" w:rsidRDefault="00705631" w:rsidP="000634BE">
            <w:pPr>
              <w:spacing w:after="0" w:line="240" w:lineRule="auto"/>
              <w:jc w:val="center"/>
              <w:rPr>
                <w:rFonts w:ascii="Times New Roman" w:hAnsi="Times New Roman" w:cs="Times New Roman"/>
                <w:sz w:val="24"/>
                <w:szCs w:val="24"/>
                <w:lang w:val="en-CA"/>
              </w:rPr>
            </w:pPr>
          </w:p>
        </w:tc>
        <w:tc>
          <w:tcPr>
            <w:tcW w:w="1260" w:type="dxa"/>
            <w:shd w:val="clear" w:color="auto" w:fill="000000" w:themeFill="text1"/>
          </w:tcPr>
          <w:p w14:paraId="1E428B32" w14:textId="77777777" w:rsidR="00705631" w:rsidRPr="000634BE" w:rsidRDefault="00705631" w:rsidP="000634BE">
            <w:pPr>
              <w:spacing w:after="0" w:line="240" w:lineRule="auto"/>
              <w:jc w:val="center"/>
              <w:rPr>
                <w:rFonts w:ascii="Times New Roman" w:hAnsi="Times New Roman" w:cs="Times New Roman"/>
                <w:sz w:val="24"/>
                <w:szCs w:val="24"/>
                <w:lang w:val="en-CA"/>
              </w:rPr>
            </w:pPr>
          </w:p>
        </w:tc>
        <w:tc>
          <w:tcPr>
            <w:tcW w:w="1170" w:type="dxa"/>
            <w:shd w:val="clear" w:color="auto" w:fill="000000" w:themeFill="text1"/>
          </w:tcPr>
          <w:p w14:paraId="79E2B8E1" w14:textId="77777777" w:rsidR="00705631" w:rsidRPr="000634BE" w:rsidRDefault="00705631" w:rsidP="000634BE">
            <w:pPr>
              <w:spacing w:after="0" w:line="240" w:lineRule="auto"/>
              <w:rPr>
                <w:rFonts w:ascii="Times New Roman" w:hAnsi="Times New Roman" w:cs="Times New Roman"/>
                <w:sz w:val="24"/>
                <w:szCs w:val="24"/>
                <w:lang w:val="en-CA"/>
              </w:rPr>
            </w:pPr>
          </w:p>
        </w:tc>
        <w:tc>
          <w:tcPr>
            <w:tcW w:w="2880" w:type="dxa"/>
            <w:shd w:val="clear" w:color="auto" w:fill="000000" w:themeFill="text1"/>
          </w:tcPr>
          <w:p w14:paraId="09DB8707" w14:textId="77777777" w:rsidR="00705631" w:rsidRPr="000634BE" w:rsidRDefault="00705631" w:rsidP="000634BE">
            <w:pPr>
              <w:spacing w:after="0" w:line="240" w:lineRule="auto"/>
              <w:rPr>
                <w:rFonts w:ascii="Times New Roman" w:hAnsi="Times New Roman" w:cs="Times New Roman"/>
                <w:sz w:val="24"/>
                <w:szCs w:val="24"/>
                <w:lang w:val="en-CA"/>
              </w:rPr>
            </w:pPr>
          </w:p>
        </w:tc>
      </w:tr>
      <w:tr w:rsidR="00705631" w:rsidRPr="000634BE" w14:paraId="1797D933" w14:textId="77777777" w:rsidTr="000634BE">
        <w:tc>
          <w:tcPr>
            <w:tcW w:w="4410" w:type="dxa"/>
            <w:shd w:val="clear" w:color="auto" w:fill="E7E6E6" w:themeFill="background2"/>
          </w:tcPr>
          <w:p w14:paraId="0391451D" w14:textId="77777777" w:rsidR="00705631" w:rsidRPr="000634BE" w:rsidRDefault="00705631" w:rsidP="000634BE">
            <w:pPr>
              <w:spacing w:after="0" w:line="240" w:lineRule="auto"/>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 xml:space="preserve">Tokyo – Keio University, Emergency and Critical Care Department </w:t>
            </w:r>
          </w:p>
        </w:tc>
        <w:tc>
          <w:tcPr>
            <w:tcW w:w="1080" w:type="dxa"/>
            <w:shd w:val="clear" w:color="auto" w:fill="E7E6E6" w:themeFill="background2"/>
          </w:tcPr>
          <w:p w14:paraId="77150B2D"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1 </w:t>
            </w:r>
            <w:r w:rsidRPr="000634BE">
              <w:rPr>
                <w:rFonts w:ascii="Times New Roman" w:eastAsia="Times New Roman" w:hAnsi="Times New Roman" w:cs="Times New Roman"/>
                <w:b/>
                <w:bCs/>
                <w:color w:val="000000"/>
                <w:sz w:val="24"/>
                <w:szCs w:val="24"/>
                <w:vertAlign w:val="superscript"/>
                <w:lang w:val="en-CA" w:eastAsia="en-CA"/>
              </w:rPr>
              <w:t>‡</w:t>
            </w:r>
          </w:p>
        </w:tc>
        <w:tc>
          <w:tcPr>
            <w:tcW w:w="1260" w:type="dxa"/>
            <w:shd w:val="clear" w:color="auto" w:fill="E7E6E6" w:themeFill="background2"/>
          </w:tcPr>
          <w:p w14:paraId="7D5AAC8A" w14:textId="77777777" w:rsidR="00705631" w:rsidRPr="000634BE" w:rsidRDefault="00705631" w:rsidP="000634BE">
            <w:pPr>
              <w:spacing w:after="0" w:line="240" w:lineRule="auto"/>
              <w:jc w:val="center"/>
              <w:rPr>
                <w:rFonts w:ascii="Times New Roman" w:hAnsi="Times New Roman" w:cs="Times New Roman"/>
                <w:sz w:val="24"/>
                <w:szCs w:val="24"/>
              </w:rPr>
            </w:pPr>
            <w:r w:rsidRPr="000634BE">
              <w:rPr>
                <w:rFonts w:ascii="Times New Roman" w:hAnsi="Times New Roman" w:cs="Times New Roman"/>
                <w:sz w:val="24"/>
                <w:szCs w:val="24"/>
              </w:rPr>
              <w:t xml:space="preserve">100 (85+15 </w:t>
            </w:r>
            <w:proofErr w:type="gramStart"/>
            <w:r w:rsidRPr="000634BE">
              <w:rPr>
                <w:rFonts w:ascii="Times New Roman" w:eastAsia="Times New Roman" w:hAnsi="Times New Roman" w:cs="Times New Roman"/>
                <w:b/>
                <w:bCs/>
                <w:color w:val="000000"/>
                <w:sz w:val="24"/>
                <w:szCs w:val="24"/>
                <w:vertAlign w:val="superscript"/>
                <w:lang w:val="en-CA" w:eastAsia="en-CA"/>
              </w:rPr>
              <w:t>‡</w:t>
            </w:r>
            <w:r w:rsidRPr="000634BE">
              <w:rPr>
                <w:rFonts w:ascii="Times New Roman" w:hAnsi="Times New Roman" w:cs="Times New Roman"/>
                <w:sz w:val="24"/>
                <w:szCs w:val="24"/>
              </w:rPr>
              <w:t>)</w:t>
            </w:r>
            <w:r w:rsidRPr="000634BE">
              <w:rPr>
                <w:rFonts w:ascii="Times New Roman" w:eastAsia="Times New Roman" w:hAnsi="Times New Roman" w:cs="Times New Roman"/>
                <w:b/>
                <w:bCs/>
                <w:color w:val="000000"/>
                <w:sz w:val="24"/>
                <w:szCs w:val="24"/>
                <w:vertAlign w:val="superscript"/>
                <w:lang w:val="en-CA" w:eastAsia="en-CA"/>
              </w:rPr>
              <w:t>†</w:t>
            </w:r>
            <w:proofErr w:type="gramEnd"/>
          </w:p>
        </w:tc>
        <w:tc>
          <w:tcPr>
            <w:tcW w:w="1170" w:type="dxa"/>
            <w:shd w:val="clear" w:color="auto" w:fill="E7E6E6" w:themeFill="background2"/>
          </w:tcPr>
          <w:p w14:paraId="1A9A1941"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101 </w:t>
            </w:r>
            <w:r w:rsidRPr="000634BE">
              <w:rPr>
                <w:rFonts w:ascii="Times New Roman" w:eastAsia="Times New Roman" w:hAnsi="Times New Roman" w:cs="Times New Roman"/>
                <w:b/>
                <w:bCs/>
                <w:color w:val="000000"/>
                <w:sz w:val="24"/>
                <w:szCs w:val="24"/>
                <w:vertAlign w:val="superscript"/>
                <w:lang w:val="en-CA" w:eastAsia="en-CA"/>
              </w:rPr>
              <w:t>† ‡</w:t>
            </w:r>
          </w:p>
        </w:tc>
        <w:tc>
          <w:tcPr>
            <w:tcW w:w="2880" w:type="dxa"/>
            <w:shd w:val="clear" w:color="auto" w:fill="E7E6E6" w:themeFill="background2"/>
          </w:tcPr>
          <w:p w14:paraId="24C7947A" w14:textId="77777777" w:rsidR="00705631" w:rsidRPr="000634BE" w:rsidRDefault="00705631" w:rsidP="000634BE">
            <w:pPr>
              <w:spacing w:after="0" w:line="240" w:lineRule="auto"/>
              <w:rPr>
                <w:rFonts w:ascii="Times New Roman" w:hAnsi="Times New Roman" w:cs="Times New Roman"/>
                <w:sz w:val="24"/>
                <w:szCs w:val="24"/>
              </w:rPr>
            </w:pPr>
            <w:proofErr w:type="spellStart"/>
            <w:r w:rsidRPr="000634BE">
              <w:rPr>
                <w:rFonts w:ascii="Times New Roman" w:eastAsia="Times New Roman" w:hAnsi="Times New Roman" w:cs="Times New Roman"/>
                <w:color w:val="000000"/>
                <w:sz w:val="24"/>
                <w:szCs w:val="24"/>
                <w:lang w:eastAsia="en-CA"/>
              </w:rPr>
              <w:t>Yanagisawa</w:t>
            </w:r>
            <w:proofErr w:type="spellEnd"/>
            <w:r w:rsidRPr="000634BE">
              <w:rPr>
                <w:rFonts w:ascii="Times New Roman" w:eastAsia="Times New Roman" w:hAnsi="Times New Roman" w:cs="Times New Roman"/>
                <w:color w:val="000000"/>
                <w:sz w:val="24"/>
                <w:szCs w:val="24"/>
                <w:lang w:eastAsia="en-CA"/>
              </w:rPr>
              <w:t xml:space="preserve"> et al. (2006) </w:t>
            </w:r>
            <w:r w:rsidRPr="000634BE">
              <w:rPr>
                <w:rFonts w:ascii="Times New Roman" w:eastAsia="Times New Roman" w:hAnsi="Times New Roman" w:cs="Times New Roman"/>
                <w:noProof/>
                <w:color w:val="000000"/>
                <w:sz w:val="24"/>
                <w:szCs w:val="24"/>
                <w:vertAlign w:val="superscript"/>
                <w:lang w:eastAsia="en-CA"/>
              </w:rPr>
              <w:t>9</w:t>
            </w:r>
            <w:r w:rsidRPr="000634BE">
              <w:rPr>
                <w:rFonts w:ascii="Times New Roman" w:eastAsia="Times New Roman" w:hAnsi="Times New Roman" w:cs="Times New Roman"/>
                <w:color w:val="000000"/>
                <w:sz w:val="24"/>
                <w:szCs w:val="24"/>
                <w:lang w:eastAsia="en-CA"/>
              </w:rPr>
              <w:t>;</w:t>
            </w:r>
            <w:r w:rsidRPr="000634BE">
              <w:rPr>
                <w:rFonts w:ascii="Times New Roman" w:hAnsi="Times New Roman" w:cs="Times New Roman"/>
                <w:color w:val="000000"/>
                <w:sz w:val="24"/>
                <w:szCs w:val="24"/>
              </w:rPr>
              <w:t xml:space="preserve"> </w:t>
            </w:r>
            <w:proofErr w:type="spellStart"/>
            <w:r w:rsidRPr="000634BE">
              <w:rPr>
                <w:rFonts w:ascii="Times New Roman" w:hAnsi="Times New Roman" w:cs="Times New Roman"/>
                <w:sz w:val="24"/>
                <w:szCs w:val="24"/>
              </w:rPr>
              <w:t>Novaki</w:t>
            </w:r>
            <w:proofErr w:type="spellEnd"/>
            <w:r w:rsidRPr="000634BE">
              <w:rPr>
                <w:rFonts w:ascii="Times New Roman" w:hAnsi="Times New Roman" w:cs="Times New Roman"/>
                <w:sz w:val="24"/>
                <w:szCs w:val="24"/>
              </w:rPr>
              <w:t xml:space="preserve"> et al. (1995) </w:t>
            </w:r>
            <w:r w:rsidRPr="000634BE">
              <w:rPr>
                <w:rFonts w:ascii="Times New Roman" w:hAnsi="Times New Roman" w:cs="Times New Roman"/>
                <w:noProof/>
                <w:sz w:val="24"/>
                <w:szCs w:val="24"/>
                <w:vertAlign w:val="superscript"/>
                <w:lang w:val="en-CA"/>
              </w:rPr>
              <w:t>6</w:t>
            </w:r>
          </w:p>
        </w:tc>
      </w:tr>
      <w:tr w:rsidR="00705631" w:rsidRPr="000634BE" w14:paraId="78A8C3BD" w14:textId="77777777" w:rsidTr="000634BE">
        <w:tc>
          <w:tcPr>
            <w:tcW w:w="4410" w:type="dxa"/>
            <w:shd w:val="clear" w:color="auto" w:fill="E7E6E6" w:themeFill="background2"/>
          </w:tcPr>
          <w:p w14:paraId="37743AF1" w14:textId="77777777" w:rsidR="00705631" w:rsidRPr="000634BE" w:rsidRDefault="00705631" w:rsidP="000634BE">
            <w:pPr>
              <w:spacing w:after="0" w:line="240" w:lineRule="auto"/>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 xml:space="preserve">Tokyo – St. Luke’s Hospital </w:t>
            </w:r>
          </w:p>
        </w:tc>
        <w:tc>
          <w:tcPr>
            <w:tcW w:w="1080" w:type="dxa"/>
            <w:shd w:val="clear" w:color="auto" w:fill="E7E6E6" w:themeFill="background2"/>
          </w:tcPr>
          <w:p w14:paraId="0105F8FC"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2 </w:t>
            </w:r>
          </w:p>
        </w:tc>
        <w:tc>
          <w:tcPr>
            <w:tcW w:w="1260" w:type="dxa"/>
            <w:shd w:val="clear" w:color="auto" w:fill="E7E6E6" w:themeFill="background2"/>
          </w:tcPr>
          <w:p w14:paraId="5D2D8F52"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640 </w:t>
            </w:r>
          </w:p>
        </w:tc>
        <w:tc>
          <w:tcPr>
            <w:tcW w:w="1170" w:type="dxa"/>
            <w:shd w:val="clear" w:color="auto" w:fill="E7E6E6" w:themeFill="background2"/>
          </w:tcPr>
          <w:p w14:paraId="37E02A56" w14:textId="77777777" w:rsidR="00705631" w:rsidRPr="000634BE" w:rsidRDefault="00705631" w:rsidP="000634BE">
            <w:pPr>
              <w:spacing w:after="0" w:line="240" w:lineRule="auto"/>
              <w:jc w:val="center"/>
              <w:rPr>
                <w:rFonts w:ascii="Times New Roman" w:hAnsi="Times New Roman" w:cs="Times New Roman"/>
                <w:sz w:val="24"/>
                <w:szCs w:val="24"/>
                <w:lang w:val="en-CA"/>
              </w:rPr>
            </w:pPr>
            <w:proofErr w:type="gramStart"/>
            <w:r w:rsidRPr="000634BE">
              <w:rPr>
                <w:rFonts w:ascii="Times New Roman" w:hAnsi="Times New Roman" w:cs="Times New Roman"/>
                <w:sz w:val="24"/>
                <w:szCs w:val="24"/>
                <w:lang w:val="en-CA"/>
              </w:rPr>
              <w:t xml:space="preserve">640 </w:t>
            </w:r>
            <w:r w:rsidRPr="000634BE">
              <w:rPr>
                <w:rFonts w:ascii="Times New Roman" w:eastAsia="Times New Roman" w:hAnsi="Times New Roman" w:cs="Times New Roman"/>
                <w:b/>
                <w:bCs/>
                <w:color w:val="000000"/>
                <w:sz w:val="24"/>
                <w:szCs w:val="24"/>
                <w:vertAlign w:val="superscript"/>
                <w:lang w:val="en-US" w:eastAsia="en-CA"/>
              </w:rPr>
              <w:t>!</w:t>
            </w:r>
            <w:proofErr w:type="gramEnd"/>
            <w:r w:rsidRPr="000634BE">
              <w:rPr>
                <w:rFonts w:ascii="Times New Roman" w:eastAsia="Times New Roman" w:hAnsi="Times New Roman" w:cs="Times New Roman"/>
                <w:b/>
                <w:bCs/>
                <w:color w:val="000000"/>
                <w:sz w:val="24"/>
                <w:szCs w:val="24"/>
                <w:vertAlign w:val="superscript"/>
                <w:lang w:val="en-US" w:eastAsia="en-CA"/>
              </w:rPr>
              <w:t xml:space="preserve"> </w:t>
            </w:r>
            <w:r w:rsidRPr="000634BE">
              <w:rPr>
                <w:rFonts w:ascii="Times New Roman" w:eastAsia="Times New Roman" w:hAnsi="Times New Roman" w:cs="Times New Roman"/>
                <w:b/>
                <w:bCs/>
                <w:color w:val="000000"/>
                <w:sz w:val="24"/>
                <w:szCs w:val="24"/>
                <w:vertAlign w:val="superscript"/>
                <w:lang w:val="en-CA" w:eastAsia="en-CA"/>
              </w:rPr>
              <w:t>‡</w:t>
            </w:r>
          </w:p>
        </w:tc>
        <w:tc>
          <w:tcPr>
            <w:tcW w:w="2880" w:type="dxa"/>
            <w:shd w:val="clear" w:color="auto" w:fill="E7E6E6" w:themeFill="background2"/>
          </w:tcPr>
          <w:p w14:paraId="2DC4F99D" w14:textId="77777777" w:rsidR="00705631" w:rsidRPr="000634BE" w:rsidRDefault="00705631" w:rsidP="000634BE">
            <w:pPr>
              <w:spacing w:after="0" w:line="240" w:lineRule="auto"/>
              <w:rPr>
                <w:rFonts w:ascii="Times New Roman" w:hAnsi="Times New Roman" w:cs="Times New Roman"/>
                <w:sz w:val="24"/>
                <w:szCs w:val="24"/>
              </w:rPr>
            </w:pPr>
            <w:proofErr w:type="spellStart"/>
            <w:r w:rsidRPr="000634BE">
              <w:rPr>
                <w:rFonts w:ascii="Times New Roman" w:eastAsia="Times New Roman" w:hAnsi="Times New Roman" w:cs="Times New Roman"/>
                <w:color w:val="000000"/>
                <w:sz w:val="24"/>
                <w:szCs w:val="24"/>
                <w:lang w:eastAsia="en-CA"/>
              </w:rPr>
              <w:t>Yanagisawa</w:t>
            </w:r>
            <w:proofErr w:type="spellEnd"/>
            <w:r w:rsidRPr="000634BE">
              <w:rPr>
                <w:rFonts w:ascii="Times New Roman" w:eastAsia="Times New Roman" w:hAnsi="Times New Roman" w:cs="Times New Roman"/>
                <w:color w:val="000000"/>
                <w:sz w:val="24"/>
                <w:szCs w:val="24"/>
                <w:lang w:eastAsia="en-CA"/>
              </w:rPr>
              <w:t xml:space="preserve"> et al. (2006) </w:t>
            </w:r>
            <w:r w:rsidRPr="000634BE">
              <w:rPr>
                <w:rFonts w:ascii="Times New Roman" w:eastAsia="Times New Roman" w:hAnsi="Times New Roman" w:cs="Times New Roman"/>
                <w:noProof/>
                <w:color w:val="000000"/>
                <w:sz w:val="24"/>
                <w:szCs w:val="24"/>
                <w:vertAlign w:val="superscript"/>
                <w:lang w:eastAsia="en-CA"/>
              </w:rPr>
              <w:t>9</w:t>
            </w:r>
            <w:r w:rsidRPr="000634BE">
              <w:rPr>
                <w:rFonts w:ascii="Times New Roman" w:eastAsia="Times New Roman" w:hAnsi="Times New Roman" w:cs="Times New Roman"/>
                <w:color w:val="000000"/>
                <w:sz w:val="24"/>
                <w:szCs w:val="24"/>
                <w:lang w:eastAsia="en-CA"/>
              </w:rPr>
              <w:t xml:space="preserve">; </w:t>
            </w:r>
            <w:proofErr w:type="spellStart"/>
            <w:r w:rsidRPr="000634BE">
              <w:rPr>
                <w:rFonts w:ascii="Times New Roman" w:hAnsi="Times New Roman" w:cs="Times New Roman"/>
                <w:sz w:val="24"/>
                <w:szCs w:val="24"/>
              </w:rPr>
              <w:t>Okumura</w:t>
            </w:r>
            <w:proofErr w:type="spellEnd"/>
            <w:r w:rsidRPr="000634BE">
              <w:rPr>
                <w:rFonts w:ascii="Times New Roman" w:hAnsi="Times New Roman" w:cs="Times New Roman"/>
                <w:sz w:val="24"/>
                <w:szCs w:val="24"/>
              </w:rPr>
              <w:t xml:space="preserve"> et al. (1996) </w:t>
            </w:r>
            <w:r w:rsidRPr="000634BE">
              <w:rPr>
                <w:rFonts w:ascii="Times New Roman" w:hAnsi="Times New Roman" w:cs="Times New Roman"/>
                <w:noProof/>
                <w:sz w:val="24"/>
                <w:szCs w:val="24"/>
                <w:vertAlign w:val="superscript"/>
              </w:rPr>
              <w:t>7</w:t>
            </w:r>
          </w:p>
        </w:tc>
      </w:tr>
    </w:tbl>
    <w:p w14:paraId="7D6A2357" w14:textId="49EE8A48" w:rsidR="00705631" w:rsidRPr="000634BE" w:rsidRDefault="00705631" w:rsidP="000634BE">
      <w:pPr>
        <w:spacing w:after="0" w:line="240" w:lineRule="auto"/>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Table S7. Calculation of cases of exposure to sarin gas per country and grand total.</w:t>
      </w:r>
    </w:p>
    <w:p w14:paraId="6BDAC035" w14:textId="77777777" w:rsidR="00705631" w:rsidRPr="000634BE" w:rsidRDefault="00705631" w:rsidP="000634BE">
      <w:pPr>
        <w:spacing w:after="0" w:line="240" w:lineRule="auto"/>
        <w:rPr>
          <w:rFonts w:ascii="Times New Roman" w:eastAsia="Times New Roman" w:hAnsi="Times New Roman" w:cs="Times New Roman"/>
          <w:b/>
          <w:bCs/>
          <w:color w:val="000000"/>
          <w:sz w:val="24"/>
          <w:szCs w:val="24"/>
          <w:lang w:val="en-CA" w:eastAsia="en-CA"/>
        </w:rPr>
      </w:pPr>
      <w:r w:rsidRPr="000634BE">
        <w:rPr>
          <w:rFonts w:ascii="Times New Roman" w:hAnsi="Times New Roman" w:cs="Times New Roman"/>
          <w:b/>
          <w:bCs/>
          <w:sz w:val="24"/>
          <w:szCs w:val="24"/>
          <w:u w:val="single"/>
          <w:shd w:val="clear" w:color="auto" w:fill="FFFFFF"/>
          <w:lang w:val="en-CA"/>
        </w:rPr>
        <w:t>Acronyms and Symbols</w:t>
      </w:r>
      <w:r w:rsidRPr="000634BE">
        <w:rPr>
          <w:rFonts w:ascii="Times New Roman" w:eastAsia="Times New Roman" w:hAnsi="Times New Roman" w:cs="Times New Roman"/>
          <w:b/>
          <w:bCs/>
          <w:color w:val="000000"/>
          <w:sz w:val="24"/>
          <w:szCs w:val="24"/>
          <w:lang w:val="en-CA" w:eastAsia="en-CA"/>
        </w:rPr>
        <w:t xml:space="preserve"> </w:t>
      </w:r>
    </w:p>
    <w:p w14:paraId="420C97FB" w14:textId="77777777" w:rsidR="00705631" w:rsidRPr="000634BE" w:rsidRDefault="00705631" w:rsidP="000634BE">
      <w:pPr>
        <w:spacing w:after="0" w:line="240" w:lineRule="auto"/>
        <w:rPr>
          <w:rFonts w:ascii="Times New Roman" w:eastAsia="Times New Roman" w:hAnsi="Times New Roman" w:cs="Times New Roman"/>
          <w:color w:val="000000"/>
          <w:sz w:val="20"/>
          <w:szCs w:val="20"/>
          <w:lang w:val="en-CA" w:eastAsia="en-CA"/>
        </w:rPr>
      </w:pPr>
      <w:r w:rsidRPr="000634BE">
        <w:rPr>
          <w:rFonts w:ascii="Times New Roman" w:eastAsia="Times New Roman" w:hAnsi="Times New Roman" w:cs="Times New Roman"/>
          <w:b/>
          <w:bCs/>
          <w:color w:val="000000"/>
          <w:sz w:val="20"/>
          <w:szCs w:val="20"/>
          <w:lang w:val="en-CA" w:eastAsia="en-CA"/>
        </w:rPr>
        <w:lastRenderedPageBreak/>
        <w:t>*</w:t>
      </w:r>
      <w:r w:rsidRPr="000634BE">
        <w:rPr>
          <w:rFonts w:ascii="Times New Roman" w:eastAsia="Times New Roman" w:hAnsi="Times New Roman" w:cs="Times New Roman"/>
          <w:color w:val="000000"/>
          <w:sz w:val="20"/>
          <w:szCs w:val="20"/>
          <w:lang w:val="en-CA" w:eastAsia="en-CA"/>
        </w:rPr>
        <w:t xml:space="preserve"> Yanagisawa et al. (2006) reported seven (7) dead (5 at home, 2 at ER) and 264 exposed patients for a total of 279 cases managed in the Matsumoto area the day of the chemical attack (ER: 56; walk-in clinic: 208; medical staff affected secondarily: 8 individuals included among the ER or walk-in </w:t>
      </w:r>
      <w:proofErr w:type="gramStart"/>
      <w:r w:rsidRPr="000634BE">
        <w:rPr>
          <w:rFonts w:ascii="Times New Roman" w:eastAsia="Times New Roman" w:hAnsi="Times New Roman" w:cs="Times New Roman"/>
          <w:color w:val="000000"/>
          <w:sz w:val="20"/>
          <w:szCs w:val="20"/>
          <w:lang w:val="en-CA" w:eastAsia="en-CA"/>
        </w:rPr>
        <w:t>clinic  counts</w:t>
      </w:r>
      <w:proofErr w:type="gramEnd"/>
      <w:r w:rsidRPr="000634BE">
        <w:rPr>
          <w:rFonts w:ascii="Times New Roman" w:eastAsia="Times New Roman" w:hAnsi="Times New Roman" w:cs="Times New Roman"/>
          <w:color w:val="000000"/>
          <w:sz w:val="20"/>
          <w:szCs w:val="20"/>
          <w:lang w:val="en-CA" w:eastAsia="en-CA"/>
        </w:rPr>
        <w:t xml:space="preserve">) </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If the </w:t>
      </w:r>
      <w:r w:rsidRPr="000634BE">
        <w:rPr>
          <w:rFonts w:ascii="Times New Roman" w:eastAsia="Times New Roman" w:hAnsi="Times New Roman" w:cs="Times New Roman"/>
          <w:sz w:val="20"/>
          <w:szCs w:val="20"/>
          <w:lang w:val="en-CA" w:eastAsia="en-CA"/>
        </w:rPr>
        <w:t>277</w:t>
      </w:r>
      <w:r w:rsidRPr="000634BE">
        <w:rPr>
          <w:rFonts w:ascii="Times New Roman" w:eastAsia="Times New Roman" w:hAnsi="Times New Roman" w:cs="Times New Roman"/>
          <w:color w:val="000000"/>
          <w:sz w:val="20"/>
          <w:szCs w:val="20"/>
          <w:lang w:val="en-CA" w:eastAsia="en-CA"/>
        </w:rPr>
        <w:t xml:space="preserve"> symptomatic individuals who did not seek medical attention were added to the 279 confirmed </w:t>
      </w:r>
      <w:r w:rsidRPr="000634BE">
        <w:rPr>
          <w:rFonts w:ascii="Times New Roman" w:eastAsia="Times New Roman" w:hAnsi="Times New Roman" w:cs="Times New Roman"/>
          <w:sz w:val="20"/>
          <w:szCs w:val="20"/>
          <w:lang w:val="en-CA" w:eastAsia="en-CA"/>
        </w:rPr>
        <w:t>cases</w:t>
      </w:r>
      <w:r w:rsidRPr="000634BE">
        <w:rPr>
          <w:rFonts w:ascii="Times New Roman" w:eastAsia="Times New Roman" w:hAnsi="Times New Roman" w:cs="Times New Roman"/>
          <w:color w:val="000000"/>
          <w:sz w:val="20"/>
          <w:szCs w:val="20"/>
          <w:lang w:val="en-CA" w:eastAsia="en-CA"/>
        </w:rPr>
        <w:t xml:space="preserve"> managed, the total would have been </w:t>
      </w:r>
      <w:r w:rsidRPr="000634BE">
        <w:rPr>
          <w:rFonts w:ascii="Times New Roman" w:eastAsia="Times New Roman" w:hAnsi="Times New Roman" w:cs="Times New Roman"/>
          <w:sz w:val="20"/>
          <w:szCs w:val="20"/>
          <w:lang w:val="en-CA" w:eastAsia="en-CA"/>
        </w:rPr>
        <w:t xml:space="preserve">556 </w:t>
      </w:r>
      <w:r w:rsidRPr="000634BE">
        <w:rPr>
          <w:rFonts w:ascii="Times New Roman" w:eastAsia="Times New Roman" w:hAnsi="Times New Roman" w:cs="Times New Roman"/>
          <w:noProof/>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w:t>
      </w:r>
    </w:p>
    <w:p w14:paraId="782F5338" w14:textId="77777777" w:rsidR="00705631" w:rsidRPr="000634BE" w:rsidRDefault="00705631" w:rsidP="000634BE">
      <w:pPr>
        <w:spacing w:after="0" w:line="240" w:lineRule="auto"/>
        <w:rPr>
          <w:rFonts w:ascii="Times New Roman" w:eastAsia="Times New Roman" w:hAnsi="Times New Roman" w:cs="Times New Roman"/>
          <w:color w:val="000000"/>
          <w:sz w:val="20"/>
          <w:szCs w:val="20"/>
          <w:lang w:val="en-CA" w:eastAsia="en-CA"/>
        </w:rPr>
      </w:pPr>
      <w:r w:rsidRPr="000634BE">
        <w:rPr>
          <w:rFonts w:ascii="Times New Roman" w:eastAsia="Times New Roman" w:hAnsi="Times New Roman" w:cs="Times New Roman"/>
          <w:b/>
          <w:bCs/>
          <w:color w:val="000000"/>
          <w:sz w:val="20"/>
          <w:szCs w:val="20"/>
          <w:vertAlign w:val="superscript"/>
          <w:lang w:eastAsia="en-CA"/>
        </w:rPr>
        <w:t xml:space="preserve">† </w:t>
      </w:r>
      <w:proofErr w:type="spellStart"/>
      <w:r w:rsidRPr="000634BE">
        <w:rPr>
          <w:rFonts w:ascii="Times New Roman" w:eastAsia="Times New Roman" w:hAnsi="Times New Roman" w:cs="Times New Roman"/>
          <w:color w:val="000000"/>
          <w:sz w:val="20"/>
          <w:szCs w:val="20"/>
          <w:lang w:eastAsia="en-CA"/>
        </w:rPr>
        <w:t>Yanagisawa</w:t>
      </w:r>
      <w:proofErr w:type="spellEnd"/>
      <w:r w:rsidRPr="000634BE">
        <w:rPr>
          <w:rFonts w:ascii="Times New Roman" w:eastAsia="Times New Roman" w:hAnsi="Times New Roman" w:cs="Times New Roman"/>
          <w:color w:val="000000"/>
          <w:sz w:val="20"/>
          <w:szCs w:val="20"/>
          <w:lang w:eastAsia="en-CA"/>
        </w:rPr>
        <w:t xml:space="preserve"> et al. (2006) </w:t>
      </w:r>
      <w:r w:rsidRPr="000634BE">
        <w:rPr>
          <w:rFonts w:ascii="Times New Roman" w:eastAsia="Times New Roman" w:hAnsi="Times New Roman" w:cs="Times New Roman"/>
          <w:noProof/>
          <w:color w:val="000000"/>
          <w:sz w:val="20"/>
          <w:szCs w:val="20"/>
          <w:vertAlign w:val="superscript"/>
          <w:lang w:eastAsia="en-CA"/>
        </w:rPr>
        <w:t>9</w:t>
      </w:r>
      <w:r w:rsidRPr="000634BE">
        <w:rPr>
          <w:rFonts w:ascii="Times New Roman" w:eastAsia="Times New Roman" w:hAnsi="Times New Roman" w:cs="Times New Roman"/>
          <w:color w:val="000000"/>
          <w:sz w:val="20"/>
          <w:szCs w:val="20"/>
          <w:lang w:eastAsia="en-CA"/>
        </w:rPr>
        <w:t xml:space="preserve"> and </w:t>
      </w:r>
      <w:proofErr w:type="spellStart"/>
      <w:r w:rsidRPr="000634BE">
        <w:rPr>
          <w:rFonts w:ascii="Times New Roman" w:eastAsia="Times New Roman" w:hAnsi="Times New Roman" w:cs="Times New Roman"/>
          <w:color w:val="000000"/>
          <w:sz w:val="20"/>
          <w:szCs w:val="20"/>
          <w:lang w:eastAsia="en-CA"/>
        </w:rPr>
        <w:t>Novaki</w:t>
      </w:r>
      <w:proofErr w:type="spellEnd"/>
      <w:r w:rsidRPr="000634BE">
        <w:rPr>
          <w:rFonts w:ascii="Times New Roman" w:eastAsia="Times New Roman" w:hAnsi="Times New Roman" w:cs="Times New Roman"/>
          <w:color w:val="000000"/>
          <w:sz w:val="20"/>
          <w:szCs w:val="20"/>
          <w:lang w:eastAsia="en-CA"/>
        </w:rPr>
        <w:t xml:space="preserve"> et al. </w:t>
      </w:r>
      <w:r w:rsidRPr="000634BE">
        <w:rPr>
          <w:rFonts w:ascii="Times New Roman" w:eastAsia="Times New Roman" w:hAnsi="Times New Roman" w:cs="Times New Roman"/>
          <w:color w:val="000000"/>
          <w:sz w:val="20"/>
          <w:szCs w:val="20"/>
          <w:lang w:val="en-CA" w:eastAsia="en-CA"/>
        </w:rPr>
        <w:t xml:space="preserve">(1995) </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xml:space="preserve"> have little data in common regarding casualty management at Keio University </w:t>
      </w:r>
      <w:r w:rsidRPr="000634BE">
        <w:rPr>
          <w:rFonts w:ascii="Times New Roman" w:eastAsia="Times New Roman" w:hAnsi="Times New Roman" w:cs="Times New Roman"/>
          <w:noProof/>
          <w:color w:val="000000"/>
          <w:sz w:val="20"/>
          <w:szCs w:val="20"/>
          <w:vertAlign w:val="superscript"/>
          <w:lang w:val="en-CA" w:eastAsia="en-CA"/>
        </w:rPr>
        <w:t>6,9</w:t>
      </w:r>
      <w:r w:rsidRPr="000634BE">
        <w:rPr>
          <w:rFonts w:ascii="Times New Roman" w:eastAsia="Times New Roman" w:hAnsi="Times New Roman" w:cs="Times New Roman"/>
          <w:color w:val="000000"/>
          <w:sz w:val="20"/>
          <w:szCs w:val="20"/>
          <w:lang w:val="en-CA" w:eastAsia="en-CA"/>
        </w:rPr>
        <w:t xml:space="preserve">. </w:t>
      </w:r>
      <w:proofErr w:type="spellStart"/>
      <w:r w:rsidRPr="000634BE">
        <w:rPr>
          <w:rFonts w:ascii="Times New Roman" w:hAnsi="Times New Roman" w:cs="Times New Roman"/>
          <w:sz w:val="20"/>
          <w:szCs w:val="20"/>
          <w:lang w:val="en-CA"/>
        </w:rPr>
        <w:t>Novaki</w:t>
      </w:r>
      <w:proofErr w:type="spellEnd"/>
      <w:r w:rsidRPr="000634BE">
        <w:rPr>
          <w:rFonts w:ascii="Times New Roman" w:hAnsi="Times New Roman" w:cs="Times New Roman"/>
          <w:sz w:val="20"/>
          <w:szCs w:val="20"/>
          <w:lang w:val="en-CA"/>
        </w:rPr>
        <w:t xml:space="preserve"> et al. (1995) reported </w:t>
      </w:r>
      <w:r w:rsidRPr="000634BE">
        <w:rPr>
          <w:rFonts w:ascii="Times New Roman" w:eastAsia="Times New Roman" w:hAnsi="Times New Roman" w:cs="Times New Roman"/>
          <w:color w:val="000000"/>
          <w:sz w:val="20"/>
          <w:szCs w:val="20"/>
          <w:lang w:val="en-CA" w:eastAsia="en-CA"/>
        </w:rPr>
        <w:t xml:space="preserve">medical staff treated 113 patients, 85 of which were managed on the day of the attacks </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xml:space="preserve">. The authors did not provide further information about the 28 remaining patients’ whereabouts and health conditions </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xml:space="preserve">. Also, as indicated by the authors’ method, 15 medical staff members were affected by contaminated patients </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xml:space="preserve">. Therefore, 100 individuals were confirmed as cases affected by sarin gas the day of the attack (i.e.: 85 confirmed patients +15 medical staff members = 100 confirmed cases) </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xml:space="preserve">. If the 28 cases where some uncertainty remains are added, the total would have been 128 affected individuals managed at Keio University the day of the attack </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xml:space="preserve">. However, the count of 85 casualties at Keio University </w:t>
      </w:r>
      <w:r w:rsidRPr="000634BE">
        <w:rPr>
          <w:rFonts w:ascii="Times New Roman" w:eastAsia="Times New Roman" w:hAnsi="Times New Roman" w:cs="Times New Roman"/>
          <w:noProof/>
          <w:color w:val="000000"/>
          <w:sz w:val="20"/>
          <w:szCs w:val="20"/>
          <w:vertAlign w:val="superscript"/>
          <w:lang w:val="en-CA" w:eastAsia="en-CA"/>
        </w:rPr>
        <w:t>6,9</w:t>
      </w:r>
      <w:r w:rsidRPr="000634BE">
        <w:rPr>
          <w:rFonts w:ascii="Times New Roman" w:eastAsia="Times New Roman" w:hAnsi="Times New Roman" w:cs="Times New Roman"/>
          <w:color w:val="000000"/>
          <w:sz w:val="20"/>
          <w:szCs w:val="20"/>
          <w:lang w:val="en-CA" w:eastAsia="en-CA"/>
        </w:rPr>
        <w:t xml:space="preserve"> appeared in both </w:t>
      </w:r>
      <w:r w:rsidRPr="000634BE">
        <w:rPr>
          <w:rFonts w:ascii="Times New Roman" w:eastAsia="Times New Roman" w:hAnsi="Times New Roman" w:cs="Times New Roman"/>
          <w:color w:val="000000"/>
          <w:sz w:val="20"/>
          <w:szCs w:val="20"/>
          <w:lang w:val="en-US" w:eastAsia="en-CA"/>
        </w:rPr>
        <w:t xml:space="preserve">Yanagisawa et al. </w:t>
      </w:r>
      <w:r w:rsidRPr="000634BE">
        <w:rPr>
          <w:rFonts w:ascii="Times New Roman" w:eastAsia="Times New Roman" w:hAnsi="Times New Roman" w:cs="Times New Roman"/>
          <w:color w:val="000000"/>
          <w:sz w:val="20"/>
          <w:szCs w:val="20"/>
          <w:lang w:val="en-CA" w:eastAsia="en-CA"/>
        </w:rPr>
        <w:t>(1995)</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and </w:t>
      </w:r>
      <w:proofErr w:type="spellStart"/>
      <w:r w:rsidRPr="000634BE">
        <w:rPr>
          <w:rFonts w:ascii="Times New Roman" w:eastAsia="Times New Roman" w:hAnsi="Times New Roman" w:cs="Times New Roman"/>
          <w:color w:val="000000"/>
          <w:sz w:val="20"/>
          <w:szCs w:val="20"/>
          <w:lang w:val="en-CA" w:eastAsia="en-CA"/>
        </w:rPr>
        <w:t>Novaki</w:t>
      </w:r>
      <w:proofErr w:type="spellEnd"/>
      <w:r w:rsidRPr="000634BE">
        <w:rPr>
          <w:rFonts w:ascii="Times New Roman" w:eastAsia="Times New Roman" w:hAnsi="Times New Roman" w:cs="Times New Roman"/>
          <w:color w:val="000000"/>
          <w:sz w:val="20"/>
          <w:szCs w:val="20"/>
          <w:lang w:val="en-CA" w:eastAsia="en-CA"/>
        </w:rPr>
        <w:t xml:space="preserve"> et al. (1995) </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xml:space="preserve">. Fifteen (15) medical members were reported by </w:t>
      </w:r>
      <w:proofErr w:type="spellStart"/>
      <w:r w:rsidRPr="000634BE">
        <w:rPr>
          <w:rFonts w:ascii="Times New Roman" w:eastAsia="Times New Roman" w:hAnsi="Times New Roman" w:cs="Times New Roman"/>
          <w:color w:val="000000"/>
          <w:sz w:val="20"/>
          <w:szCs w:val="20"/>
          <w:lang w:val="en-CA" w:eastAsia="en-CA"/>
        </w:rPr>
        <w:t>Novaki</w:t>
      </w:r>
      <w:proofErr w:type="spellEnd"/>
      <w:r w:rsidRPr="000634BE">
        <w:rPr>
          <w:rFonts w:ascii="Times New Roman" w:eastAsia="Times New Roman" w:hAnsi="Times New Roman" w:cs="Times New Roman"/>
          <w:color w:val="000000"/>
          <w:sz w:val="20"/>
          <w:szCs w:val="20"/>
          <w:lang w:val="en-CA" w:eastAsia="en-CA"/>
        </w:rPr>
        <w:t xml:space="preserve"> et al. (1995) as having been affected by sarin gas due to a secondary exposure resulting from the management of contaminated casualties </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xml:space="preserve">. </w:t>
      </w:r>
      <w:r w:rsidRPr="000634BE">
        <w:rPr>
          <w:rFonts w:ascii="Times New Roman" w:eastAsia="Times New Roman" w:hAnsi="Times New Roman" w:cs="Times New Roman"/>
          <w:color w:val="000000"/>
          <w:sz w:val="20"/>
          <w:szCs w:val="20"/>
          <w:lang w:val="en-US" w:eastAsia="en-CA"/>
        </w:rPr>
        <w:t xml:space="preserve">Yanagisawa et al. </w:t>
      </w:r>
      <w:r w:rsidRPr="000634BE">
        <w:rPr>
          <w:rFonts w:ascii="Times New Roman" w:eastAsia="Times New Roman" w:hAnsi="Times New Roman" w:cs="Times New Roman"/>
          <w:color w:val="000000"/>
          <w:sz w:val="20"/>
          <w:szCs w:val="20"/>
          <w:lang w:val="en-CA" w:eastAsia="en-CA"/>
        </w:rPr>
        <w:t xml:space="preserve">(1995) reported a similar number (15) related to admitted patients </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but the authors presented no reference for that data </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w:t>
      </w:r>
      <w:proofErr w:type="spellStart"/>
      <w:r w:rsidRPr="000634BE">
        <w:rPr>
          <w:rFonts w:ascii="Times New Roman" w:eastAsia="Times New Roman" w:hAnsi="Times New Roman" w:cs="Times New Roman"/>
          <w:color w:val="000000"/>
          <w:sz w:val="20"/>
          <w:szCs w:val="20"/>
          <w:lang w:val="en-CA" w:eastAsia="en-CA"/>
        </w:rPr>
        <w:t>Novaki</w:t>
      </w:r>
      <w:proofErr w:type="spellEnd"/>
      <w:r w:rsidRPr="000634BE">
        <w:rPr>
          <w:rFonts w:ascii="Times New Roman" w:eastAsia="Times New Roman" w:hAnsi="Times New Roman" w:cs="Times New Roman"/>
          <w:color w:val="000000"/>
          <w:sz w:val="20"/>
          <w:szCs w:val="20"/>
          <w:lang w:val="en-CA" w:eastAsia="en-CA"/>
        </w:rPr>
        <w:t xml:space="preserve"> et al. (1995) also reported 15 exposed patients admitted at Keio </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xml:space="preserve">. As this was supported by a reference (Suzuki et. al (1995) </w:t>
      </w:r>
      <w:r w:rsidRPr="000634BE">
        <w:rPr>
          <w:rFonts w:ascii="Times New Roman" w:eastAsia="Times New Roman" w:hAnsi="Times New Roman" w:cs="Times New Roman"/>
          <w:noProof/>
          <w:color w:val="000000"/>
          <w:sz w:val="20"/>
          <w:szCs w:val="20"/>
          <w:vertAlign w:val="superscript"/>
          <w:lang w:val="en-CA" w:eastAsia="en-CA"/>
        </w:rPr>
        <w:t>10</w:t>
      </w:r>
      <w:r w:rsidRPr="000634BE">
        <w:rPr>
          <w:rFonts w:ascii="Times New Roman" w:eastAsia="Times New Roman" w:hAnsi="Times New Roman" w:cs="Times New Roman"/>
          <w:color w:val="000000"/>
          <w:sz w:val="20"/>
          <w:szCs w:val="20"/>
          <w:lang w:val="en-CA" w:eastAsia="en-CA"/>
        </w:rPr>
        <w:t xml:space="preserve">), these cases were thereafter not considered as relating to medical staff members </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Both studies (</w:t>
      </w:r>
      <w:proofErr w:type="spellStart"/>
      <w:r w:rsidRPr="000634BE">
        <w:rPr>
          <w:rFonts w:ascii="Times New Roman" w:eastAsia="Times New Roman" w:hAnsi="Times New Roman" w:cs="Times New Roman"/>
          <w:color w:val="000000"/>
          <w:sz w:val="20"/>
          <w:szCs w:val="20"/>
          <w:lang w:val="en-CA" w:eastAsia="en-CA"/>
        </w:rPr>
        <w:t>Novaki</w:t>
      </w:r>
      <w:proofErr w:type="spellEnd"/>
      <w:r w:rsidRPr="000634BE">
        <w:rPr>
          <w:rFonts w:ascii="Times New Roman" w:eastAsia="Times New Roman" w:hAnsi="Times New Roman" w:cs="Times New Roman"/>
          <w:color w:val="000000"/>
          <w:sz w:val="20"/>
          <w:szCs w:val="20"/>
          <w:lang w:val="en-CA" w:eastAsia="en-CA"/>
        </w:rPr>
        <w:t xml:space="preserve"> et al. (1995); </w:t>
      </w:r>
      <w:r w:rsidRPr="000634BE">
        <w:rPr>
          <w:rFonts w:ascii="Times New Roman" w:eastAsia="Times New Roman" w:hAnsi="Times New Roman" w:cs="Times New Roman"/>
          <w:color w:val="000000"/>
          <w:sz w:val="20"/>
          <w:szCs w:val="20"/>
          <w:lang w:val="en-US" w:eastAsia="en-CA"/>
        </w:rPr>
        <w:t xml:space="preserve">Yanagisawa et al. </w:t>
      </w:r>
      <w:r w:rsidRPr="000634BE">
        <w:rPr>
          <w:rFonts w:ascii="Times New Roman" w:eastAsia="Times New Roman" w:hAnsi="Times New Roman" w:cs="Times New Roman"/>
          <w:color w:val="000000"/>
          <w:sz w:val="20"/>
          <w:szCs w:val="20"/>
          <w:lang w:val="en-CA" w:eastAsia="en-CA"/>
        </w:rPr>
        <w:t>(2006)) were, therefore, not presenting duplicate data on affected medical members</w:t>
      </w:r>
      <w:r w:rsidRPr="000634BE">
        <w:rPr>
          <w:rFonts w:ascii="Times New Roman" w:eastAsia="Times New Roman" w:hAnsi="Times New Roman" w:cs="Times New Roman"/>
          <w:noProof/>
          <w:color w:val="000000"/>
          <w:sz w:val="20"/>
          <w:szCs w:val="20"/>
          <w:vertAlign w:val="superscript"/>
          <w:lang w:val="en-CA" w:eastAsia="en-CA"/>
        </w:rPr>
        <w:t>6,9</w:t>
      </w:r>
      <w:r w:rsidRPr="000634BE">
        <w:rPr>
          <w:rFonts w:ascii="Times New Roman" w:eastAsia="Times New Roman" w:hAnsi="Times New Roman" w:cs="Times New Roman"/>
          <w:color w:val="000000"/>
          <w:sz w:val="20"/>
          <w:szCs w:val="20"/>
          <w:lang w:val="en-CA" w:eastAsia="en-CA"/>
        </w:rPr>
        <w:t xml:space="preserve">. </w:t>
      </w:r>
      <w:r w:rsidRPr="000634BE">
        <w:rPr>
          <w:rFonts w:ascii="Times New Roman" w:eastAsia="Times New Roman" w:hAnsi="Times New Roman" w:cs="Times New Roman"/>
          <w:color w:val="000000"/>
          <w:sz w:val="20"/>
          <w:szCs w:val="20"/>
          <w:lang w:val="en-US" w:eastAsia="en-CA"/>
        </w:rPr>
        <w:t xml:space="preserve">Yanagisawa et al. </w:t>
      </w:r>
      <w:r w:rsidRPr="000634BE">
        <w:rPr>
          <w:rFonts w:ascii="Times New Roman" w:eastAsia="Times New Roman" w:hAnsi="Times New Roman" w:cs="Times New Roman"/>
          <w:color w:val="000000"/>
          <w:sz w:val="20"/>
          <w:szCs w:val="20"/>
          <w:lang w:val="en-CA" w:eastAsia="en-CA"/>
        </w:rPr>
        <w:t xml:space="preserve">(2006) also reported an additional case dead on arrival at Keio </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Therefore, the confirmed cases managed count at Keio was 101 rather than 100. </w:t>
      </w:r>
    </w:p>
    <w:p w14:paraId="4A987FC8" w14:textId="77777777" w:rsidR="00705631" w:rsidRPr="000634BE" w:rsidRDefault="00705631" w:rsidP="000634BE">
      <w:pPr>
        <w:spacing w:after="0" w:line="240" w:lineRule="auto"/>
        <w:rPr>
          <w:rFonts w:ascii="Times New Roman" w:eastAsia="Times New Roman" w:hAnsi="Times New Roman" w:cs="Times New Roman"/>
          <w:b/>
          <w:bCs/>
          <w:color w:val="000000"/>
          <w:sz w:val="20"/>
          <w:szCs w:val="20"/>
          <w:lang w:val="en-CA" w:eastAsia="en-CA"/>
        </w:rPr>
      </w:pPr>
    </w:p>
    <w:p w14:paraId="576AFFFC" w14:textId="77777777" w:rsidR="00705631" w:rsidRPr="000634BE" w:rsidRDefault="00705631" w:rsidP="000634BE">
      <w:pPr>
        <w:spacing w:after="0" w:line="240" w:lineRule="auto"/>
        <w:rPr>
          <w:rFonts w:ascii="Times New Roman" w:eastAsia="Times New Roman" w:hAnsi="Times New Roman" w:cs="Times New Roman"/>
          <w:color w:val="000000"/>
          <w:sz w:val="20"/>
          <w:szCs w:val="20"/>
          <w:lang w:val="en-CA" w:eastAsia="en-CA"/>
        </w:rPr>
      </w:pPr>
      <w:r w:rsidRPr="000634BE">
        <w:rPr>
          <w:rFonts w:ascii="Times New Roman" w:eastAsia="Times New Roman" w:hAnsi="Times New Roman" w:cs="Times New Roman"/>
          <w:b/>
          <w:bCs/>
          <w:color w:val="000000"/>
          <w:sz w:val="20"/>
          <w:szCs w:val="20"/>
          <w:vertAlign w:val="superscript"/>
          <w:lang w:val="en-US" w:eastAsia="en-CA"/>
        </w:rPr>
        <w:t xml:space="preserve">! </w:t>
      </w:r>
      <w:r w:rsidRPr="000634BE">
        <w:rPr>
          <w:rFonts w:ascii="Times New Roman" w:eastAsia="Times New Roman" w:hAnsi="Times New Roman" w:cs="Times New Roman"/>
          <w:color w:val="000000"/>
          <w:sz w:val="20"/>
          <w:szCs w:val="20"/>
          <w:lang w:val="en-US" w:eastAsia="en-CA"/>
        </w:rPr>
        <w:t xml:space="preserve">Yanagisawa et al. </w:t>
      </w:r>
      <w:r w:rsidRPr="000634BE">
        <w:rPr>
          <w:rFonts w:ascii="Times New Roman" w:eastAsia="Times New Roman" w:hAnsi="Times New Roman" w:cs="Times New Roman"/>
          <w:color w:val="000000"/>
          <w:sz w:val="20"/>
          <w:szCs w:val="20"/>
          <w:lang w:val="en-CA" w:eastAsia="en-CA"/>
        </w:rPr>
        <w:t xml:space="preserve">(2006) </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have little data in common with </w:t>
      </w:r>
      <w:proofErr w:type="spellStart"/>
      <w:r w:rsidRPr="000634BE">
        <w:rPr>
          <w:rFonts w:ascii="Times New Roman" w:eastAsia="Times New Roman" w:hAnsi="Times New Roman" w:cs="Times New Roman"/>
          <w:color w:val="000000"/>
          <w:sz w:val="20"/>
          <w:szCs w:val="20"/>
          <w:lang w:val="en-CA" w:eastAsia="en-CA"/>
        </w:rPr>
        <w:t>Okumara</w:t>
      </w:r>
      <w:proofErr w:type="spellEnd"/>
      <w:r w:rsidRPr="000634BE">
        <w:rPr>
          <w:rFonts w:ascii="Times New Roman" w:eastAsia="Times New Roman" w:hAnsi="Times New Roman" w:cs="Times New Roman"/>
          <w:color w:val="000000"/>
          <w:sz w:val="20"/>
          <w:szCs w:val="20"/>
          <w:lang w:val="en-CA" w:eastAsia="en-CA"/>
        </w:rPr>
        <w:t xml:space="preserve"> et al. (1996) </w:t>
      </w:r>
      <w:r w:rsidRPr="000634BE">
        <w:rPr>
          <w:rFonts w:ascii="Times New Roman" w:eastAsia="Times New Roman" w:hAnsi="Times New Roman" w:cs="Times New Roman"/>
          <w:noProof/>
          <w:color w:val="000000"/>
          <w:sz w:val="20"/>
          <w:szCs w:val="20"/>
          <w:vertAlign w:val="superscript"/>
          <w:lang w:val="en-CA" w:eastAsia="en-CA"/>
        </w:rPr>
        <w:t>7</w:t>
      </w:r>
      <w:r w:rsidRPr="000634BE">
        <w:rPr>
          <w:rFonts w:ascii="Times New Roman" w:eastAsia="Times New Roman" w:hAnsi="Times New Roman" w:cs="Times New Roman"/>
          <w:color w:val="000000"/>
          <w:sz w:val="20"/>
          <w:szCs w:val="20"/>
          <w:lang w:val="en-CA" w:eastAsia="en-CA"/>
        </w:rPr>
        <w:t xml:space="preserve"> regarding casualty management at St. Luke’s </w:t>
      </w:r>
      <w:r w:rsidRPr="000634BE">
        <w:rPr>
          <w:rFonts w:ascii="Times New Roman" w:eastAsia="Times New Roman" w:hAnsi="Times New Roman" w:cs="Times New Roman"/>
          <w:noProof/>
          <w:color w:val="000000"/>
          <w:sz w:val="20"/>
          <w:szCs w:val="20"/>
          <w:vertAlign w:val="superscript"/>
          <w:lang w:val="en-CA" w:eastAsia="en-CA"/>
        </w:rPr>
        <w:t>7,9</w:t>
      </w:r>
      <w:r w:rsidRPr="000634BE">
        <w:rPr>
          <w:rFonts w:ascii="Times New Roman" w:eastAsia="Times New Roman" w:hAnsi="Times New Roman" w:cs="Times New Roman"/>
          <w:color w:val="000000"/>
          <w:sz w:val="20"/>
          <w:szCs w:val="20"/>
          <w:lang w:val="en-CA" w:eastAsia="en-CA"/>
        </w:rPr>
        <w:t xml:space="preserve">. These shared data figures were the total number of casualties managed at St. Luke’s, which was 640 individuals the day of the attack </w:t>
      </w:r>
      <w:r w:rsidRPr="000634BE">
        <w:rPr>
          <w:rFonts w:ascii="Times New Roman" w:eastAsia="Times New Roman" w:hAnsi="Times New Roman" w:cs="Times New Roman"/>
          <w:noProof/>
          <w:color w:val="000000"/>
          <w:sz w:val="20"/>
          <w:szCs w:val="20"/>
          <w:vertAlign w:val="superscript"/>
          <w:lang w:val="en-CA" w:eastAsia="en-CA"/>
        </w:rPr>
        <w:t>7,9</w:t>
      </w:r>
      <w:r w:rsidRPr="000634BE">
        <w:rPr>
          <w:rFonts w:ascii="Times New Roman" w:eastAsia="Times New Roman" w:hAnsi="Times New Roman" w:cs="Times New Roman"/>
          <w:color w:val="000000"/>
          <w:sz w:val="20"/>
          <w:szCs w:val="20"/>
          <w:lang w:val="en-CA" w:eastAsia="en-CA"/>
        </w:rPr>
        <w:t xml:space="preserve">. </w:t>
      </w:r>
      <w:r w:rsidRPr="000634BE">
        <w:rPr>
          <w:rFonts w:ascii="Times New Roman" w:hAnsi="Times New Roman" w:cs="Times New Roman"/>
          <w:sz w:val="20"/>
          <w:szCs w:val="20"/>
          <w:lang w:val="en-CA"/>
        </w:rPr>
        <w:t xml:space="preserve">In Okumura et al. (1996), the two women that died as a result of the attack were included in the 640 managed victims </w:t>
      </w:r>
      <w:r w:rsidRPr="000634BE">
        <w:rPr>
          <w:rFonts w:ascii="Times New Roman" w:hAnsi="Times New Roman" w:cs="Times New Roman"/>
          <w:noProof/>
          <w:sz w:val="20"/>
          <w:szCs w:val="20"/>
          <w:vertAlign w:val="superscript"/>
          <w:lang w:val="en-CA"/>
        </w:rPr>
        <w:t>7</w:t>
      </w:r>
      <w:r w:rsidRPr="000634BE">
        <w:rPr>
          <w:rFonts w:ascii="Times New Roman" w:hAnsi="Times New Roman" w:cs="Times New Roman"/>
          <w:sz w:val="20"/>
          <w:szCs w:val="20"/>
          <w:lang w:val="en-CA"/>
        </w:rPr>
        <w:t xml:space="preserve">. One died at her arrival at St. Luke’s while the other passed away 28 days after the chemical attack </w:t>
      </w:r>
      <w:r w:rsidRPr="000634BE">
        <w:rPr>
          <w:rFonts w:ascii="Times New Roman" w:hAnsi="Times New Roman" w:cs="Times New Roman"/>
          <w:noProof/>
          <w:sz w:val="20"/>
          <w:szCs w:val="20"/>
          <w:vertAlign w:val="superscript"/>
          <w:lang w:val="en-CA"/>
        </w:rPr>
        <w:t>7</w:t>
      </w:r>
      <w:r w:rsidRPr="000634BE">
        <w:rPr>
          <w:rFonts w:ascii="Times New Roman" w:hAnsi="Times New Roman" w:cs="Times New Roman"/>
          <w:sz w:val="20"/>
          <w:szCs w:val="20"/>
          <w:lang w:val="en-CA"/>
        </w:rPr>
        <w:t xml:space="preserve">. </w:t>
      </w:r>
      <w:r w:rsidRPr="000634BE">
        <w:rPr>
          <w:rFonts w:ascii="Times New Roman" w:eastAsia="Times New Roman" w:hAnsi="Times New Roman" w:cs="Times New Roman"/>
          <w:color w:val="000000"/>
          <w:sz w:val="20"/>
          <w:szCs w:val="20"/>
          <w:lang w:val="en-US" w:eastAsia="en-CA"/>
        </w:rPr>
        <w:t xml:space="preserve">Yanagisawa et al. </w:t>
      </w:r>
      <w:r w:rsidRPr="000634BE">
        <w:rPr>
          <w:rFonts w:ascii="Times New Roman" w:eastAsia="Times New Roman" w:hAnsi="Times New Roman" w:cs="Times New Roman"/>
          <w:color w:val="000000"/>
          <w:sz w:val="20"/>
          <w:szCs w:val="20"/>
          <w:lang w:val="en-CA" w:eastAsia="en-CA"/>
        </w:rPr>
        <w:t xml:space="preserve">(2006) reported the same information concerning the deceased women </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w:t>
      </w:r>
      <w:r w:rsidRPr="000634BE">
        <w:rPr>
          <w:rFonts w:ascii="Times New Roman" w:eastAsia="Times New Roman" w:hAnsi="Times New Roman" w:cs="Times New Roman"/>
          <w:color w:val="000000"/>
          <w:sz w:val="20"/>
          <w:szCs w:val="20"/>
          <w:lang w:val="en-US" w:eastAsia="en-CA"/>
        </w:rPr>
        <w:t xml:space="preserve">Yanagisawa et al. </w:t>
      </w:r>
      <w:r w:rsidRPr="000634BE">
        <w:rPr>
          <w:rFonts w:ascii="Times New Roman" w:eastAsia="Times New Roman" w:hAnsi="Times New Roman" w:cs="Times New Roman"/>
          <w:color w:val="000000"/>
          <w:sz w:val="20"/>
          <w:szCs w:val="20"/>
          <w:lang w:val="en-CA" w:eastAsia="en-CA"/>
        </w:rPr>
        <w:t xml:space="preserve">(2006) also reported that 110 St. Luke’s medical staff were injured while treating 472 contaminated patients </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Therefore, on the day of the attack, the confirmed number of cases managed by St. Luke’s was 1 dead and 749 affected (639 patients and 110 medical staff members), for a total of 750 cases </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w:t>
      </w:r>
      <w:r w:rsidRPr="000634BE">
        <w:rPr>
          <w:rFonts w:ascii="Times New Roman" w:eastAsia="Times New Roman" w:hAnsi="Times New Roman" w:cs="Times New Roman"/>
          <w:sz w:val="20"/>
          <w:szCs w:val="20"/>
          <w:lang w:val="en-CA" w:eastAsia="en-CA"/>
        </w:rPr>
        <w:t xml:space="preserve">In order to avoid duplicate data, only statistics from </w:t>
      </w:r>
      <w:r w:rsidRPr="000634BE">
        <w:rPr>
          <w:rFonts w:ascii="Times New Roman" w:eastAsia="Times New Roman" w:hAnsi="Times New Roman" w:cs="Times New Roman"/>
          <w:sz w:val="20"/>
          <w:szCs w:val="20"/>
          <w:lang w:val="en-US" w:eastAsia="en-CA"/>
        </w:rPr>
        <w:t xml:space="preserve">Yanagisawa et al. </w:t>
      </w:r>
      <w:r w:rsidRPr="000634BE">
        <w:rPr>
          <w:rFonts w:ascii="Times New Roman" w:eastAsia="Times New Roman" w:hAnsi="Times New Roman" w:cs="Times New Roman"/>
          <w:sz w:val="20"/>
          <w:szCs w:val="20"/>
          <w:lang w:val="en-CA" w:eastAsia="en-CA"/>
        </w:rPr>
        <w:t xml:space="preserve">(2006) were considered to arrive at the estimated grand total of confirmed cases managed at St. Luke’s </w:t>
      </w:r>
      <w:r w:rsidRPr="000634BE">
        <w:rPr>
          <w:rFonts w:ascii="Times New Roman" w:eastAsia="Times New Roman" w:hAnsi="Times New Roman" w:cs="Times New Roman"/>
          <w:noProof/>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w:t>
      </w:r>
    </w:p>
    <w:p w14:paraId="3EEB48B4" w14:textId="77777777" w:rsidR="00705631" w:rsidRPr="000634BE" w:rsidRDefault="00705631" w:rsidP="000634BE">
      <w:pPr>
        <w:spacing w:after="0" w:line="240" w:lineRule="auto"/>
        <w:rPr>
          <w:rFonts w:ascii="Times New Roman" w:eastAsia="Times New Roman" w:hAnsi="Times New Roman" w:cs="Times New Roman"/>
          <w:b/>
          <w:bCs/>
          <w:color w:val="000000"/>
          <w:sz w:val="20"/>
          <w:szCs w:val="20"/>
          <w:lang w:val="en-CA" w:eastAsia="en-CA"/>
        </w:rPr>
      </w:pPr>
    </w:p>
    <w:p w14:paraId="6350F948" w14:textId="77777777" w:rsidR="00705631" w:rsidRPr="000634BE" w:rsidRDefault="00705631" w:rsidP="000634BE">
      <w:pPr>
        <w:spacing w:after="0" w:line="240" w:lineRule="auto"/>
        <w:rPr>
          <w:rFonts w:ascii="Times New Roman" w:eastAsia="Times New Roman" w:hAnsi="Times New Roman" w:cs="Times New Roman"/>
          <w:b/>
          <w:bCs/>
          <w:color w:val="000000"/>
          <w:sz w:val="20"/>
          <w:szCs w:val="20"/>
          <w:lang w:val="en-CA" w:eastAsia="en-CA"/>
        </w:rPr>
      </w:pPr>
      <w:r w:rsidRPr="000634BE">
        <w:rPr>
          <w:rFonts w:ascii="Times New Roman" w:eastAsia="Times New Roman" w:hAnsi="Times New Roman" w:cs="Times New Roman"/>
          <w:b/>
          <w:bCs/>
          <w:color w:val="000000"/>
          <w:sz w:val="20"/>
          <w:szCs w:val="20"/>
          <w:vertAlign w:val="superscript"/>
          <w:lang w:val="en-CA" w:eastAsia="en-CA"/>
        </w:rPr>
        <w:t>‡</w:t>
      </w:r>
      <w:r w:rsidRPr="000634BE">
        <w:rPr>
          <w:rFonts w:ascii="Times New Roman" w:eastAsia="Times New Roman" w:hAnsi="Times New Roman" w:cs="Times New Roman"/>
          <w:b/>
          <w:bCs/>
          <w:color w:val="000000"/>
          <w:sz w:val="20"/>
          <w:szCs w:val="20"/>
          <w:lang w:val="en-CA" w:eastAsia="en-CA"/>
        </w:rPr>
        <w:t xml:space="preserve"> </w:t>
      </w:r>
      <w:r w:rsidRPr="000634BE">
        <w:rPr>
          <w:rFonts w:ascii="Times New Roman" w:eastAsia="Times New Roman" w:hAnsi="Times New Roman" w:cs="Times New Roman"/>
          <w:color w:val="000000"/>
          <w:sz w:val="20"/>
          <w:szCs w:val="20"/>
          <w:lang w:val="en-CA" w:eastAsia="en-CA"/>
        </w:rPr>
        <w:t xml:space="preserve">The calculation for the confirmed number of cases managed in the Tokyo area the day of the attack was the sum of cases at the St. Luke’s, Keio and </w:t>
      </w:r>
      <w:proofErr w:type="spellStart"/>
      <w:r w:rsidRPr="000634BE">
        <w:rPr>
          <w:rFonts w:ascii="Times New Roman" w:eastAsia="Times New Roman" w:hAnsi="Times New Roman" w:cs="Times New Roman"/>
          <w:color w:val="000000"/>
          <w:sz w:val="20"/>
          <w:szCs w:val="20"/>
          <w:lang w:val="en-CA" w:eastAsia="en-CA"/>
        </w:rPr>
        <w:t>Teishin</w:t>
      </w:r>
      <w:proofErr w:type="spellEnd"/>
      <w:r w:rsidRPr="000634BE">
        <w:rPr>
          <w:rFonts w:ascii="Times New Roman" w:eastAsia="Times New Roman" w:hAnsi="Times New Roman" w:cs="Times New Roman"/>
          <w:color w:val="000000"/>
          <w:sz w:val="20"/>
          <w:szCs w:val="20"/>
          <w:lang w:val="en-CA" w:eastAsia="en-CA"/>
        </w:rPr>
        <w:t xml:space="preserve"> medical facilities. In addition, </w:t>
      </w:r>
      <w:r w:rsidRPr="000634BE">
        <w:rPr>
          <w:rFonts w:ascii="Times New Roman" w:eastAsia="Times New Roman" w:hAnsi="Times New Roman" w:cs="Times New Roman"/>
          <w:color w:val="000000"/>
          <w:sz w:val="20"/>
          <w:szCs w:val="20"/>
          <w:lang w:val="en-US" w:eastAsia="en-CA"/>
        </w:rPr>
        <w:t xml:space="preserve">Yanagisawa et al. </w:t>
      </w:r>
      <w:r w:rsidRPr="000634BE">
        <w:rPr>
          <w:rFonts w:ascii="Times New Roman" w:eastAsia="Times New Roman" w:hAnsi="Times New Roman" w:cs="Times New Roman"/>
          <w:color w:val="000000"/>
          <w:sz w:val="20"/>
          <w:szCs w:val="20"/>
          <w:lang w:val="en-CA" w:eastAsia="en-CA"/>
        </w:rPr>
        <w:t xml:space="preserve">(2006) reported two (2) dead at the Tokyo train station </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color w:val="000000"/>
          <w:sz w:val="20"/>
          <w:szCs w:val="20"/>
          <w:lang w:val="en-CA" w:eastAsia="en-CA"/>
        </w:rPr>
        <w:t xml:space="preserve">. Based on the above information, duplication was prevented by excluding the 640 cases from </w:t>
      </w:r>
      <w:proofErr w:type="spellStart"/>
      <w:r w:rsidRPr="000634BE">
        <w:rPr>
          <w:rFonts w:ascii="Times New Roman" w:eastAsia="Times New Roman" w:hAnsi="Times New Roman" w:cs="Times New Roman"/>
          <w:color w:val="000000"/>
          <w:sz w:val="20"/>
          <w:szCs w:val="20"/>
          <w:lang w:val="en-CA" w:eastAsia="en-CA"/>
        </w:rPr>
        <w:t>Okumara</w:t>
      </w:r>
      <w:proofErr w:type="spellEnd"/>
      <w:r w:rsidRPr="000634BE">
        <w:rPr>
          <w:rFonts w:ascii="Times New Roman" w:eastAsia="Times New Roman" w:hAnsi="Times New Roman" w:cs="Times New Roman"/>
          <w:color w:val="000000"/>
          <w:sz w:val="20"/>
          <w:szCs w:val="20"/>
          <w:lang w:val="en-CA" w:eastAsia="en-CA"/>
        </w:rPr>
        <w:t xml:space="preserve"> and al. (1996) </w:t>
      </w:r>
      <w:r w:rsidRPr="000634BE">
        <w:rPr>
          <w:rFonts w:ascii="Times New Roman" w:eastAsia="Times New Roman" w:hAnsi="Times New Roman" w:cs="Times New Roman"/>
          <w:noProof/>
          <w:color w:val="000000"/>
          <w:sz w:val="20"/>
          <w:szCs w:val="20"/>
          <w:vertAlign w:val="superscript"/>
          <w:lang w:val="en-CA" w:eastAsia="en-CA"/>
        </w:rPr>
        <w:t>7</w:t>
      </w:r>
      <w:r w:rsidRPr="000634BE">
        <w:rPr>
          <w:rFonts w:ascii="Times New Roman" w:eastAsia="Times New Roman" w:hAnsi="Times New Roman" w:cs="Times New Roman"/>
          <w:color w:val="000000"/>
          <w:sz w:val="20"/>
          <w:szCs w:val="20"/>
          <w:lang w:val="en-CA" w:eastAsia="en-CA"/>
        </w:rPr>
        <w:t xml:space="preserve"> and keeping those of Nozaki and al. (1995) only for their values concerning the medical staff affected and the one death </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Thus, the grand total of confirmed cases managed in the Tokyo area was 924 (15 medical staff members (Keio; Nozaki and al. (1995)</w:t>
      </w:r>
      <w:r w:rsidRPr="000634BE">
        <w:rPr>
          <w:rFonts w:ascii="Times New Roman" w:eastAsia="Times New Roman" w:hAnsi="Times New Roman" w:cs="Times New Roman"/>
          <w:noProof/>
          <w:color w:val="000000"/>
          <w:sz w:val="20"/>
          <w:szCs w:val="20"/>
          <w:vertAlign w:val="superscript"/>
          <w:lang w:val="en-CA" w:eastAsia="en-CA"/>
        </w:rPr>
        <w:t>6</w:t>
      </w:r>
      <w:r w:rsidRPr="000634BE">
        <w:rPr>
          <w:rFonts w:ascii="Times New Roman" w:eastAsia="Times New Roman" w:hAnsi="Times New Roman" w:cs="Times New Roman"/>
          <w:color w:val="000000"/>
          <w:sz w:val="20"/>
          <w:szCs w:val="20"/>
          <w:lang w:val="en-CA" w:eastAsia="en-CA"/>
        </w:rPr>
        <w:t xml:space="preserve">) </w:t>
      </w:r>
      <w:r w:rsidRPr="000634BE">
        <w:rPr>
          <w:rFonts w:ascii="Times New Roman" w:eastAsia="Times New Roman" w:hAnsi="Times New Roman" w:cs="Times New Roman"/>
          <w:b/>
          <w:color w:val="000000"/>
          <w:sz w:val="20"/>
          <w:szCs w:val="20"/>
          <w:lang w:val="en-CA" w:eastAsia="en-CA"/>
        </w:rPr>
        <w:t>plus</w:t>
      </w:r>
      <w:r w:rsidRPr="000634BE">
        <w:rPr>
          <w:rFonts w:ascii="Times New Roman" w:eastAsia="Times New Roman" w:hAnsi="Times New Roman" w:cs="Times New Roman"/>
          <w:color w:val="000000"/>
          <w:sz w:val="20"/>
          <w:szCs w:val="20"/>
          <w:lang w:val="en-CA" w:eastAsia="en-CA"/>
        </w:rPr>
        <w:t xml:space="preserve"> 909 remaining victims (</w:t>
      </w:r>
      <w:r w:rsidRPr="000634BE">
        <w:rPr>
          <w:rFonts w:ascii="Times New Roman" w:eastAsia="Times New Roman" w:hAnsi="Times New Roman" w:cs="Times New Roman"/>
          <w:color w:val="000000"/>
          <w:sz w:val="20"/>
          <w:szCs w:val="20"/>
          <w:lang w:val="en-US" w:eastAsia="en-CA"/>
        </w:rPr>
        <w:t xml:space="preserve">Yanagisawa et al. </w:t>
      </w:r>
      <w:r w:rsidRPr="000634BE">
        <w:rPr>
          <w:rFonts w:ascii="Times New Roman" w:eastAsia="Times New Roman" w:hAnsi="Times New Roman" w:cs="Times New Roman"/>
          <w:color w:val="000000"/>
          <w:sz w:val="20"/>
          <w:szCs w:val="20"/>
          <w:lang w:val="en-CA" w:eastAsia="en-CA"/>
        </w:rPr>
        <w:t xml:space="preserve">(2006): </w:t>
      </w:r>
      <w:proofErr w:type="spellStart"/>
      <w:r w:rsidRPr="000634BE">
        <w:rPr>
          <w:rFonts w:ascii="Times New Roman" w:eastAsia="Times New Roman" w:hAnsi="Times New Roman" w:cs="Times New Roman"/>
          <w:color w:val="000000"/>
          <w:sz w:val="20"/>
          <w:szCs w:val="20"/>
          <w:lang w:val="en-CA" w:eastAsia="en-CA"/>
        </w:rPr>
        <w:t>i</w:t>
      </w:r>
      <w:proofErr w:type="spellEnd"/>
      <w:r w:rsidRPr="000634BE">
        <w:rPr>
          <w:rFonts w:ascii="Times New Roman" w:eastAsia="Times New Roman" w:hAnsi="Times New Roman" w:cs="Times New Roman"/>
          <w:color w:val="000000"/>
          <w:sz w:val="20"/>
          <w:szCs w:val="20"/>
          <w:lang w:val="en-CA" w:eastAsia="en-CA"/>
        </w:rPr>
        <w:t>. St. Luke’s Hospital: 750 (</w:t>
      </w:r>
      <w:r w:rsidRPr="000634BE">
        <w:rPr>
          <w:rFonts w:ascii="Times New Roman" w:eastAsia="Times New Roman" w:hAnsi="Times New Roman" w:cs="Times New Roman"/>
          <w:sz w:val="20"/>
          <w:szCs w:val="20"/>
          <w:lang w:val="en-CA" w:eastAsia="en-CA"/>
        </w:rPr>
        <w:t>1 dead and 749 affected individuals (639 patients and 110 medical staff members))</w:t>
      </w:r>
      <w:r w:rsidRPr="000634BE">
        <w:rPr>
          <w:rFonts w:ascii="Times New Roman" w:eastAsia="Times New Roman" w:hAnsi="Times New Roman" w:cs="Times New Roman"/>
          <w:color w:val="000000"/>
          <w:sz w:val="20"/>
          <w:szCs w:val="20"/>
          <w:lang w:val="en-CA" w:eastAsia="en-CA"/>
        </w:rPr>
        <w:t xml:space="preserve">; ii. Keio University: 85 patients and one (1) dead; iii. </w:t>
      </w:r>
      <w:proofErr w:type="spellStart"/>
      <w:r w:rsidRPr="000634BE">
        <w:rPr>
          <w:rFonts w:ascii="Times New Roman" w:eastAsia="Times New Roman" w:hAnsi="Times New Roman" w:cs="Times New Roman"/>
          <w:color w:val="000000"/>
          <w:sz w:val="20"/>
          <w:szCs w:val="20"/>
          <w:lang w:val="en-CA" w:eastAsia="en-CA"/>
        </w:rPr>
        <w:t>Teishin</w:t>
      </w:r>
      <w:proofErr w:type="spellEnd"/>
      <w:r w:rsidRPr="000634BE">
        <w:rPr>
          <w:rFonts w:ascii="Times New Roman" w:eastAsia="Times New Roman" w:hAnsi="Times New Roman" w:cs="Times New Roman"/>
          <w:color w:val="000000"/>
          <w:sz w:val="20"/>
          <w:szCs w:val="20"/>
          <w:lang w:val="en-CA" w:eastAsia="en-CA"/>
        </w:rPr>
        <w:t xml:space="preserve"> Hospital: 32 patients and 39 rescuer staff; iv. Subway station: 2 dead) </w:t>
      </w:r>
      <w:r w:rsidRPr="000634BE">
        <w:rPr>
          <w:rFonts w:ascii="Times New Roman" w:eastAsia="Times New Roman" w:hAnsi="Times New Roman" w:cs="Times New Roman"/>
          <w:noProof/>
          <w:color w:val="000000"/>
          <w:sz w:val="20"/>
          <w:szCs w:val="20"/>
          <w:vertAlign w:val="superscript"/>
          <w:lang w:val="en-CA" w:eastAsia="en-CA"/>
        </w:rPr>
        <w:t>9</w:t>
      </w:r>
      <w:r w:rsidRPr="000634BE">
        <w:rPr>
          <w:rFonts w:ascii="Times New Roman" w:eastAsia="Times New Roman" w:hAnsi="Times New Roman" w:cs="Times New Roman"/>
          <w:b/>
          <w:bCs/>
          <w:color w:val="000000"/>
          <w:sz w:val="20"/>
          <w:szCs w:val="20"/>
          <w:lang w:val="en-CA" w:eastAsia="en-CA"/>
        </w:rPr>
        <w:t xml:space="preserve">). </w:t>
      </w:r>
      <w:r w:rsidRPr="000634BE">
        <w:rPr>
          <w:rFonts w:ascii="Times New Roman" w:eastAsia="Times New Roman" w:hAnsi="Times New Roman" w:cs="Times New Roman"/>
          <w:color w:val="000000"/>
          <w:sz w:val="20"/>
          <w:szCs w:val="20"/>
          <w:lang w:val="en-CA" w:eastAsia="en-CA"/>
        </w:rPr>
        <w:t xml:space="preserve">In other words, 920 individuals were affected and 4 died the day of the attack in the Tokyo area. By adding the 279 individuals affected in Matsumoto to the 924 in Tokyo, the grand total of </w:t>
      </w:r>
      <w:r w:rsidRPr="000634BE">
        <w:rPr>
          <w:rFonts w:ascii="Times New Roman" w:hAnsi="Times New Roman" w:cs="Times New Roman"/>
          <w:sz w:val="20"/>
          <w:szCs w:val="20"/>
          <w:lang w:val="en-CA"/>
        </w:rPr>
        <w:t xml:space="preserve">confirmed cases managed the day of the two attacks in Japan was 1203 cases. </w:t>
      </w:r>
    </w:p>
    <w:p w14:paraId="34781B78" w14:textId="77777777" w:rsidR="00705631" w:rsidRPr="000634BE" w:rsidRDefault="00705631" w:rsidP="000634BE">
      <w:pPr>
        <w:spacing w:after="0" w:line="240" w:lineRule="auto"/>
        <w:rPr>
          <w:rFonts w:ascii="Times New Roman" w:eastAsia="Times New Roman" w:hAnsi="Times New Roman" w:cs="Times New Roman"/>
          <w:b/>
          <w:bCs/>
          <w:color w:val="000000"/>
          <w:sz w:val="20"/>
          <w:szCs w:val="20"/>
          <w:lang w:val="en-CA" w:eastAsia="en-CA"/>
        </w:rPr>
      </w:pPr>
      <w:r w:rsidRPr="000634BE">
        <w:rPr>
          <w:rFonts w:ascii="Times New Roman" w:eastAsia="Times New Roman" w:hAnsi="Times New Roman" w:cs="Times New Roman"/>
          <w:b/>
          <w:bCs/>
          <w:color w:val="000000"/>
          <w:sz w:val="20"/>
          <w:szCs w:val="20"/>
          <w:vertAlign w:val="superscript"/>
          <w:lang w:val="en-CA" w:eastAsia="en-CA"/>
        </w:rPr>
        <w:t xml:space="preserve">¥ </w:t>
      </w:r>
      <w:r w:rsidRPr="000634BE">
        <w:rPr>
          <w:rFonts w:ascii="Times New Roman" w:hAnsi="Times New Roman" w:cs="Times New Roman"/>
          <w:sz w:val="20"/>
          <w:szCs w:val="20"/>
          <w:lang w:val="en-CA"/>
        </w:rPr>
        <w:t>Rosman et al. (2014): In their analysis,</w:t>
      </w:r>
      <w:r w:rsidRPr="000634BE" w:rsidDel="00B230CB">
        <w:rPr>
          <w:rFonts w:ascii="Times New Roman" w:hAnsi="Times New Roman" w:cs="Times New Roman"/>
          <w:sz w:val="20"/>
          <w:szCs w:val="20"/>
          <w:lang w:val="en-CA"/>
        </w:rPr>
        <w:t xml:space="preserve"> </w:t>
      </w:r>
      <w:r w:rsidRPr="000634BE">
        <w:rPr>
          <w:rFonts w:ascii="Times New Roman" w:hAnsi="Times New Roman" w:cs="Times New Roman"/>
          <w:sz w:val="20"/>
          <w:szCs w:val="20"/>
          <w:lang w:val="en-CA"/>
        </w:rPr>
        <w:t xml:space="preserve">the authors did not report deceased cases first-hand. They reported having obtained the data from the United Nations (ref) retrospectively. </w:t>
      </w:r>
    </w:p>
    <w:p w14:paraId="7EC29C0A" w14:textId="13F96FDF" w:rsidR="00705631" w:rsidRPr="000634BE" w:rsidRDefault="00705631" w:rsidP="000634BE">
      <w:pPr>
        <w:spacing w:after="0" w:line="240" w:lineRule="auto"/>
        <w:rPr>
          <w:rFonts w:ascii="Times New Roman" w:eastAsia="Times New Roman" w:hAnsi="Times New Roman" w:cs="Times New Roman"/>
          <w:b/>
          <w:bCs/>
          <w:color w:val="000000"/>
          <w:sz w:val="20"/>
          <w:szCs w:val="20"/>
          <w:lang w:val="en-CA" w:eastAsia="en-CA"/>
        </w:rPr>
      </w:pPr>
      <w:r w:rsidRPr="000634BE">
        <w:rPr>
          <w:rFonts w:ascii="Times New Roman" w:eastAsia="Times New Roman" w:hAnsi="Times New Roman" w:cs="Times New Roman"/>
          <w:b/>
          <w:bCs/>
          <w:color w:val="000000"/>
          <w:sz w:val="20"/>
          <w:szCs w:val="20"/>
          <w:vertAlign w:val="superscript"/>
          <w:lang w:val="en-CA" w:eastAsia="en-CA"/>
        </w:rPr>
        <w:t>€</w:t>
      </w:r>
      <w:r w:rsidRPr="000634BE">
        <w:rPr>
          <w:rFonts w:ascii="Times New Roman" w:eastAsia="Times New Roman" w:hAnsi="Times New Roman" w:cs="Times New Roman"/>
          <w:b/>
          <w:bCs/>
          <w:color w:val="000000"/>
          <w:sz w:val="20"/>
          <w:szCs w:val="20"/>
          <w:lang w:val="en-CA" w:eastAsia="en-CA"/>
        </w:rPr>
        <w:t xml:space="preserve"> </w:t>
      </w:r>
      <w:r w:rsidRPr="000634BE">
        <w:rPr>
          <w:rFonts w:ascii="Times New Roman" w:hAnsi="Times New Roman" w:cs="Times New Roman"/>
          <w:sz w:val="20"/>
          <w:szCs w:val="20"/>
          <w:lang w:val="en-CA"/>
        </w:rPr>
        <w:t xml:space="preserve">Rosman et al. (2014): </w:t>
      </w:r>
      <w:r w:rsidRPr="000634BE">
        <w:rPr>
          <w:rFonts w:ascii="Times New Roman" w:eastAsia="Times New Roman" w:hAnsi="Times New Roman" w:cs="Times New Roman"/>
          <w:color w:val="000000"/>
          <w:sz w:val="20"/>
          <w:szCs w:val="20"/>
          <w:lang w:val="en-CA" w:eastAsia="en-CA"/>
        </w:rPr>
        <w:t>Same data from Table S6.</w:t>
      </w:r>
      <w:r w:rsidRPr="000634BE">
        <w:rPr>
          <w:rFonts w:ascii="Times New Roman" w:eastAsia="Times New Roman" w:hAnsi="Times New Roman" w:cs="Times New Roman"/>
          <w:b/>
          <w:bCs/>
          <w:color w:val="000000"/>
          <w:sz w:val="20"/>
          <w:szCs w:val="20"/>
          <w:lang w:val="en-CA" w:eastAsia="en-CA"/>
        </w:rPr>
        <w:t xml:space="preserve"> </w:t>
      </w:r>
    </w:p>
    <w:p w14:paraId="0AE9167C" w14:textId="77777777" w:rsidR="00705631" w:rsidRPr="000634BE" w:rsidRDefault="00705631" w:rsidP="000634BE">
      <w:pPr>
        <w:spacing w:after="0" w:line="240" w:lineRule="auto"/>
        <w:rPr>
          <w:rFonts w:ascii="Times New Roman" w:hAnsi="Times New Roman" w:cs="Times New Roman"/>
          <w:sz w:val="24"/>
          <w:szCs w:val="24"/>
          <w:lang w:val="en-CA"/>
        </w:rPr>
      </w:pPr>
      <w:r w:rsidRPr="000634BE">
        <w:rPr>
          <w:rFonts w:ascii="Times New Roman" w:hAnsi="Times New Roman" w:cs="Times New Roman"/>
          <w:sz w:val="24"/>
          <w:szCs w:val="24"/>
          <w:lang w:val="en-CA"/>
        </w:rPr>
        <w:br w:type="page"/>
      </w:r>
    </w:p>
    <w:p w14:paraId="2B10476C" w14:textId="7AF73061" w:rsidR="00705631" w:rsidRPr="000634BE" w:rsidRDefault="00705631" w:rsidP="000634BE">
      <w:pPr>
        <w:spacing w:after="0" w:line="240" w:lineRule="auto"/>
        <w:rPr>
          <w:rFonts w:ascii="Times New Roman" w:hAnsi="Times New Roman" w:cs="Times New Roman"/>
          <w:sz w:val="24"/>
          <w:szCs w:val="24"/>
          <w:lang w:val="en-CA"/>
        </w:rPr>
      </w:pPr>
      <w:r w:rsidRPr="000634BE">
        <w:rPr>
          <w:rFonts w:ascii="Times New Roman" w:hAnsi="Times New Roman" w:cs="Times New Roman"/>
          <w:sz w:val="24"/>
          <w:szCs w:val="24"/>
          <w:lang w:val="en-CA"/>
        </w:rPr>
        <w:lastRenderedPageBreak/>
        <w:tab/>
        <w:t xml:space="preserve">Table S8 lists the definitions for triage used during the chemical attacks. </w:t>
      </w:r>
    </w:p>
    <w:tbl>
      <w:tblPr>
        <w:tblStyle w:val="TableGrid"/>
        <w:tblW w:w="10890" w:type="dxa"/>
        <w:tblInd w:w="-815" w:type="dxa"/>
        <w:tblLook w:val="04A0" w:firstRow="1" w:lastRow="0" w:firstColumn="1" w:lastColumn="0" w:noHBand="0" w:noVBand="1"/>
      </w:tblPr>
      <w:tblGrid>
        <w:gridCol w:w="1710"/>
        <w:gridCol w:w="2250"/>
        <w:gridCol w:w="4860"/>
        <w:gridCol w:w="2070"/>
      </w:tblGrid>
      <w:tr w:rsidR="00705631" w:rsidRPr="000634BE" w14:paraId="0916CA04" w14:textId="77777777" w:rsidTr="00F56835">
        <w:tc>
          <w:tcPr>
            <w:tcW w:w="1710" w:type="dxa"/>
          </w:tcPr>
          <w:p w14:paraId="2A90D2CD"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Study</w:t>
            </w:r>
          </w:p>
        </w:tc>
        <w:tc>
          <w:tcPr>
            <w:tcW w:w="2250" w:type="dxa"/>
          </w:tcPr>
          <w:p w14:paraId="10F3D0C7"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Chemical Incident</w:t>
            </w:r>
          </w:p>
        </w:tc>
        <w:tc>
          <w:tcPr>
            <w:tcW w:w="4860" w:type="dxa"/>
          </w:tcPr>
          <w:p w14:paraId="749D0EA6"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Definition of Triage</w:t>
            </w:r>
          </w:p>
        </w:tc>
        <w:tc>
          <w:tcPr>
            <w:tcW w:w="2070" w:type="dxa"/>
          </w:tcPr>
          <w:p w14:paraId="4847E486" w14:textId="77777777" w:rsidR="00705631" w:rsidRPr="000634BE" w:rsidRDefault="00705631" w:rsidP="000634BE">
            <w:pPr>
              <w:spacing w:after="0" w:line="240" w:lineRule="auto"/>
              <w:jc w:val="center"/>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t>Remarks</w:t>
            </w:r>
          </w:p>
        </w:tc>
      </w:tr>
      <w:tr w:rsidR="00705631" w:rsidRPr="000634BE" w14:paraId="419FD8C7" w14:textId="77777777" w:rsidTr="00F56835">
        <w:tc>
          <w:tcPr>
            <w:tcW w:w="1710" w:type="dxa"/>
          </w:tcPr>
          <w:p w14:paraId="4A50AD0E"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shd w:val="clear" w:color="auto" w:fill="FFFFFF"/>
                <w:lang w:val="en-CA"/>
              </w:rPr>
              <w:t xml:space="preserve">Yanagisawa et al. (2006) </w:t>
            </w:r>
            <w:r w:rsidRPr="000634BE">
              <w:rPr>
                <w:rFonts w:ascii="Times New Roman" w:hAnsi="Times New Roman" w:cs="Times New Roman"/>
                <w:noProof/>
                <w:sz w:val="24"/>
                <w:szCs w:val="24"/>
                <w:shd w:val="clear" w:color="auto" w:fill="FFFFFF"/>
                <w:vertAlign w:val="superscript"/>
                <w:lang w:val="en-CA"/>
              </w:rPr>
              <w:t>9</w:t>
            </w:r>
          </w:p>
        </w:tc>
        <w:tc>
          <w:tcPr>
            <w:tcW w:w="2250" w:type="dxa"/>
          </w:tcPr>
          <w:p w14:paraId="140BD55E"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shd w:val="clear" w:color="auto" w:fill="FFFFFF"/>
                <w:lang w:val="en-CA"/>
              </w:rPr>
              <w:t>Matsumoto (1994)</w:t>
            </w:r>
          </w:p>
        </w:tc>
        <w:tc>
          <w:tcPr>
            <w:tcW w:w="4860" w:type="dxa"/>
          </w:tcPr>
          <w:p w14:paraId="2505447A" w14:textId="77777777" w:rsidR="00705631" w:rsidRPr="000634BE" w:rsidRDefault="00705631" w:rsidP="000634BE">
            <w:pPr>
              <w:spacing w:after="0" w:line="240" w:lineRule="auto"/>
              <w:rPr>
                <w:rFonts w:ascii="Times New Roman" w:hAnsi="Times New Roman" w:cs="Times New Roman"/>
                <w:sz w:val="24"/>
                <w:szCs w:val="24"/>
                <w:lang w:val="en-CA"/>
              </w:rPr>
            </w:pPr>
            <w:r w:rsidRPr="000634BE">
              <w:rPr>
                <w:rFonts w:ascii="Times New Roman" w:hAnsi="Times New Roman" w:cs="Times New Roman"/>
                <w:sz w:val="24"/>
                <w:szCs w:val="24"/>
                <w:shd w:val="clear" w:color="auto" w:fill="FFFFFF"/>
                <w:lang w:val="en-CA"/>
              </w:rPr>
              <w:t xml:space="preserve">They defined degrees of severity terms as follows: </w:t>
            </w:r>
            <w:proofErr w:type="spellStart"/>
            <w:r w:rsidRPr="000634BE">
              <w:rPr>
                <w:rFonts w:ascii="Times New Roman" w:hAnsi="Times New Roman" w:cs="Times New Roman"/>
                <w:sz w:val="24"/>
                <w:szCs w:val="24"/>
                <w:shd w:val="clear" w:color="auto" w:fill="FFFFFF"/>
                <w:lang w:val="en-CA"/>
              </w:rPr>
              <w:t>i</w:t>
            </w:r>
            <w:proofErr w:type="spellEnd"/>
            <w:r w:rsidRPr="000634BE">
              <w:rPr>
                <w:rFonts w:ascii="Times New Roman" w:hAnsi="Times New Roman" w:cs="Times New Roman"/>
                <w:sz w:val="24"/>
                <w:szCs w:val="24"/>
                <w:shd w:val="clear" w:color="auto" w:fill="FFFFFF"/>
                <w:lang w:val="en-CA"/>
              </w:rPr>
              <w:t>. severely affected – subjects admitted to hospital; ii. moderately affected – subjects who visited outpatient clinics; iii. slightly affected – subjects who reported having symptoms but did not seek medical attention</w:t>
            </w:r>
          </w:p>
        </w:tc>
        <w:tc>
          <w:tcPr>
            <w:tcW w:w="2070" w:type="dxa"/>
          </w:tcPr>
          <w:p w14:paraId="5620C12E" w14:textId="77777777" w:rsidR="00705631" w:rsidRPr="000634BE" w:rsidRDefault="00705631" w:rsidP="000634BE">
            <w:pPr>
              <w:spacing w:after="0" w:line="240" w:lineRule="auto"/>
              <w:rPr>
                <w:rFonts w:ascii="Times New Roman" w:hAnsi="Times New Roman" w:cs="Times New Roman"/>
                <w:sz w:val="24"/>
                <w:szCs w:val="24"/>
                <w:lang w:val="en-CA"/>
              </w:rPr>
            </w:pPr>
          </w:p>
        </w:tc>
      </w:tr>
      <w:tr w:rsidR="00705631" w:rsidRPr="000634BE" w14:paraId="1ACC7F74" w14:textId="77777777" w:rsidTr="00F56835">
        <w:tc>
          <w:tcPr>
            <w:tcW w:w="1710" w:type="dxa"/>
          </w:tcPr>
          <w:p w14:paraId="2C4C26AE" w14:textId="77777777" w:rsidR="00705631" w:rsidRPr="000634BE" w:rsidRDefault="00705631" w:rsidP="000634BE">
            <w:pPr>
              <w:spacing w:after="0" w:line="240" w:lineRule="auto"/>
              <w:rPr>
                <w:rFonts w:ascii="Times New Roman" w:hAnsi="Times New Roman" w:cs="Times New Roman"/>
                <w:sz w:val="24"/>
                <w:szCs w:val="24"/>
                <w:lang w:val="en-CA"/>
              </w:rPr>
            </w:pPr>
          </w:p>
        </w:tc>
        <w:tc>
          <w:tcPr>
            <w:tcW w:w="2250" w:type="dxa"/>
          </w:tcPr>
          <w:p w14:paraId="0074B9A1"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Tokyo (1995)</w:t>
            </w:r>
          </w:p>
          <w:p w14:paraId="190215DB"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(St-Luke’s)</w:t>
            </w:r>
          </w:p>
        </w:tc>
        <w:tc>
          <w:tcPr>
            <w:tcW w:w="4860" w:type="dxa"/>
          </w:tcPr>
          <w:p w14:paraId="000D272A" w14:textId="77777777" w:rsidR="00705631" w:rsidRPr="000634BE" w:rsidRDefault="00705631" w:rsidP="000634BE">
            <w:pPr>
              <w:spacing w:after="0" w:line="240" w:lineRule="auto"/>
              <w:rPr>
                <w:rFonts w:ascii="Times New Roman" w:hAnsi="Times New Roman" w:cs="Times New Roman"/>
                <w:sz w:val="24"/>
                <w:szCs w:val="24"/>
                <w:lang w:val="en-CA"/>
              </w:rPr>
            </w:pPr>
            <w:r w:rsidRPr="000634BE">
              <w:rPr>
                <w:rFonts w:ascii="Times New Roman" w:hAnsi="Times New Roman" w:cs="Times New Roman"/>
                <w:sz w:val="24"/>
                <w:szCs w:val="24"/>
                <w:shd w:val="clear" w:color="auto" w:fill="FFFFFF"/>
                <w:lang w:val="en-CA"/>
              </w:rPr>
              <w:t xml:space="preserve">Patients were also graded according to the severity of their exposure, but no additional clinical information was presented (i.e.: symptomatology versus treatments) </w:t>
            </w:r>
            <w:r w:rsidRPr="000634BE">
              <w:rPr>
                <w:rFonts w:ascii="Times New Roman" w:hAnsi="Times New Roman" w:cs="Times New Roman"/>
                <w:noProof/>
                <w:sz w:val="24"/>
                <w:szCs w:val="24"/>
                <w:shd w:val="clear" w:color="auto" w:fill="FFFFFF"/>
                <w:vertAlign w:val="superscript"/>
                <w:lang w:val="en-CA"/>
              </w:rPr>
              <w:t>9</w:t>
            </w:r>
            <w:r w:rsidRPr="000634BE">
              <w:rPr>
                <w:rFonts w:ascii="Times New Roman" w:hAnsi="Times New Roman" w:cs="Times New Roman"/>
                <w:sz w:val="24"/>
                <w:szCs w:val="24"/>
                <w:shd w:val="clear" w:color="auto" w:fill="FFFFFF"/>
                <w:lang w:val="en-CA"/>
              </w:rPr>
              <w:t>. These were: a. critically or severely injured: 5 people exhibited CPA or required mechanical ventilation; b. moderately injured: 107 people were characterized by systemic symptoms and signs of respiratory, digestive and/or neurological (central, peripheral or autonomic) systems in addition to ocular signs; c. mildly affected: 528 people only presented ocular signs or symptoms, and only required hospitalization for an hour before being discharged</w:t>
            </w:r>
          </w:p>
        </w:tc>
        <w:tc>
          <w:tcPr>
            <w:tcW w:w="2070" w:type="dxa"/>
          </w:tcPr>
          <w:p w14:paraId="13A42282" w14:textId="77777777" w:rsidR="00705631" w:rsidRPr="000634BE" w:rsidRDefault="00705631" w:rsidP="000634BE">
            <w:pPr>
              <w:spacing w:after="0" w:line="240" w:lineRule="auto"/>
              <w:rPr>
                <w:rFonts w:ascii="Times New Roman" w:hAnsi="Times New Roman" w:cs="Times New Roman"/>
                <w:sz w:val="24"/>
                <w:szCs w:val="24"/>
                <w:lang w:val="en-CA"/>
              </w:rPr>
            </w:pPr>
          </w:p>
        </w:tc>
      </w:tr>
      <w:tr w:rsidR="00705631" w:rsidRPr="000634BE" w14:paraId="1A58263D" w14:textId="77777777" w:rsidTr="00F56835">
        <w:tc>
          <w:tcPr>
            <w:tcW w:w="1710" w:type="dxa"/>
          </w:tcPr>
          <w:p w14:paraId="324240B1" w14:textId="77777777" w:rsidR="00705631" w:rsidRPr="000634BE" w:rsidRDefault="00705631" w:rsidP="000634BE">
            <w:pPr>
              <w:spacing w:after="0" w:line="240" w:lineRule="auto"/>
              <w:jc w:val="center"/>
              <w:rPr>
                <w:rFonts w:ascii="Times New Roman" w:hAnsi="Times New Roman" w:cs="Times New Roman"/>
                <w:sz w:val="24"/>
                <w:szCs w:val="24"/>
                <w:lang w:val="en-CA"/>
              </w:rPr>
            </w:pPr>
            <w:proofErr w:type="spellStart"/>
            <w:r w:rsidRPr="000634BE">
              <w:rPr>
                <w:rFonts w:ascii="Times New Roman" w:hAnsi="Times New Roman" w:cs="Times New Roman"/>
                <w:sz w:val="24"/>
                <w:szCs w:val="24"/>
                <w:shd w:val="clear" w:color="auto" w:fill="FFFFFF"/>
                <w:lang w:val="en-CA"/>
              </w:rPr>
              <w:t>Okumara</w:t>
            </w:r>
            <w:proofErr w:type="spellEnd"/>
            <w:r w:rsidRPr="000634BE">
              <w:rPr>
                <w:rFonts w:ascii="Times New Roman" w:hAnsi="Times New Roman" w:cs="Times New Roman"/>
                <w:sz w:val="24"/>
                <w:szCs w:val="24"/>
                <w:shd w:val="clear" w:color="auto" w:fill="FFFFFF"/>
                <w:lang w:val="en-CA"/>
              </w:rPr>
              <w:t xml:space="preserve"> et al. (1996) </w:t>
            </w:r>
            <w:r w:rsidRPr="000634BE">
              <w:rPr>
                <w:rFonts w:ascii="Times New Roman" w:hAnsi="Times New Roman" w:cs="Times New Roman"/>
                <w:noProof/>
                <w:sz w:val="24"/>
                <w:szCs w:val="24"/>
                <w:shd w:val="clear" w:color="auto" w:fill="FFFFFF"/>
                <w:vertAlign w:val="superscript"/>
                <w:lang w:val="en-CA"/>
              </w:rPr>
              <w:t>7</w:t>
            </w:r>
          </w:p>
        </w:tc>
        <w:tc>
          <w:tcPr>
            <w:tcW w:w="2250" w:type="dxa"/>
          </w:tcPr>
          <w:p w14:paraId="32B89128"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Tokyo (1995) </w:t>
            </w:r>
          </w:p>
          <w:p w14:paraId="6DA5709D" w14:textId="77777777" w:rsidR="00705631" w:rsidRPr="000634BE" w:rsidRDefault="00705631" w:rsidP="000634BE">
            <w:pPr>
              <w:spacing w:after="0" w:line="240" w:lineRule="auto"/>
              <w:jc w:val="center"/>
              <w:rPr>
                <w:rFonts w:ascii="Times New Roman" w:hAnsi="Times New Roman" w:cs="Times New Roman"/>
                <w:sz w:val="24"/>
                <w:szCs w:val="24"/>
                <w:lang w:val="en-CA"/>
              </w:rPr>
            </w:pPr>
            <w:r w:rsidRPr="000634BE">
              <w:rPr>
                <w:rFonts w:ascii="Times New Roman" w:hAnsi="Times New Roman" w:cs="Times New Roman"/>
                <w:sz w:val="24"/>
                <w:szCs w:val="24"/>
                <w:lang w:val="en-CA"/>
              </w:rPr>
              <w:t>(</w:t>
            </w:r>
            <w:r w:rsidRPr="000634BE">
              <w:rPr>
                <w:rFonts w:ascii="Times New Roman" w:hAnsi="Times New Roman" w:cs="Times New Roman"/>
                <w:sz w:val="24"/>
                <w:szCs w:val="24"/>
                <w:shd w:val="clear" w:color="auto" w:fill="FFFFFF"/>
                <w:lang w:val="en-CA"/>
              </w:rPr>
              <w:t>St. Luke’s)</w:t>
            </w:r>
          </w:p>
        </w:tc>
        <w:tc>
          <w:tcPr>
            <w:tcW w:w="4860" w:type="dxa"/>
          </w:tcPr>
          <w:p w14:paraId="7EDE2301" w14:textId="77777777" w:rsidR="00705631" w:rsidRPr="000634BE" w:rsidRDefault="00705631" w:rsidP="000634BE">
            <w:pPr>
              <w:spacing w:after="0" w:line="240" w:lineRule="auto"/>
              <w:jc w:val="both"/>
              <w:rPr>
                <w:rFonts w:ascii="Times New Roman" w:hAnsi="Times New Roman" w:cs="Times New Roman"/>
                <w:sz w:val="24"/>
                <w:szCs w:val="24"/>
                <w:shd w:val="clear" w:color="auto" w:fill="FFFFFF"/>
                <w:lang w:val="en-CA"/>
              </w:rPr>
            </w:pPr>
            <w:r w:rsidRPr="000634BE">
              <w:rPr>
                <w:rFonts w:ascii="Times New Roman" w:hAnsi="Times New Roman" w:cs="Times New Roman"/>
                <w:sz w:val="24"/>
                <w:szCs w:val="24"/>
                <w:shd w:val="clear" w:color="auto" w:fill="FFFFFF"/>
                <w:lang w:val="en-CA"/>
              </w:rPr>
              <w:t xml:space="preserve">The 640 patients were graded according to severity levels which were defined and counted as follows: </w:t>
            </w:r>
            <w:proofErr w:type="spellStart"/>
            <w:r w:rsidRPr="000634BE">
              <w:rPr>
                <w:rFonts w:ascii="Times New Roman" w:hAnsi="Times New Roman" w:cs="Times New Roman"/>
                <w:sz w:val="24"/>
                <w:szCs w:val="24"/>
                <w:shd w:val="clear" w:color="auto" w:fill="FFFFFF"/>
                <w:lang w:val="en-CA"/>
              </w:rPr>
              <w:t>i</w:t>
            </w:r>
            <w:proofErr w:type="spellEnd"/>
            <w:r w:rsidRPr="000634BE">
              <w:rPr>
                <w:rFonts w:ascii="Times New Roman" w:hAnsi="Times New Roman" w:cs="Times New Roman"/>
                <w:sz w:val="24"/>
                <w:szCs w:val="24"/>
                <w:shd w:val="clear" w:color="auto" w:fill="FFFFFF"/>
                <w:lang w:val="en-CA"/>
              </w:rPr>
              <w:t>. mild (528 patients or 82.5%): involving only ocular signs or symptoms (</w:t>
            </w:r>
            <w:proofErr w:type="gramStart"/>
            <w:r w:rsidRPr="000634BE">
              <w:rPr>
                <w:rFonts w:ascii="Times New Roman" w:hAnsi="Times New Roman" w:cs="Times New Roman"/>
                <w:sz w:val="24"/>
                <w:szCs w:val="24"/>
                <w:shd w:val="clear" w:color="auto" w:fill="FFFFFF"/>
                <w:lang w:val="en-CA"/>
              </w:rPr>
              <w:t>e.g.</w:t>
            </w:r>
            <w:proofErr w:type="gramEnd"/>
            <w:r w:rsidRPr="000634BE">
              <w:rPr>
                <w:rFonts w:ascii="Times New Roman" w:hAnsi="Times New Roman" w:cs="Times New Roman"/>
                <w:sz w:val="24"/>
                <w:szCs w:val="24"/>
                <w:shd w:val="clear" w:color="auto" w:fill="FFFFFF"/>
                <w:lang w:val="en-CA"/>
              </w:rPr>
              <w:t xml:space="preserve"> miosis, eye pain, dim vision, decreased visual acuity) on presentation, and hospital discharge after a 12-hour observation period at the ER; ii. moderate (107 patients or 16.7%): presence of systemic signs and symptoms (</w:t>
            </w:r>
            <w:proofErr w:type="gramStart"/>
            <w:r w:rsidRPr="000634BE">
              <w:rPr>
                <w:rFonts w:ascii="Times New Roman" w:hAnsi="Times New Roman" w:cs="Times New Roman"/>
                <w:sz w:val="24"/>
                <w:szCs w:val="24"/>
                <w:shd w:val="clear" w:color="auto" w:fill="FFFFFF"/>
                <w:lang w:val="en-CA"/>
              </w:rPr>
              <w:t>e.g.</w:t>
            </w:r>
            <w:proofErr w:type="gramEnd"/>
            <w:r w:rsidRPr="000634BE">
              <w:rPr>
                <w:rFonts w:ascii="Times New Roman" w:hAnsi="Times New Roman" w:cs="Times New Roman"/>
                <w:sz w:val="24"/>
                <w:szCs w:val="24"/>
                <w:shd w:val="clear" w:color="auto" w:fill="FFFFFF"/>
                <w:lang w:val="en-CA"/>
              </w:rPr>
              <w:t xml:space="preserve"> weakness, difficulty breathing, fasciculation, convulsions), but no mechanical ventilation requirements; iii. severe (five (5) or 78%): requiring emergency respiratory support (</w:t>
            </w:r>
            <w:proofErr w:type="gramStart"/>
            <w:r w:rsidRPr="000634BE">
              <w:rPr>
                <w:rFonts w:ascii="Times New Roman" w:hAnsi="Times New Roman" w:cs="Times New Roman"/>
                <w:sz w:val="24"/>
                <w:szCs w:val="24"/>
                <w:shd w:val="clear" w:color="auto" w:fill="FFFFFF"/>
                <w:lang w:val="en-CA"/>
              </w:rPr>
              <w:t>e.g.</w:t>
            </w:r>
            <w:proofErr w:type="gramEnd"/>
            <w:r w:rsidRPr="000634BE">
              <w:rPr>
                <w:rFonts w:ascii="Times New Roman" w:hAnsi="Times New Roman" w:cs="Times New Roman"/>
                <w:sz w:val="24"/>
                <w:szCs w:val="24"/>
                <w:shd w:val="clear" w:color="auto" w:fill="FFFFFF"/>
                <w:lang w:val="en-CA"/>
              </w:rPr>
              <w:t xml:space="preserve"> intubation and ventilation support) </w:t>
            </w:r>
            <w:r w:rsidRPr="000634BE">
              <w:rPr>
                <w:rFonts w:ascii="Times New Roman" w:hAnsi="Times New Roman" w:cs="Times New Roman"/>
                <w:noProof/>
                <w:sz w:val="24"/>
                <w:szCs w:val="24"/>
                <w:shd w:val="clear" w:color="auto" w:fill="FFFFFF"/>
                <w:vertAlign w:val="superscript"/>
                <w:lang w:val="en-CA"/>
              </w:rPr>
              <w:t>7</w:t>
            </w:r>
            <w:r w:rsidRPr="000634BE">
              <w:rPr>
                <w:rFonts w:ascii="Times New Roman" w:hAnsi="Times New Roman" w:cs="Times New Roman"/>
                <w:sz w:val="24"/>
                <w:szCs w:val="24"/>
                <w:shd w:val="clear" w:color="auto" w:fill="FFFFFF"/>
                <w:lang w:val="en-CA"/>
              </w:rPr>
              <w:t xml:space="preserve">. In the first three hours, 106 patients received 2-PAM upon admission. In total, 111 patients with moderate to severe exposures (17.3%) were admitted to the ER while the remaining 529 were discharged shortly afterwards </w:t>
            </w:r>
            <w:r w:rsidRPr="000634BE">
              <w:rPr>
                <w:rFonts w:ascii="Times New Roman" w:hAnsi="Times New Roman" w:cs="Times New Roman"/>
                <w:noProof/>
                <w:sz w:val="24"/>
                <w:szCs w:val="24"/>
                <w:shd w:val="clear" w:color="auto" w:fill="FFFFFF"/>
                <w:vertAlign w:val="superscript"/>
                <w:lang w:val="en-CA"/>
              </w:rPr>
              <w:t>7</w:t>
            </w:r>
            <w:r w:rsidRPr="000634BE">
              <w:rPr>
                <w:rFonts w:ascii="Times New Roman" w:hAnsi="Times New Roman" w:cs="Times New Roman"/>
                <w:sz w:val="24"/>
                <w:szCs w:val="24"/>
                <w:shd w:val="clear" w:color="auto" w:fill="FFFFFF"/>
                <w:lang w:val="en-CA"/>
              </w:rPr>
              <w:t xml:space="preserve">. </w:t>
            </w:r>
          </w:p>
        </w:tc>
        <w:tc>
          <w:tcPr>
            <w:tcW w:w="2070" w:type="dxa"/>
          </w:tcPr>
          <w:p w14:paraId="2AF1D3D4" w14:textId="77777777" w:rsidR="00705631" w:rsidRPr="000634BE" w:rsidRDefault="00705631" w:rsidP="000634BE">
            <w:pPr>
              <w:spacing w:after="0" w:line="240" w:lineRule="auto"/>
              <w:rPr>
                <w:rFonts w:ascii="Times New Roman" w:hAnsi="Times New Roman" w:cs="Times New Roman"/>
                <w:sz w:val="24"/>
                <w:szCs w:val="24"/>
                <w:lang w:val="en-CA"/>
              </w:rPr>
            </w:pPr>
            <w:r w:rsidRPr="000634BE">
              <w:rPr>
                <w:rFonts w:ascii="Times New Roman" w:hAnsi="Times New Roman" w:cs="Times New Roman"/>
                <w:sz w:val="24"/>
                <w:szCs w:val="24"/>
                <w:shd w:val="clear" w:color="auto" w:fill="FFFFFF"/>
                <w:lang w:val="en-CA"/>
              </w:rPr>
              <w:t xml:space="preserve">The entire casualty management effort at St. Luke’s the day of the attack, </w:t>
            </w:r>
            <w:proofErr w:type="spellStart"/>
            <w:r w:rsidRPr="000634BE">
              <w:rPr>
                <w:rFonts w:ascii="Times New Roman" w:hAnsi="Times New Roman" w:cs="Times New Roman"/>
                <w:sz w:val="24"/>
                <w:szCs w:val="24"/>
                <w:shd w:val="clear" w:color="auto" w:fill="FFFFFF"/>
                <w:lang w:val="en-CA"/>
              </w:rPr>
              <w:t>Okumara</w:t>
            </w:r>
            <w:proofErr w:type="spellEnd"/>
            <w:r w:rsidRPr="000634BE">
              <w:rPr>
                <w:rFonts w:ascii="Times New Roman" w:hAnsi="Times New Roman" w:cs="Times New Roman"/>
                <w:sz w:val="24"/>
                <w:szCs w:val="24"/>
                <w:shd w:val="clear" w:color="auto" w:fill="FFFFFF"/>
                <w:lang w:val="en-CA"/>
              </w:rPr>
              <w:t xml:space="preserve"> et al. (1996) reported some statistics on cases managed seen (i.e.: symptomatology versus treatments) </w:t>
            </w:r>
            <w:r w:rsidRPr="000634BE">
              <w:rPr>
                <w:rFonts w:ascii="Times New Roman" w:hAnsi="Times New Roman" w:cs="Times New Roman"/>
                <w:noProof/>
                <w:sz w:val="24"/>
                <w:szCs w:val="24"/>
                <w:shd w:val="clear" w:color="auto" w:fill="FFFFFF"/>
                <w:vertAlign w:val="superscript"/>
                <w:lang w:val="en-CA"/>
              </w:rPr>
              <w:t>7</w:t>
            </w:r>
            <w:r w:rsidRPr="000634BE">
              <w:rPr>
                <w:rFonts w:ascii="Times New Roman" w:hAnsi="Times New Roman" w:cs="Times New Roman"/>
                <w:sz w:val="24"/>
                <w:szCs w:val="24"/>
                <w:shd w:val="clear" w:color="auto" w:fill="FFFFFF"/>
                <w:lang w:val="en-CA"/>
              </w:rPr>
              <w:t xml:space="preserve"> that are detailed differently than those found in Yanagisawa et al. (2014) </w:t>
            </w:r>
            <w:r w:rsidRPr="000634BE">
              <w:rPr>
                <w:rFonts w:ascii="Times New Roman" w:hAnsi="Times New Roman" w:cs="Times New Roman"/>
                <w:noProof/>
                <w:sz w:val="24"/>
                <w:szCs w:val="24"/>
                <w:shd w:val="clear" w:color="auto" w:fill="FFFFFF"/>
                <w:vertAlign w:val="superscript"/>
                <w:lang w:val="en-CA"/>
              </w:rPr>
              <w:t>9</w:t>
            </w:r>
            <w:r w:rsidRPr="000634BE">
              <w:rPr>
                <w:rFonts w:ascii="Times New Roman" w:hAnsi="Times New Roman" w:cs="Times New Roman"/>
                <w:sz w:val="24"/>
                <w:szCs w:val="24"/>
                <w:shd w:val="clear" w:color="auto" w:fill="FFFFFF"/>
                <w:lang w:val="en-CA"/>
              </w:rPr>
              <w:t>.</w:t>
            </w:r>
          </w:p>
        </w:tc>
      </w:tr>
    </w:tbl>
    <w:p w14:paraId="42BFAACE" w14:textId="64949A3F" w:rsidR="00705631" w:rsidRPr="000634BE" w:rsidRDefault="00705631" w:rsidP="000634BE">
      <w:pPr>
        <w:spacing w:after="0" w:line="240" w:lineRule="auto"/>
        <w:rPr>
          <w:rFonts w:ascii="Times New Roman" w:hAnsi="Times New Roman" w:cs="Times New Roman"/>
          <w:sz w:val="24"/>
          <w:szCs w:val="24"/>
          <w:lang w:val="en-CA"/>
        </w:rPr>
      </w:pPr>
      <w:r w:rsidRPr="000634BE">
        <w:rPr>
          <w:rFonts w:ascii="Times New Roman" w:hAnsi="Times New Roman" w:cs="Times New Roman"/>
          <w:b/>
          <w:bCs/>
          <w:sz w:val="24"/>
          <w:szCs w:val="24"/>
          <w:lang w:val="en-CA"/>
        </w:rPr>
        <w:t>Table S8. Algorithmic Definitions used for triage</w:t>
      </w:r>
      <w:r w:rsidRPr="000634BE">
        <w:rPr>
          <w:rFonts w:ascii="Times New Roman" w:hAnsi="Times New Roman" w:cs="Times New Roman"/>
          <w:sz w:val="24"/>
          <w:szCs w:val="24"/>
          <w:lang w:val="en-CA"/>
        </w:rPr>
        <w:t xml:space="preserve">. </w:t>
      </w:r>
    </w:p>
    <w:p w14:paraId="4E0886F6" w14:textId="77777777" w:rsidR="00705631" w:rsidRPr="000634BE" w:rsidRDefault="00705631" w:rsidP="000634BE">
      <w:pPr>
        <w:spacing w:after="0" w:line="240" w:lineRule="auto"/>
        <w:rPr>
          <w:rFonts w:ascii="Times New Roman" w:hAnsi="Times New Roman" w:cs="Times New Roman"/>
          <w:sz w:val="24"/>
          <w:szCs w:val="24"/>
          <w:shd w:val="clear" w:color="auto" w:fill="FFFFFF"/>
          <w:lang w:val="en-CA"/>
        </w:rPr>
      </w:pPr>
      <w:r w:rsidRPr="000634BE">
        <w:rPr>
          <w:rFonts w:ascii="Times New Roman" w:hAnsi="Times New Roman" w:cs="Times New Roman"/>
          <w:b/>
          <w:bCs/>
          <w:sz w:val="24"/>
          <w:szCs w:val="24"/>
          <w:u w:val="single"/>
          <w:shd w:val="clear" w:color="auto" w:fill="FFFFFF"/>
          <w:lang w:val="en-CA"/>
        </w:rPr>
        <w:t>NOTE</w:t>
      </w:r>
      <w:r w:rsidRPr="000634BE">
        <w:rPr>
          <w:rFonts w:ascii="Times New Roman" w:hAnsi="Times New Roman" w:cs="Times New Roman"/>
          <w:sz w:val="24"/>
          <w:szCs w:val="24"/>
          <w:u w:val="single"/>
          <w:shd w:val="clear" w:color="auto" w:fill="FFFFFF"/>
          <w:lang w:val="en-CA"/>
        </w:rPr>
        <w:t>.</w:t>
      </w:r>
      <w:r w:rsidRPr="000634BE">
        <w:rPr>
          <w:rFonts w:ascii="Times New Roman" w:hAnsi="Times New Roman" w:cs="Times New Roman"/>
          <w:sz w:val="24"/>
          <w:szCs w:val="24"/>
          <w:shd w:val="clear" w:color="auto" w:fill="FFFFFF"/>
          <w:lang w:val="en-CA"/>
        </w:rPr>
        <w:t xml:space="preserve"> These definitions were reported without any reference.</w:t>
      </w:r>
    </w:p>
    <w:p w14:paraId="382E7B50" w14:textId="77777777" w:rsidR="00705631" w:rsidRPr="000634BE" w:rsidRDefault="00705631" w:rsidP="000634BE">
      <w:pPr>
        <w:spacing w:after="0" w:line="240" w:lineRule="auto"/>
        <w:rPr>
          <w:rFonts w:ascii="Times New Roman" w:eastAsia="Times New Roman" w:hAnsi="Times New Roman" w:cs="Times New Roman"/>
          <w:color w:val="000000"/>
          <w:sz w:val="24"/>
          <w:szCs w:val="24"/>
          <w:lang w:val="en-CA" w:eastAsia="en-CA"/>
        </w:rPr>
      </w:pPr>
      <w:bookmarkStart w:id="0" w:name="_Hlk70970937"/>
      <w:r w:rsidRPr="000634BE">
        <w:rPr>
          <w:rFonts w:ascii="Times New Roman" w:hAnsi="Times New Roman" w:cs="Times New Roman"/>
          <w:b/>
          <w:bCs/>
          <w:sz w:val="24"/>
          <w:szCs w:val="24"/>
          <w:u w:val="single"/>
          <w:shd w:val="clear" w:color="auto" w:fill="FFFFFF"/>
          <w:lang w:val="en-CA"/>
        </w:rPr>
        <w:t>Acronyms</w:t>
      </w:r>
      <w:r w:rsidRPr="000634BE">
        <w:rPr>
          <w:rFonts w:ascii="Times New Roman" w:hAnsi="Times New Roman" w:cs="Times New Roman"/>
          <w:b/>
          <w:bCs/>
          <w:sz w:val="24"/>
          <w:szCs w:val="24"/>
          <w:shd w:val="clear" w:color="auto" w:fill="FFFFFF"/>
          <w:lang w:val="en-CA"/>
        </w:rPr>
        <w:t>. CPA</w:t>
      </w:r>
      <w:r w:rsidRPr="000634BE">
        <w:rPr>
          <w:rFonts w:ascii="Times New Roman" w:hAnsi="Times New Roman" w:cs="Times New Roman"/>
          <w:sz w:val="24"/>
          <w:szCs w:val="24"/>
          <w:shd w:val="clear" w:color="auto" w:fill="FFFFFF"/>
          <w:lang w:val="en-CA"/>
        </w:rPr>
        <w:t xml:space="preserve"> – Cardiac Pulmonary Arrest - </w:t>
      </w:r>
      <w:r w:rsidRPr="000634BE">
        <w:rPr>
          <w:rFonts w:ascii="Times New Roman" w:hAnsi="Times New Roman" w:cs="Times New Roman"/>
          <w:b/>
          <w:bCs/>
          <w:sz w:val="24"/>
          <w:szCs w:val="24"/>
          <w:shd w:val="clear" w:color="auto" w:fill="FFFFFF"/>
          <w:lang w:val="en-CA"/>
        </w:rPr>
        <w:t>ER</w:t>
      </w:r>
      <w:r w:rsidRPr="000634BE">
        <w:rPr>
          <w:rFonts w:ascii="Times New Roman" w:hAnsi="Times New Roman" w:cs="Times New Roman"/>
          <w:sz w:val="24"/>
          <w:szCs w:val="24"/>
          <w:shd w:val="clear" w:color="auto" w:fill="FFFFFF"/>
          <w:lang w:val="en-CA"/>
        </w:rPr>
        <w:t xml:space="preserve"> – Emergency Room - </w:t>
      </w:r>
      <w:r w:rsidRPr="000634BE">
        <w:rPr>
          <w:rFonts w:ascii="Times New Roman" w:hAnsi="Times New Roman" w:cs="Times New Roman"/>
          <w:b/>
          <w:bCs/>
          <w:sz w:val="24"/>
          <w:szCs w:val="24"/>
          <w:shd w:val="clear" w:color="auto" w:fill="FFFFFF"/>
          <w:lang w:val="en-CA"/>
        </w:rPr>
        <w:t>PAM</w:t>
      </w:r>
      <w:r w:rsidRPr="000634BE">
        <w:rPr>
          <w:rFonts w:ascii="Times New Roman" w:hAnsi="Times New Roman" w:cs="Times New Roman"/>
          <w:sz w:val="24"/>
          <w:szCs w:val="24"/>
          <w:shd w:val="clear" w:color="auto" w:fill="FFFFFF"/>
          <w:lang w:val="en-CA"/>
        </w:rPr>
        <w:t xml:space="preserve"> - pralidoxime iodide - </w:t>
      </w:r>
      <w:r w:rsidRPr="000634BE">
        <w:rPr>
          <w:rFonts w:ascii="Times New Roman" w:hAnsi="Times New Roman" w:cs="Times New Roman"/>
          <w:b/>
          <w:bCs/>
          <w:sz w:val="24"/>
          <w:szCs w:val="24"/>
          <w:shd w:val="clear" w:color="auto" w:fill="FFFFFF"/>
          <w:lang w:val="en-CA"/>
        </w:rPr>
        <w:t>2-PAM</w:t>
      </w:r>
      <w:r w:rsidRPr="000634BE">
        <w:rPr>
          <w:rFonts w:ascii="Times New Roman" w:hAnsi="Times New Roman" w:cs="Times New Roman"/>
          <w:sz w:val="24"/>
          <w:szCs w:val="24"/>
          <w:shd w:val="clear" w:color="auto" w:fill="FFFFFF"/>
          <w:lang w:val="en-CA"/>
        </w:rPr>
        <w:t xml:space="preserve"> - 2</w:t>
      </w:r>
      <w:r w:rsidRPr="000634BE">
        <w:rPr>
          <w:rFonts w:ascii="Times New Roman" w:hAnsi="Times New Roman" w:cs="Times New Roman"/>
          <w:sz w:val="24"/>
          <w:szCs w:val="24"/>
          <w:shd w:val="clear" w:color="auto" w:fill="FFFFFF"/>
          <w:lang w:val="en-CA"/>
        </w:rPr>
        <w:noBreakHyphen/>
        <w:t>pyridinealdoxime methiodide</w:t>
      </w:r>
    </w:p>
    <w:bookmarkEnd w:id="0"/>
    <w:p w14:paraId="6A3D6DC6" w14:textId="77777777" w:rsidR="00705631" w:rsidRPr="000634BE" w:rsidRDefault="00705631" w:rsidP="000634BE">
      <w:pPr>
        <w:spacing w:after="0" w:line="240" w:lineRule="auto"/>
        <w:rPr>
          <w:rFonts w:ascii="Times New Roman" w:hAnsi="Times New Roman" w:cs="Times New Roman"/>
          <w:sz w:val="24"/>
          <w:szCs w:val="24"/>
          <w:lang w:val="en-CA"/>
        </w:rPr>
      </w:pPr>
    </w:p>
    <w:p w14:paraId="61C60973" w14:textId="77777777" w:rsidR="00705631" w:rsidRPr="000634BE" w:rsidRDefault="00705631" w:rsidP="000634BE">
      <w:pPr>
        <w:pStyle w:val="EndNoteBibliography"/>
        <w:spacing w:after="0"/>
        <w:rPr>
          <w:rFonts w:ascii="Times New Roman" w:hAnsi="Times New Roman" w:cs="Times New Roman"/>
          <w:b/>
          <w:bCs/>
          <w:sz w:val="24"/>
          <w:szCs w:val="24"/>
          <w:lang w:val="en-CA"/>
        </w:rPr>
      </w:pPr>
      <w:r w:rsidRPr="000634BE">
        <w:rPr>
          <w:rFonts w:ascii="Times New Roman" w:hAnsi="Times New Roman" w:cs="Times New Roman"/>
          <w:b/>
          <w:bCs/>
          <w:sz w:val="24"/>
          <w:szCs w:val="24"/>
          <w:lang w:val="en-CA"/>
        </w:rPr>
        <w:lastRenderedPageBreak/>
        <w:t>References</w:t>
      </w:r>
    </w:p>
    <w:p w14:paraId="05656FD3" w14:textId="77777777" w:rsidR="00705631" w:rsidRPr="000634BE" w:rsidRDefault="00705631" w:rsidP="000634BE">
      <w:pPr>
        <w:pStyle w:val="EndNoteBibliography"/>
        <w:spacing w:after="0"/>
        <w:ind w:left="720" w:hanging="720"/>
        <w:rPr>
          <w:rFonts w:ascii="Times New Roman" w:hAnsi="Times New Roman" w:cs="Times New Roman"/>
          <w:sz w:val="24"/>
          <w:szCs w:val="24"/>
          <w:lang w:val="en-CA"/>
        </w:rPr>
      </w:pPr>
    </w:p>
    <w:p w14:paraId="694B13D6" w14:textId="3FF9ED21" w:rsidR="000B35C5" w:rsidRPr="000634BE" w:rsidRDefault="00705631" w:rsidP="000634BE">
      <w:pPr>
        <w:pStyle w:val="EndNoteBibliography"/>
        <w:spacing w:after="0"/>
        <w:ind w:left="720" w:hanging="720"/>
        <w:rPr>
          <w:rFonts w:ascii="Times New Roman" w:hAnsi="Times New Roman" w:cs="Times New Roman"/>
          <w:sz w:val="24"/>
          <w:szCs w:val="24"/>
          <w:lang w:val="en-CA"/>
        </w:rPr>
      </w:pPr>
      <w:r w:rsidRPr="000634BE">
        <w:rPr>
          <w:rFonts w:ascii="Times New Roman" w:hAnsi="Times New Roman" w:cs="Times New Roman"/>
          <w:sz w:val="24"/>
          <w:szCs w:val="24"/>
          <w:highlight w:val="yellow"/>
          <w:lang w:val="en-CA"/>
        </w:rPr>
        <w:fldChar w:fldCharType="begin"/>
      </w:r>
      <w:r w:rsidRPr="000634BE">
        <w:rPr>
          <w:rFonts w:ascii="Times New Roman" w:hAnsi="Times New Roman" w:cs="Times New Roman"/>
          <w:sz w:val="24"/>
          <w:szCs w:val="24"/>
          <w:highlight w:val="yellow"/>
          <w:lang w:val="en-CA"/>
        </w:rPr>
        <w:instrText xml:space="preserve"> ADDIN EN.REFLIST </w:instrText>
      </w:r>
      <w:r w:rsidRPr="000634BE">
        <w:rPr>
          <w:rFonts w:ascii="Times New Roman" w:hAnsi="Times New Roman" w:cs="Times New Roman"/>
          <w:sz w:val="24"/>
          <w:szCs w:val="24"/>
          <w:highlight w:val="yellow"/>
          <w:lang w:val="en-CA"/>
        </w:rPr>
        <w:fldChar w:fldCharType="separate"/>
      </w:r>
      <w:r w:rsidRPr="000634BE">
        <w:rPr>
          <w:rFonts w:ascii="Times New Roman" w:hAnsi="Times New Roman" w:cs="Times New Roman"/>
          <w:sz w:val="24"/>
          <w:szCs w:val="24"/>
          <w:lang w:val="en-CA"/>
        </w:rPr>
        <w:t>1.</w:t>
      </w:r>
      <w:r w:rsidRPr="000634BE">
        <w:rPr>
          <w:rFonts w:ascii="Times New Roman" w:hAnsi="Times New Roman" w:cs="Times New Roman"/>
          <w:sz w:val="24"/>
          <w:szCs w:val="24"/>
          <w:lang w:val="en-CA"/>
        </w:rPr>
        <w:tab/>
      </w:r>
      <w:r w:rsidR="000B35C5" w:rsidRPr="000634BE">
        <w:rPr>
          <w:rFonts w:ascii="Times New Roman" w:hAnsi="Times New Roman" w:cs="Times New Roman"/>
          <w:iCs/>
          <w:sz w:val="24"/>
          <w:szCs w:val="24"/>
          <w:lang w:val="en-CA"/>
        </w:rPr>
        <w:t>Cochrane Guides and handbooks</w:t>
      </w:r>
      <w:r w:rsidR="000B35C5" w:rsidRPr="000634BE">
        <w:rPr>
          <w:rFonts w:ascii="Times New Roman" w:hAnsi="Times New Roman" w:cs="Times New Roman"/>
          <w:sz w:val="24"/>
          <w:szCs w:val="24"/>
          <w:lang w:val="en-CA"/>
        </w:rPr>
        <w:t>. Cochrane Training Website.</w:t>
      </w:r>
      <w:r w:rsidR="000C4845" w:rsidRPr="000634BE">
        <w:rPr>
          <w:rFonts w:ascii="Times New Roman" w:hAnsi="Times New Roman" w:cs="Times New Roman"/>
          <w:sz w:val="24"/>
          <w:szCs w:val="24"/>
          <w:lang w:val="en-CA"/>
        </w:rPr>
        <w:t xml:space="preserve"> </w:t>
      </w:r>
      <w:r w:rsidR="000B35C5" w:rsidRPr="000634BE">
        <w:rPr>
          <w:rFonts w:ascii="Times New Roman" w:eastAsiaTheme="minorHAnsi" w:hAnsi="Times New Roman" w:cs="Times New Roman"/>
          <w:sz w:val="24"/>
          <w:szCs w:val="24"/>
          <w:lang w:val="en-CA" w:eastAsia="en-US"/>
        </w:rPr>
        <w:t>http://training.cochrane.</w:t>
      </w:r>
      <w:r w:rsidR="000C4845" w:rsidRPr="000634BE">
        <w:rPr>
          <w:rFonts w:ascii="Times New Roman" w:eastAsiaTheme="minorHAnsi" w:hAnsi="Times New Roman" w:cs="Times New Roman"/>
          <w:sz w:val="24"/>
          <w:szCs w:val="24"/>
          <w:lang w:val="en-CA" w:eastAsia="en-US"/>
        </w:rPr>
        <w:t xml:space="preserve"> </w:t>
      </w:r>
      <w:r w:rsidR="000B35C5" w:rsidRPr="000634BE">
        <w:rPr>
          <w:rFonts w:ascii="Times New Roman" w:eastAsiaTheme="minorHAnsi" w:hAnsi="Times New Roman" w:cs="Times New Roman"/>
          <w:sz w:val="24"/>
          <w:szCs w:val="24"/>
          <w:lang w:val="en-CA" w:eastAsia="en-US"/>
        </w:rPr>
        <w:t xml:space="preserve">org/ handbooks. </w:t>
      </w:r>
      <w:r w:rsidR="000B35C5" w:rsidRPr="000634BE">
        <w:rPr>
          <w:rFonts w:ascii="Times New Roman" w:hAnsi="Times New Roman" w:cs="Times New Roman"/>
          <w:sz w:val="24"/>
          <w:szCs w:val="24"/>
          <w:lang w:val="en-CA"/>
        </w:rPr>
        <w:t>Version 6.2. Accessed (Last) August 1, 2021</w:t>
      </w:r>
      <w:r w:rsidRPr="000634BE">
        <w:rPr>
          <w:rFonts w:ascii="Times New Roman" w:hAnsi="Times New Roman" w:cs="Times New Roman"/>
          <w:sz w:val="24"/>
          <w:szCs w:val="24"/>
          <w:lang w:val="en-CA"/>
        </w:rPr>
        <w:t>.</w:t>
      </w:r>
    </w:p>
    <w:p w14:paraId="0D2B966B" w14:textId="0DF7BD5C" w:rsidR="000B35C5" w:rsidRPr="000634BE" w:rsidRDefault="00705631" w:rsidP="000634BE">
      <w:pPr>
        <w:pStyle w:val="EndNoteBibliography"/>
        <w:spacing w:after="0"/>
        <w:ind w:left="720" w:hanging="720"/>
        <w:rPr>
          <w:rFonts w:ascii="Times New Roman" w:hAnsi="Times New Roman" w:cs="Times New Roman"/>
          <w:sz w:val="24"/>
          <w:szCs w:val="24"/>
          <w:lang w:val="en-CA"/>
        </w:rPr>
      </w:pPr>
      <w:r w:rsidRPr="000634BE">
        <w:rPr>
          <w:rFonts w:ascii="Times New Roman" w:hAnsi="Times New Roman" w:cs="Times New Roman"/>
          <w:sz w:val="24"/>
          <w:szCs w:val="24"/>
        </w:rPr>
        <w:t>2.</w:t>
      </w:r>
      <w:r w:rsidRPr="000634BE">
        <w:rPr>
          <w:rFonts w:ascii="Times New Roman" w:hAnsi="Times New Roman" w:cs="Times New Roman"/>
          <w:sz w:val="24"/>
          <w:szCs w:val="24"/>
        </w:rPr>
        <w:tab/>
        <w:t xml:space="preserve">Celli BR, MacNee W, Agusti A, et al. </w:t>
      </w:r>
      <w:r w:rsidRPr="000634BE">
        <w:rPr>
          <w:rFonts w:ascii="Times New Roman" w:hAnsi="Times New Roman" w:cs="Times New Roman"/>
          <w:sz w:val="24"/>
          <w:szCs w:val="24"/>
          <w:lang w:val="en-CA"/>
        </w:rPr>
        <w:t xml:space="preserve">Standards for the diagnosis and treatment of patients with COPD: a summary of the ATS/ERS position paper. </w:t>
      </w:r>
      <w:r w:rsidRPr="000634BE">
        <w:rPr>
          <w:rFonts w:ascii="Times New Roman" w:hAnsi="Times New Roman" w:cs="Times New Roman"/>
          <w:i/>
          <w:sz w:val="24"/>
          <w:szCs w:val="24"/>
          <w:lang w:val="en-CA"/>
        </w:rPr>
        <w:t>European Respiratory Journal</w:t>
      </w:r>
      <w:r w:rsidRPr="000634BE">
        <w:rPr>
          <w:rFonts w:ascii="Times New Roman" w:hAnsi="Times New Roman" w:cs="Times New Roman"/>
          <w:sz w:val="24"/>
          <w:szCs w:val="24"/>
          <w:lang w:val="en-CA"/>
        </w:rPr>
        <w:t>. 2004;23(6):932-946. doi:10.1183/09031936.04.00014304</w:t>
      </w:r>
      <w:r w:rsidR="000B35C5" w:rsidRPr="000634BE">
        <w:rPr>
          <w:rFonts w:ascii="Times New Roman" w:hAnsi="Times New Roman" w:cs="Times New Roman"/>
          <w:sz w:val="24"/>
          <w:szCs w:val="24"/>
          <w:lang w:val="en-CA"/>
        </w:rPr>
        <w:t>.</w:t>
      </w:r>
    </w:p>
    <w:p w14:paraId="2B4D020D" w14:textId="7653CE57" w:rsidR="000B35C5" w:rsidRPr="000634BE" w:rsidRDefault="00705631" w:rsidP="000634BE">
      <w:pPr>
        <w:pStyle w:val="EndNoteBibliography"/>
        <w:spacing w:after="0"/>
        <w:ind w:left="720" w:hanging="720"/>
        <w:rPr>
          <w:rFonts w:ascii="Times New Roman" w:hAnsi="Times New Roman" w:cs="Times New Roman"/>
          <w:sz w:val="24"/>
          <w:szCs w:val="24"/>
          <w:lang w:val="en-CA"/>
        </w:rPr>
      </w:pPr>
      <w:r w:rsidRPr="000634BE">
        <w:rPr>
          <w:rFonts w:ascii="Times New Roman" w:hAnsi="Times New Roman" w:cs="Times New Roman"/>
          <w:sz w:val="24"/>
          <w:szCs w:val="24"/>
          <w:lang w:val="en-CA"/>
        </w:rPr>
        <w:t>3.</w:t>
      </w:r>
      <w:r w:rsidRPr="000634BE">
        <w:rPr>
          <w:rFonts w:ascii="Times New Roman" w:hAnsi="Times New Roman" w:cs="Times New Roman"/>
          <w:sz w:val="24"/>
          <w:szCs w:val="24"/>
          <w:lang w:val="en-CA"/>
        </w:rPr>
        <w:tab/>
        <w:t>Pauwels RA, Buist AS, Calverley PMA, Jenkins CR, Hurd SS. Global Strategy for the Diagnosis, Management, and</w:t>
      </w:r>
      <w:r w:rsidR="000B35C5" w:rsidRPr="000634BE">
        <w:rPr>
          <w:rFonts w:ascii="Times New Roman" w:hAnsi="Times New Roman" w:cs="Times New Roman"/>
          <w:sz w:val="24"/>
          <w:szCs w:val="24"/>
          <w:lang w:val="en-CA"/>
        </w:rPr>
        <w:t xml:space="preserve"> </w:t>
      </w:r>
      <w:r w:rsidRPr="000634BE">
        <w:rPr>
          <w:rFonts w:ascii="Times New Roman" w:hAnsi="Times New Roman" w:cs="Times New Roman"/>
          <w:sz w:val="24"/>
          <w:szCs w:val="24"/>
          <w:lang w:val="en-CA"/>
        </w:rPr>
        <w:t>Prevention of Chronic Obstructive Pulmonary Disease</w:t>
      </w:r>
      <w:r w:rsidR="000B35C5" w:rsidRPr="000634BE">
        <w:rPr>
          <w:rFonts w:ascii="Times New Roman" w:hAnsi="Times New Roman" w:cs="Times New Roman"/>
          <w:sz w:val="24"/>
          <w:szCs w:val="24"/>
          <w:lang w:val="en-CA"/>
        </w:rPr>
        <w:t xml:space="preserve"> </w:t>
      </w:r>
      <w:r w:rsidRPr="000634BE">
        <w:rPr>
          <w:rFonts w:ascii="Times New Roman" w:hAnsi="Times New Roman" w:cs="Times New Roman"/>
          <w:sz w:val="24"/>
          <w:szCs w:val="24"/>
          <w:lang w:val="en-CA"/>
        </w:rPr>
        <w:t>NHLBI/WHO Global Initiative for Chronic Obstructive Lung Disease (GOLD)</w:t>
      </w:r>
      <w:r w:rsidR="000B35C5" w:rsidRPr="000634BE">
        <w:rPr>
          <w:rFonts w:ascii="Times New Roman" w:hAnsi="Times New Roman" w:cs="Times New Roman"/>
          <w:sz w:val="24"/>
          <w:szCs w:val="24"/>
          <w:lang w:val="en-CA"/>
        </w:rPr>
        <w:t xml:space="preserve"> </w:t>
      </w:r>
      <w:r w:rsidRPr="000634BE">
        <w:rPr>
          <w:rFonts w:ascii="Times New Roman" w:hAnsi="Times New Roman" w:cs="Times New Roman"/>
          <w:sz w:val="24"/>
          <w:szCs w:val="24"/>
          <w:lang w:val="en-CA"/>
        </w:rPr>
        <w:t xml:space="preserve">Workshop Summary. </w:t>
      </w:r>
      <w:r w:rsidRPr="000634BE">
        <w:rPr>
          <w:rFonts w:ascii="Times New Roman" w:hAnsi="Times New Roman" w:cs="Times New Roman"/>
          <w:i/>
          <w:sz w:val="24"/>
          <w:szCs w:val="24"/>
          <w:lang w:val="en-CA"/>
        </w:rPr>
        <w:t>Am J Respir Crit Care Med</w:t>
      </w:r>
      <w:r w:rsidRPr="000634BE">
        <w:rPr>
          <w:rFonts w:ascii="Times New Roman" w:hAnsi="Times New Roman" w:cs="Times New Roman"/>
          <w:sz w:val="24"/>
          <w:szCs w:val="24"/>
          <w:lang w:val="en-CA"/>
        </w:rPr>
        <w:t xml:space="preserve">. 2001;163:1256-1276. </w:t>
      </w:r>
    </w:p>
    <w:p w14:paraId="006B2D1C" w14:textId="41F5CE4A" w:rsidR="000B35C5" w:rsidRPr="000634BE" w:rsidRDefault="00705631" w:rsidP="000634BE">
      <w:pPr>
        <w:pStyle w:val="EndNoteBibliography"/>
        <w:spacing w:after="0"/>
        <w:ind w:left="708" w:hanging="708"/>
        <w:rPr>
          <w:rFonts w:ascii="Times New Roman" w:hAnsi="Times New Roman" w:cs="Times New Roman"/>
          <w:sz w:val="24"/>
          <w:szCs w:val="24"/>
          <w:lang w:val="en-CA"/>
        </w:rPr>
      </w:pPr>
      <w:r w:rsidRPr="000634BE">
        <w:rPr>
          <w:rFonts w:ascii="Times New Roman" w:hAnsi="Times New Roman" w:cs="Times New Roman"/>
          <w:sz w:val="24"/>
          <w:szCs w:val="24"/>
        </w:rPr>
        <w:t>4.</w:t>
      </w:r>
      <w:r w:rsidRPr="000634BE">
        <w:rPr>
          <w:rFonts w:ascii="Times New Roman" w:hAnsi="Times New Roman" w:cs="Times New Roman"/>
          <w:sz w:val="24"/>
          <w:szCs w:val="24"/>
        </w:rPr>
        <w:tab/>
      </w:r>
      <w:r w:rsidR="000B35C5" w:rsidRPr="000634BE">
        <w:rPr>
          <w:rFonts w:ascii="Times New Roman" w:hAnsi="Times New Roman" w:cs="Times New Roman"/>
          <w:sz w:val="24"/>
          <w:szCs w:val="24"/>
        </w:rPr>
        <w:t xml:space="preserve">Hong QN, Pluye P, Fàbregues S, et al. </w:t>
      </w:r>
      <w:r w:rsidR="000B35C5" w:rsidRPr="000634BE">
        <w:rPr>
          <w:rFonts w:ascii="Times New Roman" w:hAnsi="Times New Roman" w:cs="Times New Roman"/>
          <w:sz w:val="24"/>
          <w:szCs w:val="24"/>
          <w:lang w:val="en-CA"/>
        </w:rPr>
        <w:t xml:space="preserve">Improving the content validity of the mixed methods appraisal tool: a modified e-Delphi study. </w:t>
      </w:r>
      <w:r w:rsidR="000B35C5" w:rsidRPr="000634BE">
        <w:rPr>
          <w:rFonts w:ascii="Times New Roman" w:hAnsi="Times New Roman" w:cs="Times New Roman"/>
          <w:i/>
          <w:sz w:val="24"/>
          <w:szCs w:val="24"/>
          <w:lang w:val="en-CA"/>
        </w:rPr>
        <w:t>Journal of Clinical Epidemiology</w:t>
      </w:r>
      <w:r w:rsidR="000B35C5" w:rsidRPr="000634BE">
        <w:rPr>
          <w:rFonts w:ascii="Times New Roman" w:hAnsi="Times New Roman" w:cs="Times New Roman"/>
          <w:sz w:val="24"/>
          <w:szCs w:val="24"/>
          <w:lang w:val="en-CA"/>
        </w:rPr>
        <w:t>. 2019;111:49-59.e1. doi:10.1016/j.jclinepi.2019.03.008</w:t>
      </w:r>
    </w:p>
    <w:p w14:paraId="2F2790AE" w14:textId="5FFAEE7D" w:rsidR="000B35C5" w:rsidRPr="000634BE" w:rsidRDefault="00705631" w:rsidP="000634BE">
      <w:pPr>
        <w:pStyle w:val="EndNoteBibliography"/>
        <w:spacing w:after="0"/>
        <w:ind w:left="708" w:hanging="708"/>
        <w:rPr>
          <w:rFonts w:ascii="Times New Roman" w:hAnsi="Times New Roman" w:cs="Times New Roman"/>
          <w:sz w:val="24"/>
          <w:szCs w:val="24"/>
          <w:lang w:val="en-CA"/>
        </w:rPr>
      </w:pPr>
      <w:r w:rsidRPr="000634BE">
        <w:rPr>
          <w:rFonts w:ascii="Times New Roman" w:hAnsi="Times New Roman" w:cs="Times New Roman"/>
          <w:sz w:val="24"/>
          <w:szCs w:val="24"/>
          <w:lang w:val="en-CA"/>
        </w:rPr>
        <w:t>5.</w:t>
      </w:r>
      <w:r w:rsidRPr="000634BE">
        <w:rPr>
          <w:rFonts w:ascii="Times New Roman" w:hAnsi="Times New Roman" w:cs="Times New Roman"/>
          <w:sz w:val="24"/>
          <w:szCs w:val="24"/>
          <w:lang w:val="en-CA"/>
        </w:rPr>
        <w:tab/>
      </w:r>
      <w:r w:rsidR="000B35C5" w:rsidRPr="000634BE">
        <w:rPr>
          <w:rFonts w:ascii="Times New Roman" w:hAnsi="Times New Roman" w:cs="Times New Roman"/>
          <w:sz w:val="24"/>
          <w:szCs w:val="24"/>
          <w:lang w:val="en-CA"/>
        </w:rPr>
        <w:t xml:space="preserve">Hawker S, Payne S, Kerr C, et al. Appraising the Evidence: Reviewing Disparate Data </w:t>
      </w:r>
    </w:p>
    <w:p w14:paraId="765EDDBD" w14:textId="476D2A1F" w:rsidR="000B35C5" w:rsidRPr="000634BE" w:rsidRDefault="000B35C5" w:rsidP="000634BE">
      <w:pPr>
        <w:pStyle w:val="EndNoteBibliography"/>
        <w:spacing w:after="0"/>
        <w:ind w:left="708"/>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Systematically. </w:t>
      </w:r>
      <w:r w:rsidRPr="000634BE">
        <w:rPr>
          <w:rFonts w:ascii="Times New Roman" w:hAnsi="Times New Roman" w:cs="Times New Roman"/>
          <w:i/>
          <w:sz w:val="24"/>
          <w:szCs w:val="24"/>
          <w:lang w:val="en-CA"/>
        </w:rPr>
        <w:t>Qualitative Health Research</w:t>
      </w:r>
      <w:r w:rsidRPr="000634BE">
        <w:rPr>
          <w:rFonts w:ascii="Times New Roman" w:hAnsi="Times New Roman" w:cs="Times New Roman"/>
          <w:sz w:val="24"/>
          <w:szCs w:val="24"/>
          <w:lang w:val="en-CA"/>
        </w:rPr>
        <w:t>. 2002;12(9):1284-1299.  doi:10.1177/1049732302238251</w:t>
      </w:r>
    </w:p>
    <w:p w14:paraId="1A8FC83B" w14:textId="77777777" w:rsidR="000B35C5" w:rsidRPr="000634BE" w:rsidRDefault="00705631" w:rsidP="000634BE">
      <w:pPr>
        <w:pStyle w:val="EndNoteBibliography"/>
        <w:spacing w:after="0"/>
        <w:ind w:left="708" w:hanging="708"/>
        <w:rPr>
          <w:rFonts w:ascii="Times New Roman" w:hAnsi="Times New Roman" w:cs="Times New Roman"/>
          <w:sz w:val="24"/>
          <w:szCs w:val="24"/>
          <w:lang w:val="en-CA"/>
        </w:rPr>
      </w:pPr>
      <w:r w:rsidRPr="000634BE">
        <w:rPr>
          <w:rFonts w:ascii="Times New Roman" w:hAnsi="Times New Roman" w:cs="Times New Roman"/>
          <w:sz w:val="24"/>
          <w:szCs w:val="24"/>
          <w:lang w:val="en-CA"/>
        </w:rPr>
        <w:t>6.</w:t>
      </w:r>
      <w:r w:rsidRPr="000634BE">
        <w:rPr>
          <w:rFonts w:ascii="Times New Roman" w:hAnsi="Times New Roman" w:cs="Times New Roman"/>
          <w:sz w:val="24"/>
          <w:szCs w:val="24"/>
          <w:lang w:val="en-CA"/>
        </w:rPr>
        <w:tab/>
      </w:r>
      <w:r w:rsidR="000B35C5" w:rsidRPr="000634BE">
        <w:rPr>
          <w:rFonts w:ascii="Times New Roman" w:hAnsi="Times New Roman" w:cs="Times New Roman"/>
          <w:sz w:val="24"/>
          <w:szCs w:val="24"/>
          <w:lang w:val="en-CA"/>
        </w:rPr>
        <w:t xml:space="preserve">Nozaki H, Hurl S, Shinozawa Y, et al. Secondary exposure of medical staff to sarin vapor </w:t>
      </w:r>
    </w:p>
    <w:p w14:paraId="2A06016A" w14:textId="77777777" w:rsidR="000B35C5" w:rsidRPr="000634BE" w:rsidRDefault="000B35C5" w:rsidP="000634BE">
      <w:pPr>
        <w:pStyle w:val="EndNoteBibliography"/>
        <w:spacing w:after="0"/>
        <w:ind w:firstLine="708"/>
        <w:rPr>
          <w:rFonts w:ascii="Times New Roman" w:hAnsi="Times New Roman" w:cs="Times New Roman"/>
          <w:sz w:val="24"/>
          <w:szCs w:val="24"/>
          <w:lang w:val="en-CA"/>
        </w:rPr>
      </w:pPr>
      <w:r w:rsidRPr="000634BE">
        <w:rPr>
          <w:rFonts w:ascii="Times New Roman" w:hAnsi="Times New Roman" w:cs="Times New Roman"/>
          <w:sz w:val="24"/>
          <w:szCs w:val="24"/>
          <w:lang w:val="en-CA"/>
        </w:rPr>
        <w:t xml:space="preserve">in the emergency room. </w:t>
      </w:r>
      <w:r w:rsidRPr="000634BE">
        <w:rPr>
          <w:rFonts w:ascii="Times New Roman" w:hAnsi="Times New Roman" w:cs="Times New Roman"/>
          <w:i/>
          <w:sz w:val="24"/>
          <w:szCs w:val="24"/>
          <w:lang w:val="en-CA"/>
        </w:rPr>
        <w:t>Intensive Care Med</w:t>
      </w:r>
      <w:r w:rsidRPr="000634BE">
        <w:rPr>
          <w:rFonts w:ascii="Times New Roman" w:hAnsi="Times New Roman" w:cs="Times New Roman"/>
          <w:sz w:val="24"/>
          <w:szCs w:val="24"/>
          <w:lang w:val="en-CA"/>
        </w:rPr>
        <w:t>. 1995;21:1032-1035</w:t>
      </w:r>
    </w:p>
    <w:p w14:paraId="5680655A" w14:textId="5B51647F" w:rsidR="00705631" w:rsidRPr="000634BE" w:rsidRDefault="00705631" w:rsidP="000634BE">
      <w:pPr>
        <w:pStyle w:val="EndNoteBibliography"/>
        <w:spacing w:after="0"/>
        <w:ind w:left="708" w:hanging="708"/>
        <w:rPr>
          <w:rFonts w:ascii="Times New Roman" w:hAnsi="Times New Roman" w:cs="Times New Roman"/>
          <w:sz w:val="24"/>
          <w:szCs w:val="24"/>
          <w:lang w:val="en-CA"/>
        </w:rPr>
      </w:pPr>
      <w:r w:rsidRPr="000634BE">
        <w:rPr>
          <w:rFonts w:ascii="Times New Roman" w:hAnsi="Times New Roman" w:cs="Times New Roman"/>
          <w:sz w:val="24"/>
          <w:szCs w:val="24"/>
        </w:rPr>
        <w:t>7.</w:t>
      </w:r>
      <w:r w:rsidRPr="000634BE">
        <w:rPr>
          <w:rFonts w:ascii="Times New Roman" w:hAnsi="Times New Roman" w:cs="Times New Roman"/>
          <w:sz w:val="24"/>
          <w:szCs w:val="24"/>
        </w:rPr>
        <w:tab/>
        <w:t xml:space="preserve">Okumura T, Takasu N, Ishimatsu S, et al. </w:t>
      </w:r>
      <w:r w:rsidRPr="000634BE">
        <w:rPr>
          <w:rFonts w:ascii="Times New Roman" w:hAnsi="Times New Roman" w:cs="Times New Roman"/>
          <w:sz w:val="24"/>
          <w:szCs w:val="24"/>
          <w:lang w:val="en-CA"/>
        </w:rPr>
        <w:t xml:space="preserve">Report on 640 victims of the Tokyo subway sarin attack. </w:t>
      </w:r>
      <w:r w:rsidRPr="000634BE">
        <w:rPr>
          <w:rFonts w:ascii="Times New Roman" w:hAnsi="Times New Roman" w:cs="Times New Roman"/>
          <w:i/>
          <w:sz w:val="24"/>
          <w:szCs w:val="24"/>
          <w:lang w:val="en-CA"/>
        </w:rPr>
        <w:t>Ann Emerg Med</w:t>
      </w:r>
      <w:r w:rsidRPr="000634BE">
        <w:rPr>
          <w:rFonts w:ascii="Times New Roman" w:hAnsi="Times New Roman" w:cs="Times New Roman"/>
          <w:sz w:val="24"/>
          <w:szCs w:val="24"/>
          <w:lang w:val="en-CA"/>
        </w:rPr>
        <w:t>. 1996;28(2):129-135. doi:doi: 10.1111/j.1553-2712.1998.tb02470.x</w:t>
      </w:r>
    </w:p>
    <w:p w14:paraId="5DF1AEAB" w14:textId="5C364EA7" w:rsidR="000B35C5" w:rsidRPr="000634BE" w:rsidRDefault="00705631" w:rsidP="000634BE">
      <w:pPr>
        <w:pStyle w:val="EndNoteBibliography"/>
        <w:spacing w:after="0"/>
        <w:ind w:left="708" w:hanging="708"/>
        <w:rPr>
          <w:rFonts w:ascii="Times New Roman" w:hAnsi="Times New Roman" w:cs="Times New Roman"/>
          <w:sz w:val="24"/>
          <w:szCs w:val="24"/>
          <w:lang w:val="en-CA"/>
        </w:rPr>
      </w:pPr>
      <w:r w:rsidRPr="000634BE">
        <w:rPr>
          <w:rFonts w:ascii="Times New Roman" w:hAnsi="Times New Roman" w:cs="Times New Roman"/>
          <w:sz w:val="24"/>
          <w:szCs w:val="24"/>
          <w:lang w:val="en-CA"/>
        </w:rPr>
        <w:t>8.</w:t>
      </w:r>
      <w:r w:rsidRPr="000634BE">
        <w:rPr>
          <w:rFonts w:ascii="Times New Roman" w:hAnsi="Times New Roman" w:cs="Times New Roman"/>
          <w:sz w:val="24"/>
          <w:szCs w:val="24"/>
          <w:lang w:val="en-CA"/>
        </w:rPr>
        <w:tab/>
        <w:t xml:space="preserve">Rosman Y, Eisenkraft A, Milk A, et al. Lessons learned from the Syrian sarin attack: evaluation of clinical syndrome through social media. </w:t>
      </w:r>
      <w:r w:rsidRPr="000634BE">
        <w:rPr>
          <w:rFonts w:ascii="Times New Roman" w:hAnsi="Times New Roman" w:cs="Times New Roman"/>
          <w:i/>
          <w:sz w:val="24"/>
          <w:szCs w:val="24"/>
          <w:lang w:val="en-CA"/>
        </w:rPr>
        <w:t>Ann Intern Med</w:t>
      </w:r>
      <w:r w:rsidRPr="000634BE">
        <w:rPr>
          <w:rFonts w:ascii="Times New Roman" w:hAnsi="Times New Roman" w:cs="Times New Roman"/>
          <w:sz w:val="24"/>
          <w:szCs w:val="24"/>
          <w:lang w:val="en-CA"/>
        </w:rPr>
        <w:t xml:space="preserve">. 2014;160(9):644-649. </w:t>
      </w:r>
    </w:p>
    <w:p w14:paraId="31D790D7" w14:textId="2A7436F5" w:rsidR="000B35C5" w:rsidRPr="000634BE" w:rsidRDefault="00705631" w:rsidP="000634BE">
      <w:pPr>
        <w:pStyle w:val="EndNoteBibliography"/>
        <w:spacing w:after="0"/>
        <w:ind w:left="708" w:hanging="708"/>
        <w:rPr>
          <w:rFonts w:ascii="Times New Roman" w:hAnsi="Times New Roman" w:cs="Times New Roman"/>
          <w:sz w:val="24"/>
          <w:szCs w:val="24"/>
        </w:rPr>
      </w:pPr>
      <w:r w:rsidRPr="000634BE">
        <w:rPr>
          <w:rFonts w:ascii="Times New Roman" w:hAnsi="Times New Roman" w:cs="Times New Roman"/>
          <w:sz w:val="24"/>
          <w:szCs w:val="24"/>
          <w:lang w:val="en-CA"/>
        </w:rPr>
        <w:t>9.</w:t>
      </w:r>
      <w:r w:rsidRPr="000634BE">
        <w:rPr>
          <w:rFonts w:ascii="Times New Roman" w:hAnsi="Times New Roman" w:cs="Times New Roman"/>
          <w:sz w:val="24"/>
          <w:szCs w:val="24"/>
          <w:lang w:val="en-CA"/>
        </w:rPr>
        <w:tab/>
        <w:t xml:space="preserve">Yanagisawa N, Morita H, Nakajima T. Sarin experiences in Japan: acute toxicity and long-term effects. </w:t>
      </w:r>
      <w:r w:rsidRPr="000634BE">
        <w:rPr>
          <w:rFonts w:ascii="Times New Roman" w:hAnsi="Times New Roman" w:cs="Times New Roman"/>
          <w:i/>
          <w:sz w:val="24"/>
          <w:szCs w:val="24"/>
        </w:rPr>
        <w:t>J Neurol Sci</w:t>
      </w:r>
      <w:r w:rsidRPr="000634BE">
        <w:rPr>
          <w:rFonts w:ascii="Times New Roman" w:hAnsi="Times New Roman" w:cs="Times New Roman"/>
          <w:sz w:val="24"/>
          <w:szCs w:val="24"/>
        </w:rPr>
        <w:t>. Nov 1 2006;249(1):76-85. doi:10.1016/j.jns.2006.06.007</w:t>
      </w:r>
    </w:p>
    <w:p w14:paraId="75602118" w14:textId="720AD46A" w:rsidR="00705631" w:rsidRPr="000634BE" w:rsidRDefault="00705631" w:rsidP="000634BE">
      <w:pPr>
        <w:pStyle w:val="EndNoteBibliography"/>
        <w:spacing w:after="0"/>
        <w:ind w:left="708" w:hanging="708"/>
        <w:rPr>
          <w:rFonts w:ascii="Times New Roman" w:hAnsi="Times New Roman" w:cs="Times New Roman"/>
          <w:sz w:val="24"/>
          <w:szCs w:val="24"/>
          <w:lang w:val="en-CA"/>
        </w:rPr>
      </w:pPr>
      <w:r w:rsidRPr="000634BE">
        <w:rPr>
          <w:rFonts w:ascii="Times New Roman" w:hAnsi="Times New Roman" w:cs="Times New Roman"/>
          <w:sz w:val="24"/>
          <w:szCs w:val="24"/>
        </w:rPr>
        <w:t>10.</w:t>
      </w:r>
      <w:r w:rsidRPr="000634BE">
        <w:rPr>
          <w:rFonts w:ascii="Times New Roman" w:hAnsi="Times New Roman" w:cs="Times New Roman"/>
          <w:sz w:val="24"/>
          <w:szCs w:val="24"/>
        </w:rPr>
        <w:tab/>
        <w:t xml:space="preserve">Suzuki T, Morita H, Ono K, et al. </w:t>
      </w:r>
      <w:r w:rsidRPr="000634BE">
        <w:rPr>
          <w:rFonts w:ascii="Times New Roman" w:hAnsi="Times New Roman" w:cs="Times New Roman"/>
          <w:sz w:val="24"/>
          <w:szCs w:val="24"/>
          <w:lang w:val="en-CA"/>
        </w:rPr>
        <w:t xml:space="preserve">Sarin poisoning in Tokyo subway. </w:t>
      </w:r>
      <w:r w:rsidRPr="000634BE">
        <w:rPr>
          <w:rFonts w:ascii="Times New Roman" w:hAnsi="Times New Roman" w:cs="Times New Roman"/>
          <w:i/>
          <w:sz w:val="24"/>
          <w:szCs w:val="24"/>
          <w:lang w:val="en-CA"/>
        </w:rPr>
        <w:t>The Lancet</w:t>
      </w:r>
      <w:r w:rsidRPr="000634BE">
        <w:rPr>
          <w:rFonts w:ascii="Times New Roman" w:hAnsi="Times New Roman" w:cs="Times New Roman"/>
          <w:sz w:val="24"/>
          <w:szCs w:val="24"/>
          <w:lang w:val="en-CA"/>
        </w:rPr>
        <w:t>. 1995;345(8955):980-981. doi:10.1016/s0140-6736(95)90726-2</w:t>
      </w:r>
      <w:r w:rsidR="000C4845" w:rsidRPr="000634BE">
        <w:rPr>
          <w:rFonts w:ascii="Times New Roman" w:hAnsi="Times New Roman" w:cs="Times New Roman"/>
          <w:sz w:val="24"/>
          <w:szCs w:val="24"/>
          <w:lang w:val="en-CA"/>
        </w:rPr>
        <w:t>.</w:t>
      </w:r>
    </w:p>
    <w:p w14:paraId="5FE64328" w14:textId="0521C338" w:rsidR="002F5345" w:rsidRPr="000634BE" w:rsidRDefault="00705631" w:rsidP="000634BE">
      <w:pPr>
        <w:pStyle w:val="EndNoteBibliography"/>
        <w:spacing w:after="0"/>
        <w:rPr>
          <w:rFonts w:ascii="Times New Roman" w:hAnsi="Times New Roman" w:cs="Times New Roman"/>
          <w:sz w:val="24"/>
          <w:szCs w:val="24"/>
        </w:rPr>
      </w:pPr>
      <w:r w:rsidRPr="000634BE">
        <w:rPr>
          <w:rFonts w:ascii="Times New Roman" w:hAnsi="Times New Roman" w:cs="Times New Roman"/>
          <w:sz w:val="24"/>
          <w:szCs w:val="24"/>
          <w:highlight w:val="yellow"/>
          <w:lang w:val="en-CA"/>
        </w:rPr>
        <w:fldChar w:fldCharType="end"/>
      </w:r>
    </w:p>
    <w:sectPr w:rsidR="002F5345" w:rsidRPr="000634BE" w:rsidSect="00B7667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E497" w14:textId="77777777" w:rsidR="006842C8" w:rsidRDefault="006842C8">
      <w:pPr>
        <w:spacing w:after="0" w:line="240" w:lineRule="auto"/>
      </w:pPr>
      <w:r>
        <w:separator/>
      </w:r>
    </w:p>
  </w:endnote>
  <w:endnote w:type="continuationSeparator" w:id="0">
    <w:p w14:paraId="5D12B866" w14:textId="77777777" w:rsidR="006842C8" w:rsidRDefault="0068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EDBB" w14:textId="77777777" w:rsidR="006842C8" w:rsidRDefault="006842C8">
      <w:pPr>
        <w:spacing w:after="0" w:line="240" w:lineRule="auto"/>
      </w:pPr>
      <w:r>
        <w:separator/>
      </w:r>
    </w:p>
  </w:footnote>
  <w:footnote w:type="continuationSeparator" w:id="0">
    <w:p w14:paraId="1AA62BD9" w14:textId="77777777" w:rsidR="006842C8" w:rsidRDefault="00684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3B47"/>
    <w:multiLevelType w:val="hybridMultilevel"/>
    <w:tmpl w:val="AED47D76"/>
    <w:lvl w:ilvl="0" w:tplc="10090001">
      <w:start w:val="1"/>
      <w:numFmt w:val="bullet"/>
      <w:lvlText w:val=""/>
      <w:lvlJc w:val="left"/>
      <w:pPr>
        <w:ind w:left="1428"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10090005">
      <w:start w:val="1"/>
      <w:numFmt w:val="bullet"/>
      <w:lvlText w:val=""/>
      <w:lvlJc w:val="left"/>
      <w:pPr>
        <w:ind w:left="2912" w:hanging="360"/>
      </w:pPr>
      <w:rPr>
        <w:rFonts w:ascii="Wingdings" w:hAnsi="Wingdings" w:hint="default"/>
      </w:rPr>
    </w:lvl>
    <w:lvl w:ilvl="3" w:tplc="1009000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05631"/>
    <w:rsid w:val="000634BE"/>
    <w:rsid w:val="000B35C5"/>
    <w:rsid w:val="000C4845"/>
    <w:rsid w:val="002F5345"/>
    <w:rsid w:val="006842C8"/>
    <w:rsid w:val="00705631"/>
    <w:rsid w:val="00F56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4893"/>
  <w15:chartTrackingRefBased/>
  <w15:docId w15:val="{D30A0630-2477-4F28-B9DD-7C176AD9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31"/>
    <w:pPr>
      <w:spacing w:after="200" w:line="276" w:lineRule="auto"/>
    </w:pPr>
    <w:rPr>
      <w:rFonts w:eastAsiaTheme="minorEastAsia"/>
      <w:lang w:val="fr-CA" w:eastAsia="fr-CA"/>
    </w:rPr>
  </w:style>
  <w:style w:type="paragraph" w:styleId="Heading1">
    <w:name w:val="heading 1"/>
    <w:basedOn w:val="Normal"/>
    <w:next w:val="Normal"/>
    <w:link w:val="Heading1Char"/>
    <w:uiPriority w:val="9"/>
    <w:qFormat/>
    <w:rsid w:val="007056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631"/>
    <w:rPr>
      <w:rFonts w:asciiTheme="majorHAnsi" w:eastAsiaTheme="majorEastAsia" w:hAnsiTheme="majorHAnsi" w:cstheme="majorBidi"/>
      <w:b/>
      <w:bCs/>
      <w:color w:val="2F5496" w:themeColor="accent1" w:themeShade="BF"/>
      <w:sz w:val="28"/>
      <w:szCs w:val="28"/>
      <w:lang w:val="fr-CA" w:eastAsia="fr-CA"/>
    </w:rPr>
  </w:style>
  <w:style w:type="character" w:styleId="Hyperlink">
    <w:name w:val="Hyperlink"/>
    <w:basedOn w:val="DefaultParagraphFont"/>
    <w:uiPriority w:val="99"/>
    <w:unhideWhenUsed/>
    <w:rsid w:val="00705631"/>
    <w:rPr>
      <w:color w:val="0563C1" w:themeColor="hyperlink"/>
      <w:u w:val="single"/>
    </w:rPr>
  </w:style>
  <w:style w:type="paragraph" w:styleId="BalloonText">
    <w:name w:val="Balloon Text"/>
    <w:basedOn w:val="Normal"/>
    <w:link w:val="BalloonTextChar"/>
    <w:uiPriority w:val="99"/>
    <w:semiHidden/>
    <w:unhideWhenUsed/>
    <w:rsid w:val="00705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631"/>
    <w:rPr>
      <w:rFonts w:ascii="Segoe UI" w:eastAsiaTheme="minorEastAsia" w:hAnsi="Segoe UI" w:cs="Segoe UI"/>
      <w:sz w:val="18"/>
      <w:szCs w:val="18"/>
      <w:lang w:val="fr-CA" w:eastAsia="fr-CA"/>
    </w:rPr>
  </w:style>
  <w:style w:type="paragraph" w:customStyle="1" w:styleId="EndNoteBibliographyTitle">
    <w:name w:val="EndNote Bibliography Title"/>
    <w:basedOn w:val="Normal"/>
    <w:link w:val="EndNoteBibliographyTitleChar"/>
    <w:rsid w:val="0070563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5631"/>
    <w:rPr>
      <w:rFonts w:ascii="Calibri" w:eastAsiaTheme="minorEastAsia" w:hAnsi="Calibri" w:cs="Calibri"/>
      <w:noProof/>
      <w:lang w:val="fr-CA" w:eastAsia="fr-CA"/>
    </w:rPr>
  </w:style>
  <w:style w:type="paragraph" w:customStyle="1" w:styleId="EndNoteBibliography">
    <w:name w:val="EndNote Bibliography"/>
    <w:basedOn w:val="Normal"/>
    <w:link w:val="EndNoteBibliographyChar"/>
    <w:rsid w:val="0070563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05631"/>
    <w:rPr>
      <w:rFonts w:ascii="Calibri" w:eastAsiaTheme="minorEastAsia" w:hAnsi="Calibri" w:cs="Calibri"/>
      <w:noProof/>
      <w:lang w:val="fr-CA" w:eastAsia="fr-CA"/>
    </w:rPr>
  </w:style>
  <w:style w:type="character" w:styleId="CommentReference">
    <w:name w:val="annotation reference"/>
    <w:basedOn w:val="DefaultParagraphFont"/>
    <w:uiPriority w:val="99"/>
    <w:semiHidden/>
    <w:unhideWhenUsed/>
    <w:rsid w:val="00705631"/>
    <w:rPr>
      <w:sz w:val="16"/>
      <w:szCs w:val="16"/>
    </w:rPr>
  </w:style>
  <w:style w:type="paragraph" w:styleId="CommentText">
    <w:name w:val="annotation text"/>
    <w:basedOn w:val="Normal"/>
    <w:link w:val="CommentTextChar"/>
    <w:uiPriority w:val="99"/>
    <w:unhideWhenUsed/>
    <w:rsid w:val="00705631"/>
    <w:pPr>
      <w:spacing w:line="240" w:lineRule="auto"/>
    </w:pPr>
    <w:rPr>
      <w:sz w:val="20"/>
      <w:szCs w:val="20"/>
    </w:rPr>
  </w:style>
  <w:style w:type="character" w:customStyle="1" w:styleId="CommentTextChar">
    <w:name w:val="Comment Text Char"/>
    <w:basedOn w:val="DefaultParagraphFont"/>
    <w:link w:val="CommentText"/>
    <w:uiPriority w:val="99"/>
    <w:rsid w:val="00705631"/>
    <w:rPr>
      <w:rFonts w:eastAsiaTheme="minorEastAsia"/>
      <w:sz w:val="20"/>
      <w:szCs w:val="20"/>
      <w:lang w:val="fr-CA" w:eastAsia="fr-CA"/>
    </w:rPr>
  </w:style>
  <w:style w:type="paragraph" w:styleId="CommentSubject">
    <w:name w:val="annotation subject"/>
    <w:basedOn w:val="CommentText"/>
    <w:next w:val="CommentText"/>
    <w:link w:val="CommentSubjectChar"/>
    <w:uiPriority w:val="99"/>
    <w:semiHidden/>
    <w:unhideWhenUsed/>
    <w:rsid w:val="00705631"/>
    <w:rPr>
      <w:b/>
      <w:bCs/>
    </w:rPr>
  </w:style>
  <w:style w:type="character" w:customStyle="1" w:styleId="CommentSubjectChar">
    <w:name w:val="Comment Subject Char"/>
    <w:basedOn w:val="CommentTextChar"/>
    <w:link w:val="CommentSubject"/>
    <w:uiPriority w:val="99"/>
    <w:semiHidden/>
    <w:rsid w:val="00705631"/>
    <w:rPr>
      <w:rFonts w:eastAsiaTheme="minorEastAsia"/>
      <w:b/>
      <w:bCs/>
      <w:sz w:val="20"/>
      <w:szCs w:val="20"/>
      <w:lang w:val="fr-CA" w:eastAsia="fr-CA"/>
    </w:rPr>
  </w:style>
  <w:style w:type="table" w:styleId="TableGrid">
    <w:name w:val="Table Grid"/>
    <w:basedOn w:val="TableNormal"/>
    <w:rsid w:val="0070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631"/>
    <w:pPr>
      <w:ind w:left="720"/>
      <w:contextualSpacing/>
    </w:pPr>
  </w:style>
  <w:style w:type="character" w:styleId="PlaceholderText">
    <w:name w:val="Placeholder Text"/>
    <w:basedOn w:val="DefaultParagraphFont"/>
    <w:uiPriority w:val="99"/>
    <w:semiHidden/>
    <w:rsid w:val="00705631"/>
    <w:rPr>
      <w:color w:val="808080"/>
    </w:rPr>
  </w:style>
  <w:style w:type="paragraph" w:styleId="Header">
    <w:name w:val="header"/>
    <w:basedOn w:val="Normal"/>
    <w:link w:val="HeaderChar"/>
    <w:uiPriority w:val="99"/>
    <w:unhideWhenUsed/>
    <w:rsid w:val="00705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631"/>
    <w:rPr>
      <w:rFonts w:eastAsiaTheme="minorEastAsia"/>
      <w:lang w:val="fr-CA" w:eastAsia="fr-CA"/>
    </w:rPr>
  </w:style>
  <w:style w:type="paragraph" w:styleId="Footer">
    <w:name w:val="footer"/>
    <w:basedOn w:val="Normal"/>
    <w:link w:val="FooterChar"/>
    <w:uiPriority w:val="99"/>
    <w:unhideWhenUsed/>
    <w:rsid w:val="00705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31"/>
    <w:rPr>
      <w:rFonts w:eastAsiaTheme="minorEastAsia"/>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Bourassa</dc:creator>
  <cp:keywords/>
  <dc:description/>
  <cp:lastModifiedBy>Ellen Johnson</cp:lastModifiedBy>
  <cp:revision>2</cp:revision>
  <dcterms:created xsi:type="dcterms:W3CDTF">2022-02-28T20:07:00Z</dcterms:created>
  <dcterms:modified xsi:type="dcterms:W3CDTF">2022-02-28T20:07:00Z</dcterms:modified>
</cp:coreProperties>
</file>