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40DE" w14:textId="77777777" w:rsidR="00705631" w:rsidRPr="00B31514" w:rsidRDefault="00705631" w:rsidP="00B31514">
      <w:pPr>
        <w:pStyle w:val="Heading1"/>
        <w:spacing w:before="0" w:line="480" w:lineRule="auto"/>
        <w:jc w:val="center"/>
        <w:rPr>
          <w:rFonts w:ascii="Times New Roman" w:hAnsi="Times New Roman" w:cs="Times New Roman"/>
          <w:color w:val="auto"/>
          <w:shd w:val="clear" w:color="auto" w:fill="FFFFFF"/>
          <w:lang w:val="en-CA"/>
        </w:rPr>
      </w:pPr>
      <w:bookmarkStart w:id="0" w:name="_Toc481719312"/>
      <w:r w:rsidRPr="00B31514">
        <w:rPr>
          <w:rFonts w:ascii="Times New Roman" w:hAnsi="Times New Roman" w:cs="Times New Roman"/>
          <w:color w:val="auto"/>
          <w:shd w:val="clear" w:color="auto" w:fill="FFFFFF"/>
          <w:lang w:val="en-CA"/>
        </w:rPr>
        <w:t>Supplemental Material</w:t>
      </w:r>
    </w:p>
    <w:p w14:paraId="08A983A8" w14:textId="77777777" w:rsidR="00705631" w:rsidRPr="00B31514" w:rsidRDefault="00705631" w:rsidP="00B31514">
      <w:pPr>
        <w:pStyle w:val="Heading1"/>
        <w:spacing w:before="0" w:line="480" w:lineRule="auto"/>
        <w:rPr>
          <w:rFonts w:ascii="Times New Roman" w:hAnsi="Times New Roman" w:cs="Times New Roman"/>
          <w:color w:val="auto"/>
          <w:shd w:val="clear" w:color="auto" w:fill="FFFFFF"/>
          <w:lang w:val="en-CA"/>
        </w:rPr>
      </w:pPr>
      <w:r w:rsidRPr="00B31514">
        <w:rPr>
          <w:rFonts w:ascii="Times New Roman" w:hAnsi="Times New Roman" w:cs="Times New Roman"/>
          <w:color w:val="auto"/>
          <w:shd w:val="clear" w:color="auto" w:fill="FFFFFF"/>
          <w:lang w:val="en-CA"/>
        </w:rPr>
        <w:t>Methods</w:t>
      </w:r>
      <w:bookmarkEnd w:id="0"/>
      <w:r w:rsidRPr="00B31514">
        <w:rPr>
          <w:rFonts w:ascii="Times New Roman" w:hAnsi="Times New Roman" w:cs="Times New Roman"/>
          <w:color w:val="auto"/>
          <w:shd w:val="clear" w:color="auto" w:fill="FFFFFF"/>
          <w:lang w:val="en-CA"/>
        </w:rPr>
        <w:t xml:space="preserve"> (Long Version)</w:t>
      </w:r>
    </w:p>
    <w:p w14:paraId="46450FA8" w14:textId="77777777" w:rsidR="00705631" w:rsidRPr="00B31514" w:rsidRDefault="00705631" w:rsidP="00B31514">
      <w:pPr>
        <w:autoSpaceDE w:val="0"/>
        <w:autoSpaceDN w:val="0"/>
        <w:adjustRightInd w:val="0"/>
        <w:spacing w:after="0" w:line="480" w:lineRule="auto"/>
        <w:rPr>
          <w:rFonts w:ascii="Times New Roman" w:hAnsi="Times New Roman" w:cs="Times New Roman"/>
          <w:bCs/>
          <w:i/>
          <w:iCs/>
          <w:sz w:val="24"/>
          <w:szCs w:val="24"/>
          <w:shd w:val="clear" w:color="auto" w:fill="FFFFFF"/>
          <w:lang w:val="en-CA"/>
        </w:rPr>
      </w:pPr>
      <w:r w:rsidRPr="00B31514">
        <w:rPr>
          <w:rFonts w:ascii="Times New Roman" w:hAnsi="Times New Roman" w:cs="Times New Roman"/>
          <w:bCs/>
          <w:i/>
          <w:iCs/>
          <w:sz w:val="24"/>
          <w:szCs w:val="24"/>
          <w:shd w:val="clear" w:color="auto" w:fill="FFFFFF"/>
          <w:lang w:val="en-CA"/>
        </w:rPr>
        <w:t>Study Design</w:t>
      </w:r>
    </w:p>
    <w:p w14:paraId="62768A81" w14:textId="23041FF6" w:rsidR="00705631" w:rsidRPr="00B31514" w:rsidRDefault="00705631" w:rsidP="00B31514">
      <w:pPr>
        <w:autoSpaceDE w:val="0"/>
        <w:autoSpaceDN w:val="0"/>
        <w:adjustRightInd w:val="0"/>
        <w:spacing w:after="0" w:line="480" w:lineRule="auto"/>
        <w:rPr>
          <w:rFonts w:ascii="Times New Roman" w:hAnsi="Times New Roman" w:cs="Times New Roman"/>
          <w:bCs/>
          <w:sz w:val="24"/>
          <w:szCs w:val="24"/>
          <w:shd w:val="clear" w:color="auto" w:fill="FFFFFF"/>
          <w:lang w:val="en-CA"/>
        </w:rPr>
      </w:pPr>
      <w:r w:rsidRPr="00B31514">
        <w:rPr>
          <w:rFonts w:ascii="Times New Roman" w:hAnsi="Times New Roman" w:cs="Times New Roman"/>
          <w:bCs/>
          <w:sz w:val="24"/>
          <w:szCs w:val="24"/>
          <w:shd w:val="clear" w:color="auto" w:fill="FFFFFF"/>
          <w:lang w:val="en-CA"/>
        </w:rPr>
        <w:t xml:space="preserve">This study is a systematic review of the literature. The recommendations of the </w:t>
      </w:r>
      <w:r w:rsidRPr="00B31514">
        <w:rPr>
          <w:rFonts w:ascii="Times New Roman" w:hAnsi="Times New Roman" w:cs="Times New Roman"/>
          <w:bCs/>
          <w:iCs/>
          <w:sz w:val="24"/>
          <w:szCs w:val="24"/>
          <w:shd w:val="clear" w:color="auto" w:fill="FFFFFF"/>
          <w:lang w:val="en-CA"/>
        </w:rPr>
        <w:t>Cochrane Handbook for Systematic Reviews of Interventions were followed</w:t>
      </w:r>
      <w:r w:rsidRPr="00B31514">
        <w:rPr>
          <w:rFonts w:ascii="Times New Roman" w:hAnsi="Times New Roman" w:cs="Times New Roman"/>
          <w:bCs/>
          <w:sz w:val="24"/>
          <w:szCs w:val="24"/>
          <w:shd w:val="clear" w:color="auto" w:fill="FFFFFF"/>
          <w:lang w:val="en-CA"/>
        </w:rPr>
        <w:t xml:space="preserve"> </w:t>
      </w:r>
      <w:r w:rsidRPr="00B31514">
        <w:rPr>
          <w:rFonts w:ascii="Times New Roman" w:hAnsi="Times New Roman" w:cs="Times New Roman"/>
          <w:bCs/>
          <w:noProof/>
          <w:sz w:val="24"/>
          <w:szCs w:val="24"/>
          <w:shd w:val="clear" w:color="auto" w:fill="FFFFFF"/>
          <w:vertAlign w:val="superscript"/>
          <w:lang w:val="en-CA"/>
        </w:rPr>
        <w:t>1</w:t>
      </w:r>
      <w:r w:rsidRPr="00B31514">
        <w:rPr>
          <w:rFonts w:ascii="Times New Roman" w:hAnsi="Times New Roman" w:cs="Times New Roman"/>
          <w:bCs/>
          <w:sz w:val="24"/>
          <w:szCs w:val="24"/>
          <w:shd w:val="clear" w:color="auto" w:fill="FFFFFF"/>
          <w:lang w:val="en-CA"/>
        </w:rPr>
        <w:t>. The protocol was registered in the international prospective register for systematic reviews maintained by the National Institute for Health Research (</w:t>
      </w:r>
      <w:r w:rsidRPr="00B31514">
        <w:rPr>
          <w:rFonts w:ascii="Times New Roman" w:hAnsi="Times New Roman" w:cs="Times New Roman"/>
          <w:sz w:val="24"/>
          <w:szCs w:val="24"/>
          <w:lang w:val="en-CA"/>
        </w:rPr>
        <w:t xml:space="preserve">PROSPERO, registration number: </w:t>
      </w:r>
      <w:r w:rsidRPr="00B31514">
        <w:rPr>
          <w:rFonts w:ascii="Times New Roman" w:hAnsi="Times New Roman" w:cs="Times New Roman"/>
          <w:sz w:val="24"/>
          <w:szCs w:val="24"/>
          <w:shd w:val="clear" w:color="auto" w:fill="FFFFFF"/>
          <w:lang w:val="en-CA"/>
        </w:rPr>
        <w:t xml:space="preserve">CRD42019104473, accepted on February 25, 2019, </w:t>
      </w:r>
      <w:r w:rsidRPr="00B31514">
        <w:rPr>
          <w:rFonts w:ascii="Times New Roman" w:hAnsi="Times New Roman" w:cs="Times New Roman"/>
          <w:sz w:val="24"/>
          <w:szCs w:val="24"/>
          <w:lang w:val="en-CA"/>
        </w:rPr>
        <w:t>https://www.crd.york.ac.uk/prospero/</w:t>
      </w:r>
      <w:r w:rsidRPr="00B31514">
        <w:rPr>
          <w:rFonts w:ascii="Times New Roman" w:hAnsi="Times New Roman" w:cs="Times New Roman"/>
          <w:sz w:val="24"/>
          <w:szCs w:val="24"/>
          <w:shd w:val="clear" w:color="auto" w:fill="FFFFFF"/>
          <w:lang w:val="en-CA"/>
        </w:rPr>
        <w:t>;</w:t>
      </w:r>
      <w:r w:rsidRPr="00B31514">
        <w:rPr>
          <w:rFonts w:ascii="Times New Roman" w:hAnsi="Times New Roman" w:cs="Times New Roman"/>
          <w:sz w:val="24"/>
          <w:szCs w:val="24"/>
          <w:lang w:val="en-CA"/>
        </w:rPr>
        <w:t xml:space="preserve"> last update: November 24, 2020</w:t>
      </w:r>
      <w:r w:rsidRPr="00B31514">
        <w:rPr>
          <w:rFonts w:ascii="Times New Roman" w:hAnsi="Times New Roman" w:cs="Times New Roman"/>
          <w:bCs/>
          <w:sz w:val="24"/>
          <w:szCs w:val="24"/>
          <w:shd w:val="clear" w:color="auto" w:fill="FFFFFF"/>
          <w:lang w:val="en-CA"/>
        </w:rPr>
        <w:t xml:space="preserve">). </w:t>
      </w:r>
    </w:p>
    <w:p w14:paraId="0644B3B2" w14:textId="77777777"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p>
    <w:p w14:paraId="14AE620C" w14:textId="77777777" w:rsidR="00705631" w:rsidRPr="00B31514" w:rsidRDefault="00705631" w:rsidP="00B31514">
      <w:pPr>
        <w:spacing w:after="0" w:line="480" w:lineRule="auto"/>
        <w:rPr>
          <w:rFonts w:ascii="Times New Roman" w:hAnsi="Times New Roman" w:cs="Times New Roman"/>
          <w:i/>
          <w:sz w:val="24"/>
          <w:szCs w:val="24"/>
          <w:lang w:val="en-CA"/>
        </w:rPr>
      </w:pPr>
      <w:r w:rsidRPr="00B31514">
        <w:rPr>
          <w:rFonts w:ascii="Times New Roman" w:hAnsi="Times New Roman" w:cs="Times New Roman"/>
          <w:i/>
          <w:sz w:val="24"/>
          <w:szCs w:val="24"/>
          <w:lang w:val="en-CA"/>
        </w:rPr>
        <w:t>Source of Data</w:t>
      </w:r>
    </w:p>
    <w:p w14:paraId="00F42A8C" w14:textId="77777777" w:rsidR="00705631" w:rsidRPr="00B31514" w:rsidRDefault="00705631" w:rsidP="00B31514">
      <w:pPr>
        <w:autoSpaceDE w:val="0"/>
        <w:autoSpaceDN w:val="0"/>
        <w:adjustRightInd w:val="0"/>
        <w:spacing w:after="0" w:line="480" w:lineRule="auto"/>
        <w:rPr>
          <w:rFonts w:ascii="Times New Roman" w:hAnsi="Times New Roman" w:cs="Times New Roman"/>
          <w:sz w:val="24"/>
          <w:szCs w:val="24"/>
          <w:lang w:val="en-CA"/>
        </w:rPr>
      </w:pPr>
      <w:r w:rsidRPr="00B31514">
        <w:rPr>
          <w:rFonts w:ascii="Times New Roman" w:hAnsi="Times New Roman" w:cs="Times New Roman"/>
          <w:sz w:val="24"/>
          <w:szCs w:val="24"/>
          <w:lang w:val="en-CA"/>
        </w:rPr>
        <w:t>Online databases used for this study were: MEDLINE, Web of Science Core Collection, Embase, Cochrane, CINAHL, from their inception to November 6, 2018. An update was performed on September 16, 2020 (see Supplement, Table S1).</w:t>
      </w:r>
    </w:p>
    <w:p w14:paraId="50901184" w14:textId="77777777"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p>
    <w:p w14:paraId="41FCD580" w14:textId="77777777" w:rsidR="00705631" w:rsidRPr="00B31514" w:rsidRDefault="00705631" w:rsidP="00B31514">
      <w:pPr>
        <w:spacing w:after="0" w:line="480" w:lineRule="auto"/>
        <w:rPr>
          <w:rFonts w:ascii="Times New Roman" w:hAnsi="Times New Roman" w:cs="Times New Roman"/>
          <w:sz w:val="24"/>
          <w:szCs w:val="24"/>
          <w:lang w:val="en-CA"/>
        </w:rPr>
      </w:pPr>
      <w:r w:rsidRPr="00B31514">
        <w:rPr>
          <w:rFonts w:ascii="Times New Roman" w:hAnsi="Times New Roman" w:cs="Times New Roman"/>
          <w:i/>
          <w:sz w:val="24"/>
          <w:szCs w:val="24"/>
          <w:lang w:val="en-CA"/>
        </w:rPr>
        <w:t xml:space="preserve">Search Strategy </w:t>
      </w:r>
    </w:p>
    <w:p w14:paraId="1B9757E2" w14:textId="03DE5DED" w:rsidR="00705631" w:rsidRPr="00B31514" w:rsidRDefault="00705631" w:rsidP="00B31514">
      <w:pPr>
        <w:spacing w:after="0" w:line="480" w:lineRule="auto"/>
        <w:rPr>
          <w:rFonts w:ascii="Times New Roman" w:hAnsi="Times New Roman" w:cs="Times New Roman"/>
          <w:sz w:val="24"/>
          <w:szCs w:val="28"/>
          <w:lang w:val="en-CA"/>
        </w:rPr>
      </w:pPr>
      <w:r w:rsidRPr="00B31514">
        <w:rPr>
          <w:rFonts w:ascii="Times New Roman" w:hAnsi="Times New Roman" w:cs="Times New Roman"/>
          <w:sz w:val="24"/>
          <w:szCs w:val="28"/>
          <w:lang w:val="en-CA"/>
        </w:rPr>
        <w:t xml:space="preserve">In order to implement the search strategy and facilitate our analysis with terms describing contextual circumstances, we defined two categories of warfare. After consulting the International Security Center at Laval University, we concluded that contrary to medical concepts like chronic obstructive pulmonary disease (COPD) </w:t>
      </w:r>
      <w:r w:rsidRPr="00B31514">
        <w:rPr>
          <w:rFonts w:ascii="Times New Roman" w:hAnsi="Times New Roman" w:cs="Times New Roman"/>
          <w:noProof/>
          <w:sz w:val="24"/>
          <w:szCs w:val="28"/>
          <w:vertAlign w:val="superscript"/>
          <w:lang w:val="en-CA"/>
        </w:rPr>
        <w:t>2,3</w:t>
      </w:r>
      <w:r w:rsidRPr="00B31514">
        <w:rPr>
          <w:rFonts w:ascii="Times New Roman" w:hAnsi="Times New Roman" w:cs="Times New Roman"/>
          <w:sz w:val="24"/>
          <w:szCs w:val="28"/>
          <w:lang w:val="en-CA"/>
        </w:rPr>
        <w:t xml:space="preserve">, there were no gold-standard terms defining conventional and asymmetric warfare (including terrorism and criminal activities). Thus, </w:t>
      </w:r>
      <w:r w:rsidRPr="00B31514">
        <w:rPr>
          <w:rFonts w:ascii="Times New Roman" w:hAnsi="Times New Roman" w:cs="Times New Roman"/>
          <w:sz w:val="24"/>
          <w:szCs w:val="28"/>
          <w:u w:val="single"/>
          <w:lang w:val="en-CA"/>
        </w:rPr>
        <w:t>conventional warfare</w:t>
      </w:r>
      <w:r w:rsidRPr="00B31514">
        <w:rPr>
          <w:rFonts w:ascii="Times New Roman" w:hAnsi="Times New Roman" w:cs="Times New Roman"/>
          <w:sz w:val="24"/>
          <w:szCs w:val="28"/>
          <w:lang w:val="en-CA"/>
        </w:rPr>
        <w:t xml:space="preserve"> was defined as armed conflicts opposing states where political authorities employ their respective military capability within the international law of armed conflict framework. </w:t>
      </w:r>
      <w:r w:rsidRPr="00B31514">
        <w:rPr>
          <w:rFonts w:ascii="Times New Roman" w:hAnsi="Times New Roman" w:cs="Times New Roman"/>
          <w:sz w:val="24"/>
          <w:szCs w:val="28"/>
          <w:u w:val="single"/>
          <w:lang w:val="en-CA"/>
        </w:rPr>
        <w:t>Asymmetrical warfare</w:t>
      </w:r>
      <w:r w:rsidRPr="00B31514">
        <w:rPr>
          <w:rFonts w:ascii="Times New Roman" w:hAnsi="Times New Roman" w:cs="Times New Roman"/>
          <w:sz w:val="24"/>
          <w:szCs w:val="28"/>
          <w:lang w:val="en-CA"/>
        </w:rPr>
        <w:t xml:space="preserve">, on the other hand, involves rogue states or </w:t>
      </w:r>
      <w:r w:rsidRPr="00B31514">
        <w:rPr>
          <w:rFonts w:ascii="Times New Roman" w:hAnsi="Times New Roman" w:cs="Times New Roman"/>
          <w:sz w:val="24"/>
          <w:szCs w:val="28"/>
          <w:lang w:val="en-CA"/>
        </w:rPr>
        <w:lastRenderedPageBreak/>
        <w:t>organizations</w:t>
      </w:r>
      <w:r w:rsidRPr="00B31514">
        <w:rPr>
          <w:rFonts w:ascii="Times New Roman" w:hAnsi="Times New Roman" w:cs="Times New Roman"/>
          <w:sz w:val="24"/>
          <w:szCs w:val="28"/>
          <w:u w:val="single"/>
          <w:lang w:val="en-CA"/>
        </w:rPr>
        <w:t xml:space="preserve"> seeking to gain</w:t>
      </w:r>
      <w:r w:rsidRPr="00B31514">
        <w:rPr>
          <w:rFonts w:ascii="Times New Roman" w:hAnsi="Times New Roman" w:cs="Times New Roman"/>
          <w:sz w:val="24"/>
          <w:szCs w:val="28"/>
          <w:lang w:val="en-CA"/>
        </w:rPr>
        <w:t xml:space="preserve"> a political advantage using diverse means (e.g.: military, cyber, psyops, finance, terrorism, criminality, etc.), usually accompanied by the use of force or violence. </w:t>
      </w:r>
    </w:p>
    <w:p w14:paraId="354E1CA9" w14:textId="3B50163B" w:rsidR="00705631" w:rsidRPr="00B31514" w:rsidRDefault="00705631" w:rsidP="00B31514">
      <w:pPr>
        <w:autoSpaceDE w:val="0"/>
        <w:autoSpaceDN w:val="0"/>
        <w:adjustRightInd w:val="0"/>
        <w:spacing w:after="0" w:line="480" w:lineRule="auto"/>
        <w:ind w:firstLine="708"/>
        <w:rPr>
          <w:rFonts w:ascii="Times New Roman" w:eastAsia="Times New Roman" w:hAnsi="Times New Roman" w:cs="Times New Roman"/>
          <w:sz w:val="24"/>
          <w:szCs w:val="24"/>
          <w:lang w:val="en-CA" w:eastAsia="en-CA"/>
        </w:rPr>
      </w:pPr>
      <w:bookmarkStart w:id="1" w:name="_Hlk65524883"/>
      <w:r w:rsidRPr="00B31514">
        <w:rPr>
          <w:rFonts w:ascii="Times New Roman" w:hAnsi="Times New Roman" w:cs="Times New Roman"/>
          <w:sz w:val="24"/>
          <w:szCs w:val="24"/>
          <w:lang w:val="en-CA"/>
        </w:rPr>
        <w:t>Indexed and free-text terms, such as Respiratory, Warfare and Chemical Threat were selected by individually combining each of the two warfare modes with respiratory distress (See Table S1). Afterwards, references were imported into the Covidence systematic review software (Veritas Health Innovation, Melbourne, Australia, available at www.covidence.org).</w:t>
      </w:r>
      <w:r w:rsidRPr="00B31514">
        <w:rPr>
          <w:rFonts w:ascii="Times New Roman" w:eastAsia="Times New Roman" w:hAnsi="Times New Roman" w:cs="Times New Roman"/>
          <w:sz w:val="24"/>
          <w:szCs w:val="24"/>
          <w:lang w:val="en-CA" w:eastAsia="en-CA"/>
        </w:rPr>
        <w:t xml:space="preserve"> Duplicate papers were automatically rejected by this software</w:t>
      </w:r>
      <w:bookmarkEnd w:id="1"/>
      <w:r w:rsidRPr="00B31514">
        <w:rPr>
          <w:rFonts w:ascii="Times New Roman" w:eastAsia="Times New Roman" w:hAnsi="Times New Roman" w:cs="Times New Roman"/>
          <w:sz w:val="24"/>
          <w:szCs w:val="24"/>
          <w:lang w:val="en-CA" w:eastAsia="en-CA"/>
        </w:rPr>
        <w:t xml:space="preserve">. </w:t>
      </w:r>
    </w:p>
    <w:p w14:paraId="084F4AC1" w14:textId="77777777"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p>
    <w:p w14:paraId="64F37958" w14:textId="77777777"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r w:rsidRPr="00B31514">
        <w:rPr>
          <w:rFonts w:ascii="Times New Roman" w:hAnsi="Times New Roman" w:cs="Times New Roman"/>
          <w:i/>
          <w:sz w:val="24"/>
          <w:szCs w:val="24"/>
          <w:lang w:val="en-CA"/>
        </w:rPr>
        <w:t>Research Staff Structure and Functioning</w:t>
      </w:r>
    </w:p>
    <w:p w14:paraId="20194776" w14:textId="77777777" w:rsidR="00705631" w:rsidRPr="00B31514" w:rsidRDefault="00705631" w:rsidP="00B31514">
      <w:pPr>
        <w:autoSpaceDE w:val="0"/>
        <w:autoSpaceDN w:val="0"/>
        <w:adjustRightInd w:val="0"/>
        <w:spacing w:after="0" w:line="480" w:lineRule="auto"/>
        <w:rPr>
          <w:rFonts w:ascii="Times New Roman" w:eastAsia="Times New Roman" w:hAnsi="Times New Roman" w:cs="Times New Roman"/>
          <w:sz w:val="24"/>
          <w:szCs w:val="24"/>
          <w:lang w:val="en-CA" w:eastAsia="en-CA"/>
        </w:rPr>
      </w:pPr>
      <w:r w:rsidRPr="00B31514">
        <w:rPr>
          <w:rFonts w:ascii="Times New Roman" w:eastAsia="Times New Roman" w:hAnsi="Times New Roman" w:cs="Times New Roman"/>
          <w:sz w:val="24"/>
          <w:szCs w:val="24"/>
          <w:lang w:val="en-CA" w:eastAsia="en-CA"/>
        </w:rPr>
        <w:t>Two triage sequences involving two-member teams were designed for this study (first triage: titles and/or abstracts of studies; second triage: full-text screening, based on the inclusion and exclusion criteria). For the quality appraisal and data extraction sequences, the same staff composition was used. All personnel received Cochrane training provided by Cochrane-Francophone (Quebec, Canada) or by their home university. Additional training was provided on chemical, biological, radiological, nuclear, explosive (CBRNE) defence for those with no professional background in this specialist field. A triage performance test consisting in the evaluation of forty papers was administered to all triage staff.</w:t>
      </w:r>
    </w:p>
    <w:p w14:paraId="518B3141" w14:textId="77777777" w:rsidR="00705631" w:rsidRPr="00B31514" w:rsidRDefault="00705631" w:rsidP="00B31514">
      <w:pPr>
        <w:autoSpaceDE w:val="0"/>
        <w:autoSpaceDN w:val="0"/>
        <w:adjustRightInd w:val="0"/>
        <w:spacing w:after="0" w:line="480" w:lineRule="auto"/>
        <w:ind w:firstLine="708"/>
        <w:rPr>
          <w:rFonts w:ascii="Times New Roman" w:eastAsia="Times New Roman" w:hAnsi="Times New Roman" w:cs="Times New Roman"/>
          <w:sz w:val="24"/>
          <w:szCs w:val="24"/>
          <w:lang w:val="en-CA" w:eastAsia="en-CA"/>
        </w:rPr>
      </w:pPr>
      <w:r w:rsidRPr="00B31514">
        <w:rPr>
          <w:rFonts w:ascii="Times New Roman" w:eastAsia="Times New Roman" w:hAnsi="Times New Roman" w:cs="Times New Roman"/>
          <w:sz w:val="24"/>
          <w:szCs w:val="24"/>
          <w:lang w:val="en-CA" w:eastAsia="en-CA"/>
        </w:rPr>
        <w:t xml:space="preserve">Each team member worked independently of the other, making his or her own determination directly in the Covidence software based on the inclusion and exclusion criteria. If disagreements occurred at any point in the above-mentioned process, a consensus approach was initially applied between staffers. If this failed to resolve the issue, an independent resolution panel comprised of two senior staff members, a senior medical officer and a researcher, decided </w:t>
      </w:r>
      <w:r w:rsidRPr="00B31514">
        <w:rPr>
          <w:rFonts w:ascii="Times New Roman" w:eastAsia="Times New Roman" w:hAnsi="Times New Roman" w:cs="Times New Roman"/>
          <w:sz w:val="24"/>
          <w:szCs w:val="24"/>
          <w:lang w:val="en-CA" w:eastAsia="en-CA"/>
        </w:rPr>
        <w:lastRenderedPageBreak/>
        <w:t>on the eligibility of the paper in dispute. At the end, member determinations differed less than 10% of the time.</w:t>
      </w:r>
    </w:p>
    <w:p w14:paraId="28BA1F35" w14:textId="77777777" w:rsidR="00705631" w:rsidRPr="00B31514" w:rsidRDefault="00705631" w:rsidP="00B31514">
      <w:pPr>
        <w:autoSpaceDE w:val="0"/>
        <w:autoSpaceDN w:val="0"/>
        <w:adjustRightInd w:val="0"/>
        <w:spacing w:after="0" w:line="480" w:lineRule="auto"/>
        <w:ind w:firstLine="709"/>
        <w:rPr>
          <w:rFonts w:ascii="Times New Roman" w:eastAsia="Times New Roman" w:hAnsi="Times New Roman" w:cs="Times New Roman"/>
          <w:sz w:val="24"/>
          <w:szCs w:val="24"/>
          <w:lang w:val="en-CA" w:eastAsia="en-CA"/>
        </w:rPr>
      </w:pPr>
    </w:p>
    <w:p w14:paraId="074BF1A0" w14:textId="77777777" w:rsidR="00705631" w:rsidRPr="00B31514" w:rsidRDefault="00705631" w:rsidP="00B31514">
      <w:pPr>
        <w:autoSpaceDE w:val="0"/>
        <w:autoSpaceDN w:val="0"/>
        <w:adjustRightInd w:val="0"/>
        <w:spacing w:after="0" w:line="480" w:lineRule="auto"/>
        <w:rPr>
          <w:rFonts w:ascii="Times New Roman" w:hAnsi="Times New Roman" w:cs="Times New Roman"/>
          <w:sz w:val="24"/>
          <w:szCs w:val="24"/>
          <w:lang w:val="en-CA"/>
        </w:rPr>
      </w:pPr>
      <w:bookmarkStart w:id="2" w:name="_Hlk65524966"/>
      <w:r w:rsidRPr="00B31514">
        <w:rPr>
          <w:rFonts w:ascii="Times New Roman" w:hAnsi="Times New Roman" w:cs="Times New Roman"/>
          <w:i/>
          <w:sz w:val="24"/>
          <w:szCs w:val="24"/>
          <w:lang w:val="en-CA"/>
        </w:rPr>
        <w:t xml:space="preserve">Inclusion and Exclusion Criteria </w:t>
      </w:r>
    </w:p>
    <w:p w14:paraId="0781318A" w14:textId="77777777"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r w:rsidRPr="00B31514">
        <w:rPr>
          <w:rFonts w:ascii="Times New Roman" w:hAnsi="Times New Roman" w:cs="Times New Roman"/>
          <w:iCs/>
          <w:sz w:val="24"/>
          <w:szCs w:val="24"/>
          <w:lang w:val="en-CA"/>
        </w:rPr>
        <w:t xml:space="preserve">Inclusion criteria were: </w:t>
      </w:r>
      <w:proofErr w:type="spellStart"/>
      <w:r w:rsidRPr="00B31514">
        <w:rPr>
          <w:rFonts w:ascii="Times New Roman" w:hAnsi="Times New Roman" w:cs="Times New Roman"/>
          <w:iCs/>
          <w:sz w:val="24"/>
          <w:szCs w:val="24"/>
          <w:lang w:val="en-CA"/>
        </w:rPr>
        <w:t>i</w:t>
      </w:r>
      <w:proofErr w:type="spellEnd"/>
      <w:r w:rsidRPr="00B31514">
        <w:rPr>
          <w:rFonts w:ascii="Times New Roman" w:hAnsi="Times New Roman" w:cs="Times New Roman"/>
          <w:iCs/>
          <w:sz w:val="24"/>
          <w:szCs w:val="24"/>
          <w:lang w:val="en-CA"/>
        </w:rPr>
        <w:t xml:space="preserve">. exposure to a chemical incident (e.g.: mass casualties); ii. chemical known to affect the respiratory system; iii. interventions involving the assessment of a triad of integrated key competences (1. protection for staff and patients, 2. decontamination (immediate and specialized) and 3. treatments iv. patient outcomes (i.e.: primary: patient’s health condition remaining stable due to medical, protection and decontamination interventions; secondary: patient’s mortality occurring at his/her admission despite medical, protection and decontamination interventions); v. studies with original data, including those conducted on animals induced with chemical agents in order to simulate a medical extraction of casualties; vi studies should have occurred in our zone of interest. </w:t>
      </w:r>
      <w:r w:rsidRPr="00B31514">
        <w:rPr>
          <w:rFonts w:ascii="Times New Roman" w:hAnsi="Times New Roman" w:cs="Times New Roman"/>
          <w:bCs/>
          <w:sz w:val="24"/>
          <w:szCs w:val="24"/>
          <w:shd w:val="clear" w:color="auto" w:fill="FFFFFF"/>
          <w:lang w:val="en-CA"/>
        </w:rPr>
        <w:t>The zone of interest where medical interventions took place in eligible studies was defined as the casualty extraction from the incident site where the chemical attack occurred to the clean zone, where the patient was admitted to the hospital (Figure 1).</w:t>
      </w:r>
    </w:p>
    <w:p w14:paraId="3E2D3505" w14:textId="07E83F0B" w:rsidR="00705631" w:rsidRPr="00B31514" w:rsidRDefault="00705631" w:rsidP="00B31514">
      <w:pPr>
        <w:autoSpaceDE w:val="0"/>
        <w:autoSpaceDN w:val="0"/>
        <w:adjustRightInd w:val="0"/>
        <w:spacing w:after="0" w:line="480" w:lineRule="auto"/>
        <w:ind w:firstLine="708"/>
        <w:rPr>
          <w:rFonts w:ascii="Times New Roman" w:hAnsi="Times New Roman" w:cs="Times New Roman"/>
          <w:iCs/>
          <w:sz w:val="24"/>
          <w:szCs w:val="24"/>
          <w:lang w:val="en-CA"/>
        </w:rPr>
      </w:pPr>
      <w:bookmarkStart w:id="3" w:name="_Hlk63107528"/>
      <w:r w:rsidRPr="00B31514">
        <w:rPr>
          <w:rFonts w:ascii="Times New Roman" w:hAnsi="Times New Roman" w:cs="Times New Roman"/>
          <w:iCs/>
          <w:sz w:val="24"/>
          <w:szCs w:val="24"/>
          <w:lang w:val="en-CA"/>
        </w:rPr>
        <w:t xml:space="preserve">Studies were excluded if: </w:t>
      </w:r>
      <w:proofErr w:type="spellStart"/>
      <w:r w:rsidRPr="00B31514">
        <w:rPr>
          <w:rFonts w:ascii="Times New Roman" w:hAnsi="Times New Roman" w:cs="Times New Roman"/>
          <w:iCs/>
          <w:sz w:val="24"/>
          <w:szCs w:val="24"/>
          <w:lang w:val="en-CA"/>
        </w:rPr>
        <w:t>i</w:t>
      </w:r>
      <w:proofErr w:type="spellEnd"/>
      <w:r w:rsidRPr="00B31514">
        <w:rPr>
          <w:rFonts w:ascii="Times New Roman" w:hAnsi="Times New Roman" w:cs="Times New Roman"/>
          <w:iCs/>
          <w:sz w:val="24"/>
          <w:szCs w:val="24"/>
          <w:lang w:val="en-CA"/>
        </w:rPr>
        <w:t>. effects were shown on insects, plants or materials; ii. procedures were performed in a clean/cold zone setting once the patient is fully admitted and handled by the medical facility’s staff; iii. they did not address a respiratory disorder; iv. it they did not present original data (e.g.: reviews); v. the topic was not related to a chemical threat (e.g.: suicide attempt).</w:t>
      </w:r>
      <w:bookmarkEnd w:id="2"/>
      <w:bookmarkEnd w:id="3"/>
    </w:p>
    <w:p w14:paraId="73C74948" w14:textId="77777777" w:rsidR="00B31514" w:rsidRPr="00B31514" w:rsidRDefault="00B31514" w:rsidP="00B31514">
      <w:pPr>
        <w:autoSpaceDE w:val="0"/>
        <w:autoSpaceDN w:val="0"/>
        <w:adjustRightInd w:val="0"/>
        <w:spacing w:after="0" w:line="480" w:lineRule="auto"/>
        <w:ind w:firstLine="708"/>
        <w:rPr>
          <w:rFonts w:ascii="Times New Roman" w:hAnsi="Times New Roman" w:cs="Times New Roman"/>
          <w:i/>
          <w:sz w:val="24"/>
          <w:szCs w:val="24"/>
          <w:lang w:val="en-CA"/>
        </w:rPr>
      </w:pPr>
    </w:p>
    <w:p w14:paraId="70D12631" w14:textId="4EA7A279"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r w:rsidRPr="00B31514">
        <w:rPr>
          <w:rFonts w:ascii="Times New Roman" w:hAnsi="Times New Roman" w:cs="Times New Roman"/>
          <w:i/>
          <w:sz w:val="24"/>
          <w:szCs w:val="24"/>
          <w:lang w:val="en-CA"/>
        </w:rPr>
        <w:t>Quality Appraisal/Risk of Bias</w:t>
      </w:r>
    </w:p>
    <w:p w14:paraId="49BAF4AB" w14:textId="77777777" w:rsidR="00705631" w:rsidRPr="00B31514" w:rsidRDefault="00705631" w:rsidP="00B31514">
      <w:pPr>
        <w:autoSpaceDE w:val="0"/>
        <w:autoSpaceDN w:val="0"/>
        <w:adjustRightInd w:val="0"/>
        <w:spacing w:after="0" w:line="480" w:lineRule="auto"/>
        <w:rPr>
          <w:rFonts w:ascii="Times New Roman" w:hAnsi="Times New Roman" w:cs="Times New Roman"/>
          <w:sz w:val="24"/>
          <w:szCs w:val="24"/>
          <w:lang w:val="en-CA"/>
        </w:rPr>
      </w:pPr>
      <w:bookmarkStart w:id="4" w:name="_Hlk65525317"/>
      <w:r w:rsidRPr="00B31514">
        <w:rPr>
          <w:rFonts w:ascii="Times New Roman" w:hAnsi="Times New Roman" w:cs="Times New Roman"/>
          <w:sz w:val="24"/>
          <w:szCs w:val="24"/>
          <w:lang w:val="en-CA"/>
        </w:rPr>
        <w:lastRenderedPageBreak/>
        <w:t xml:space="preserve">Two quality appraisal charts were used in order to detect and mitigate the variability in staffers’ assessments. The first was developed by Hong et al. (2018) from McGill University </w:t>
      </w:r>
      <w:r w:rsidRPr="00B31514">
        <w:rPr>
          <w:rFonts w:ascii="Times New Roman" w:hAnsi="Times New Roman" w:cs="Times New Roman"/>
          <w:noProof/>
          <w:sz w:val="24"/>
          <w:szCs w:val="24"/>
          <w:vertAlign w:val="superscript"/>
          <w:lang w:val="en-CA"/>
        </w:rPr>
        <w:t>4</w:t>
      </w:r>
      <w:r w:rsidRPr="00B31514">
        <w:rPr>
          <w:rFonts w:ascii="Times New Roman" w:hAnsi="Times New Roman" w:cs="Times New Roman"/>
          <w:sz w:val="24"/>
          <w:szCs w:val="24"/>
          <w:lang w:val="en-CA"/>
        </w:rPr>
        <w:t xml:space="preserve">. The second was from Hawker et al. (2002) (Appendices C and D) </w:t>
      </w:r>
      <w:r w:rsidRPr="00B31514">
        <w:rPr>
          <w:rFonts w:ascii="Times New Roman" w:hAnsi="Times New Roman" w:cs="Times New Roman"/>
          <w:noProof/>
          <w:sz w:val="24"/>
          <w:szCs w:val="24"/>
          <w:vertAlign w:val="superscript"/>
          <w:lang w:val="en-CA"/>
        </w:rPr>
        <w:t>5</w:t>
      </w:r>
      <w:r w:rsidRPr="00B31514">
        <w:rPr>
          <w:rFonts w:ascii="Times New Roman" w:hAnsi="Times New Roman" w:cs="Times New Roman"/>
          <w:sz w:val="24"/>
          <w:szCs w:val="24"/>
          <w:lang w:val="en-CA"/>
        </w:rPr>
        <w:t>. The risk of bias in each eligible study was assessed independently by two reviewers</w:t>
      </w:r>
      <w:bookmarkEnd w:id="4"/>
      <w:r w:rsidRPr="00B31514">
        <w:rPr>
          <w:rFonts w:ascii="Times New Roman" w:hAnsi="Times New Roman" w:cs="Times New Roman"/>
          <w:sz w:val="24"/>
          <w:szCs w:val="24"/>
          <w:lang w:val="en-CA"/>
        </w:rPr>
        <w:t>.</w:t>
      </w:r>
    </w:p>
    <w:p w14:paraId="129E2FE2" w14:textId="77777777" w:rsidR="00705631" w:rsidRPr="00B31514" w:rsidRDefault="00705631" w:rsidP="00B31514">
      <w:pPr>
        <w:autoSpaceDE w:val="0"/>
        <w:autoSpaceDN w:val="0"/>
        <w:adjustRightInd w:val="0"/>
        <w:spacing w:after="0" w:line="480" w:lineRule="auto"/>
        <w:rPr>
          <w:rFonts w:ascii="Times New Roman" w:hAnsi="Times New Roman" w:cs="Times New Roman"/>
          <w:sz w:val="24"/>
          <w:szCs w:val="24"/>
          <w:lang w:val="en-CA"/>
        </w:rPr>
      </w:pPr>
    </w:p>
    <w:p w14:paraId="599FA0FB" w14:textId="6FC751B6"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r w:rsidRPr="00B31514">
        <w:rPr>
          <w:rFonts w:ascii="Times New Roman" w:hAnsi="Times New Roman" w:cs="Times New Roman"/>
          <w:i/>
          <w:sz w:val="24"/>
          <w:szCs w:val="24"/>
          <w:lang w:val="en-CA"/>
        </w:rPr>
        <w:t xml:space="preserve">Data </w:t>
      </w:r>
      <w:r w:rsidR="00B31514" w:rsidRPr="00B31514">
        <w:rPr>
          <w:rFonts w:ascii="Times New Roman" w:hAnsi="Times New Roman" w:cs="Times New Roman"/>
          <w:i/>
          <w:sz w:val="24"/>
          <w:szCs w:val="24"/>
          <w:lang w:val="en-CA"/>
        </w:rPr>
        <w:t>E</w:t>
      </w:r>
      <w:r w:rsidRPr="00B31514">
        <w:rPr>
          <w:rFonts w:ascii="Times New Roman" w:hAnsi="Times New Roman" w:cs="Times New Roman"/>
          <w:i/>
          <w:sz w:val="24"/>
          <w:szCs w:val="24"/>
          <w:lang w:val="en-CA"/>
        </w:rPr>
        <w:t>xtraction</w:t>
      </w:r>
    </w:p>
    <w:p w14:paraId="11E62E54" w14:textId="77777777"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r w:rsidRPr="00B31514">
        <w:rPr>
          <w:rFonts w:ascii="Times New Roman" w:hAnsi="Times New Roman" w:cs="Times New Roman"/>
          <w:sz w:val="24"/>
          <w:szCs w:val="24"/>
          <w:lang w:val="en-CA"/>
        </w:rPr>
        <w:t xml:space="preserve">Due to the complexity of intervening in environments contaminated by chemicals, biologicals, or ionizing radiation (i.e.: radiological and nuclear), criteria for the extraction sheet were tailored to this field in order to optimize the analysis. </w:t>
      </w:r>
    </w:p>
    <w:p w14:paraId="0538D5D1" w14:textId="77777777"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p>
    <w:p w14:paraId="706F7682" w14:textId="77777777" w:rsidR="00705631" w:rsidRPr="00B31514" w:rsidRDefault="00705631" w:rsidP="00B31514">
      <w:pPr>
        <w:autoSpaceDE w:val="0"/>
        <w:autoSpaceDN w:val="0"/>
        <w:adjustRightInd w:val="0"/>
        <w:spacing w:after="0" w:line="480" w:lineRule="auto"/>
        <w:rPr>
          <w:rFonts w:ascii="Times New Roman" w:hAnsi="Times New Roman" w:cs="Times New Roman"/>
          <w:i/>
          <w:iCs/>
          <w:sz w:val="24"/>
          <w:szCs w:val="24"/>
          <w:lang w:val="en-CA"/>
        </w:rPr>
      </w:pPr>
      <w:r w:rsidRPr="00B31514">
        <w:rPr>
          <w:rFonts w:ascii="Times New Roman" w:hAnsi="Times New Roman" w:cs="Times New Roman"/>
          <w:i/>
          <w:iCs/>
          <w:sz w:val="24"/>
          <w:szCs w:val="24"/>
          <w:lang w:val="en-CA"/>
        </w:rPr>
        <w:t>Synthesis of Evidence</w:t>
      </w:r>
    </w:p>
    <w:p w14:paraId="62E1ED50" w14:textId="77777777" w:rsidR="00705631" w:rsidRPr="00B31514" w:rsidRDefault="00705631" w:rsidP="00B31514">
      <w:pPr>
        <w:autoSpaceDE w:val="0"/>
        <w:autoSpaceDN w:val="0"/>
        <w:adjustRightInd w:val="0"/>
        <w:spacing w:after="0" w:line="480" w:lineRule="auto"/>
        <w:rPr>
          <w:rFonts w:ascii="Times New Roman" w:hAnsi="Times New Roman" w:cs="Times New Roman"/>
          <w:sz w:val="24"/>
          <w:szCs w:val="24"/>
          <w:lang w:val="en-CA"/>
        </w:rPr>
      </w:pPr>
      <w:r w:rsidRPr="00B31514">
        <w:rPr>
          <w:rFonts w:ascii="Times New Roman" w:hAnsi="Times New Roman" w:cs="Times New Roman"/>
          <w:sz w:val="24"/>
          <w:szCs w:val="24"/>
          <w:lang w:val="en-CA"/>
        </w:rPr>
        <w:t xml:space="preserve">Evidence from the eligible studies was summarized according to: </w:t>
      </w:r>
      <w:proofErr w:type="spellStart"/>
      <w:r w:rsidRPr="00B31514">
        <w:rPr>
          <w:rFonts w:ascii="Times New Roman" w:hAnsi="Times New Roman" w:cs="Times New Roman"/>
          <w:sz w:val="24"/>
          <w:szCs w:val="24"/>
          <w:lang w:val="en-CA"/>
        </w:rPr>
        <w:t>i</w:t>
      </w:r>
      <w:proofErr w:type="spellEnd"/>
      <w:r w:rsidRPr="00B31514">
        <w:rPr>
          <w:rFonts w:ascii="Times New Roman" w:hAnsi="Times New Roman" w:cs="Times New Roman"/>
          <w:sz w:val="24"/>
          <w:szCs w:val="24"/>
          <w:lang w:val="en-CA"/>
        </w:rPr>
        <w:t>. algorithms used to respond to a chemical attack (i.e.: from disaster management plans to early-warning systems used to respond to vital distress; ii. detection of clinical signs indicating the chemical agent affected the patient’s condition (e.g.: stabilization, health deterioration, death, etc.) along with clinical interventions (including treatment, protection and decontamination); iii. time elapsed until the start of the clinical response, including protection and decontamination procedures; iv. association between the above-mentioned variables.</w:t>
      </w:r>
    </w:p>
    <w:p w14:paraId="653883E2" w14:textId="77777777"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p>
    <w:p w14:paraId="44285157" w14:textId="77777777" w:rsidR="00705631" w:rsidRPr="00B31514" w:rsidRDefault="00705631" w:rsidP="00B31514">
      <w:pPr>
        <w:autoSpaceDE w:val="0"/>
        <w:autoSpaceDN w:val="0"/>
        <w:adjustRightInd w:val="0"/>
        <w:spacing w:after="0" w:line="480" w:lineRule="auto"/>
        <w:rPr>
          <w:rFonts w:ascii="Times New Roman" w:hAnsi="Times New Roman" w:cs="Times New Roman"/>
          <w:i/>
          <w:iCs/>
          <w:sz w:val="24"/>
          <w:szCs w:val="24"/>
          <w:lang w:val="en-CA"/>
        </w:rPr>
      </w:pPr>
      <w:r w:rsidRPr="00B31514">
        <w:rPr>
          <w:rFonts w:ascii="Times New Roman" w:hAnsi="Times New Roman" w:cs="Times New Roman"/>
          <w:i/>
          <w:iCs/>
          <w:sz w:val="24"/>
          <w:szCs w:val="24"/>
          <w:lang w:val="en-CA"/>
        </w:rPr>
        <w:t xml:space="preserve">Biostatistical Analysis </w:t>
      </w:r>
    </w:p>
    <w:p w14:paraId="6ED014CB" w14:textId="0A71A0E4" w:rsidR="00705631" w:rsidRPr="00B31514" w:rsidRDefault="00705631" w:rsidP="00B31514">
      <w:pPr>
        <w:autoSpaceDE w:val="0"/>
        <w:autoSpaceDN w:val="0"/>
        <w:adjustRightInd w:val="0"/>
        <w:spacing w:after="0" w:line="480" w:lineRule="auto"/>
        <w:rPr>
          <w:rFonts w:ascii="Times New Roman" w:hAnsi="Times New Roman" w:cs="Times New Roman"/>
          <w:sz w:val="24"/>
          <w:szCs w:val="24"/>
          <w:lang w:val="en-CA"/>
        </w:rPr>
      </w:pPr>
      <w:r w:rsidRPr="00B31514">
        <w:rPr>
          <w:rFonts w:ascii="Times New Roman" w:hAnsi="Times New Roman" w:cs="Times New Roman"/>
          <w:sz w:val="24"/>
          <w:szCs w:val="24"/>
          <w:lang w:val="en-CA"/>
        </w:rPr>
        <w:t xml:space="preserve">Descriptive statistics were planned to summarize study characteristics, including mean and standard deviations, median and interquartile range and proportions, according to the type of data. A Student’s t-test was planned to compare the clinical onset of chemical agents and </w:t>
      </w:r>
      <w:r w:rsidRPr="00B31514">
        <w:rPr>
          <w:rFonts w:ascii="Times New Roman" w:hAnsi="Times New Roman" w:cs="Times New Roman"/>
          <w:sz w:val="24"/>
          <w:szCs w:val="24"/>
          <w:lang w:val="en-CA"/>
        </w:rPr>
        <w:lastRenderedPageBreak/>
        <w:t xml:space="preserve">algorithms of treatment, along with </w:t>
      </w:r>
      <w:r w:rsidRPr="00B31514">
        <w:rPr>
          <w:rFonts w:ascii="Times New Roman" w:hAnsi="Times New Roman" w:cs="Times New Roman"/>
          <w:color w:val="000000"/>
          <w:sz w:val="24"/>
          <w:lang w:val="en-CA"/>
        </w:rPr>
        <w:t xml:space="preserve">forest plots to highlight the difference between each agent’s action mechanism and therapy onsets. </w:t>
      </w:r>
      <w:r w:rsidRPr="00B31514">
        <w:rPr>
          <w:rFonts w:ascii="Times New Roman" w:hAnsi="Times New Roman" w:cs="Times New Roman"/>
          <w:sz w:val="24"/>
          <w:szCs w:val="24"/>
          <w:lang w:val="en-CA"/>
        </w:rPr>
        <w:t xml:space="preserve">To mitigate the potential impact of missing data, an imputation model was planned (root mean square error). Descriptive statistics and other numbers were to be computed with IBM SPSS Statistics Software (SPSS Inc., Chicago, IL, USA) and </w:t>
      </w:r>
      <w:proofErr w:type="spellStart"/>
      <w:r w:rsidRPr="00B31514">
        <w:rPr>
          <w:rFonts w:ascii="Times New Roman" w:hAnsi="Times New Roman" w:cs="Times New Roman"/>
          <w:color w:val="000000"/>
          <w:sz w:val="24"/>
          <w:lang w:val="en-CA"/>
        </w:rPr>
        <w:t>StatsDirect</w:t>
      </w:r>
      <w:proofErr w:type="spellEnd"/>
      <w:r w:rsidRPr="00B31514">
        <w:rPr>
          <w:rFonts w:ascii="Times New Roman" w:hAnsi="Times New Roman" w:cs="Times New Roman"/>
          <w:color w:val="000000"/>
          <w:sz w:val="24"/>
          <w:lang w:val="en-CA"/>
        </w:rPr>
        <w:t xml:space="preserve"> statistical software, </w:t>
      </w:r>
      <w:proofErr w:type="spellStart"/>
      <w:r w:rsidRPr="00B31514">
        <w:rPr>
          <w:rFonts w:ascii="Times New Roman" w:hAnsi="Times New Roman" w:cs="Times New Roman"/>
          <w:color w:val="000000"/>
          <w:sz w:val="24"/>
          <w:lang w:val="en-CA"/>
        </w:rPr>
        <w:t>StatsDirect</w:t>
      </w:r>
      <w:proofErr w:type="spellEnd"/>
      <w:r w:rsidRPr="00B31514">
        <w:rPr>
          <w:rFonts w:ascii="Times New Roman" w:hAnsi="Times New Roman" w:cs="Times New Roman"/>
          <w:color w:val="000000"/>
          <w:sz w:val="24"/>
          <w:lang w:val="en-CA"/>
        </w:rPr>
        <w:t xml:space="preserve"> Ltd. Sale, Cheshire, UK)</w:t>
      </w:r>
      <w:r w:rsidRPr="00B31514">
        <w:rPr>
          <w:rFonts w:ascii="Times New Roman" w:hAnsi="Times New Roman" w:cs="Times New Roman"/>
          <w:sz w:val="24"/>
          <w:szCs w:val="24"/>
          <w:lang w:val="en-CA"/>
        </w:rPr>
        <w:t>. A meta-analysis involving the use of a random effects linear model (mixed effects model) was planned to correlate the effect of a studied chemical agent with one of the clinical interventions made by health care professionals. This would have highlighted the windows of treatment opportunities in such contaminated environments (</w:t>
      </w:r>
      <w:proofErr w:type="spellStart"/>
      <w:r w:rsidRPr="00B31514">
        <w:rPr>
          <w:rFonts w:ascii="Times New Roman" w:hAnsi="Times New Roman" w:cs="Times New Roman"/>
          <w:sz w:val="24"/>
          <w:szCs w:val="24"/>
          <w:lang w:val="en-CA"/>
        </w:rPr>
        <w:t>RevMan</w:t>
      </w:r>
      <w:proofErr w:type="spellEnd"/>
      <w:r w:rsidRPr="00B31514">
        <w:rPr>
          <w:rFonts w:ascii="Times New Roman" w:hAnsi="Times New Roman" w:cs="Times New Roman"/>
          <w:sz w:val="24"/>
          <w:szCs w:val="24"/>
          <w:lang w:val="en-CA"/>
        </w:rPr>
        <w:t xml:space="preserve"> software version 5.3, The Cochrane Collaboration Network, London, United Kingdom</w:t>
      </w:r>
      <w:r w:rsidRPr="00B31514">
        <w:rPr>
          <w:rFonts w:ascii="Times New Roman" w:hAnsi="Times New Roman" w:cs="Times New Roman"/>
          <w:lang w:val="en-CA"/>
        </w:rPr>
        <w:t>)</w:t>
      </w:r>
      <w:r w:rsidRPr="00B31514">
        <w:rPr>
          <w:rFonts w:ascii="Times New Roman" w:hAnsi="Times New Roman" w:cs="Times New Roman"/>
          <w:sz w:val="24"/>
          <w:szCs w:val="24"/>
          <w:lang w:val="en-CA"/>
        </w:rPr>
        <w:t>. The statistical significance level was set at p&lt;0.05 and interpreted with 95% confidence intervals. Our biostatistics plan had been reviewed by a biostatistician. Unfortunately, it was not possible to run any statistical analysis due to the heterogeneity of eligible studies and paucity of extractable data.</w:t>
      </w:r>
    </w:p>
    <w:p w14:paraId="3FBAA443" w14:textId="1C585CBE" w:rsidR="00705631" w:rsidRPr="00B31514" w:rsidRDefault="00705631" w:rsidP="00B31514">
      <w:pPr>
        <w:spacing w:after="0" w:line="480" w:lineRule="auto"/>
        <w:rPr>
          <w:rFonts w:ascii="Times New Roman" w:hAnsi="Times New Roman" w:cs="Times New Roman"/>
          <w:sz w:val="24"/>
          <w:szCs w:val="24"/>
          <w:lang w:val="en-CA"/>
        </w:rPr>
      </w:pPr>
    </w:p>
    <w:p w14:paraId="05B67299" w14:textId="77777777" w:rsidR="00705631" w:rsidRPr="00B31514" w:rsidRDefault="00705631" w:rsidP="00B31514">
      <w:pPr>
        <w:pStyle w:val="Heading1"/>
        <w:spacing w:before="0" w:line="480" w:lineRule="auto"/>
        <w:rPr>
          <w:rFonts w:ascii="Times New Roman" w:hAnsi="Times New Roman" w:cs="Times New Roman"/>
          <w:color w:val="auto"/>
          <w:shd w:val="clear" w:color="auto" w:fill="FFFFFF"/>
          <w:lang w:val="en-CA"/>
        </w:rPr>
      </w:pPr>
      <w:r w:rsidRPr="00B31514">
        <w:rPr>
          <w:rFonts w:ascii="Times New Roman" w:hAnsi="Times New Roman" w:cs="Times New Roman"/>
          <w:color w:val="auto"/>
          <w:shd w:val="clear" w:color="auto" w:fill="FFFFFF"/>
          <w:lang w:val="en-CA"/>
        </w:rPr>
        <w:t xml:space="preserve">Additional Results </w:t>
      </w:r>
    </w:p>
    <w:p w14:paraId="7DB78B76" w14:textId="77777777" w:rsidR="00705631" w:rsidRPr="00B31514" w:rsidRDefault="00705631" w:rsidP="00B3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i/>
          <w:iCs/>
          <w:sz w:val="24"/>
          <w:szCs w:val="24"/>
          <w:lang w:val="en-CA"/>
        </w:rPr>
      </w:pPr>
      <w:r w:rsidRPr="00B31514">
        <w:rPr>
          <w:rFonts w:ascii="Times New Roman" w:hAnsi="Times New Roman" w:cs="Times New Roman"/>
          <w:i/>
          <w:iCs/>
          <w:sz w:val="24"/>
          <w:szCs w:val="24"/>
          <w:lang w:val="en-CA"/>
        </w:rPr>
        <w:t>Languages other than English</w:t>
      </w:r>
    </w:p>
    <w:p w14:paraId="056E32B8" w14:textId="4C96A8FB" w:rsidR="00705631" w:rsidRPr="00B31514" w:rsidRDefault="00705631" w:rsidP="00B3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iCs/>
          <w:lang w:val="en-CA"/>
        </w:rPr>
      </w:pPr>
      <w:r w:rsidRPr="00B31514">
        <w:rPr>
          <w:rFonts w:ascii="Times New Roman" w:hAnsi="Times New Roman" w:cs="Times New Roman"/>
          <w:sz w:val="24"/>
          <w:szCs w:val="24"/>
          <w:lang w:val="en-CA"/>
        </w:rPr>
        <w:t xml:space="preserve">Among the studies identified by the initial search strategy, a total of 32 papers were published in a language other than English. After a full-translation or based on the English abstract, these studies were excluded as they did not meet eligibility criteria. The language breakdown is as follows: </w:t>
      </w:r>
      <w:r w:rsidRPr="00B31514">
        <w:rPr>
          <w:rFonts w:ascii="Times New Roman" w:hAnsi="Times New Roman" w:cs="Times New Roman"/>
          <w:bCs/>
          <w:iCs/>
          <w:lang w:val="en-CA"/>
        </w:rPr>
        <w:t xml:space="preserve"> </w:t>
      </w:r>
      <w:proofErr w:type="spellStart"/>
      <w:r w:rsidRPr="00B31514">
        <w:rPr>
          <w:rFonts w:ascii="Times New Roman" w:hAnsi="Times New Roman" w:cs="Times New Roman"/>
          <w:sz w:val="24"/>
          <w:szCs w:val="24"/>
          <w:lang w:val="en-CA"/>
        </w:rPr>
        <w:t>i</w:t>
      </w:r>
      <w:proofErr w:type="spellEnd"/>
      <w:r w:rsidRPr="00B31514">
        <w:rPr>
          <w:rFonts w:ascii="Times New Roman" w:hAnsi="Times New Roman" w:cs="Times New Roman"/>
          <w:sz w:val="24"/>
          <w:szCs w:val="24"/>
          <w:lang w:val="en-CA"/>
        </w:rPr>
        <w:t>. </w:t>
      </w:r>
      <w:r w:rsidRPr="00B31514">
        <w:rPr>
          <w:rFonts w:ascii="Times New Roman" w:hAnsi="Times New Roman" w:cs="Times New Roman"/>
          <w:bCs/>
          <w:iCs/>
          <w:sz w:val="24"/>
          <w:szCs w:val="24"/>
          <w:lang w:val="en-CA"/>
        </w:rPr>
        <w:t>Japanese (7x)</w:t>
      </w:r>
      <w:r w:rsidRPr="00B31514">
        <w:rPr>
          <w:rFonts w:ascii="Times New Roman" w:hAnsi="Times New Roman" w:cs="Times New Roman"/>
          <w:sz w:val="24"/>
          <w:szCs w:val="24"/>
          <w:lang w:val="en-CA"/>
        </w:rPr>
        <w:t>; ii. </w:t>
      </w:r>
      <w:r w:rsidRPr="00B31514">
        <w:rPr>
          <w:rFonts w:ascii="Times New Roman" w:hAnsi="Times New Roman" w:cs="Times New Roman"/>
          <w:bCs/>
          <w:iCs/>
          <w:sz w:val="24"/>
          <w:szCs w:val="24"/>
          <w:lang w:val="en-CA"/>
        </w:rPr>
        <w:t>German (5x); iii. Chinese (4x); iv. Czech (3x); v. Dutch (2x); vi. Russian (2x); vii. </w:t>
      </w:r>
      <w:r w:rsidRPr="00B31514">
        <w:rPr>
          <w:rFonts w:ascii="Times New Roman" w:hAnsi="Times New Roman" w:cs="Times New Roman"/>
          <w:sz w:val="24"/>
          <w:szCs w:val="24"/>
          <w:lang w:val="en-CA"/>
        </w:rPr>
        <w:t>Turkish (2x)</w:t>
      </w:r>
      <w:r w:rsidRPr="00B31514">
        <w:rPr>
          <w:rFonts w:ascii="Times New Roman" w:hAnsi="Times New Roman" w:cs="Times New Roman"/>
          <w:bCs/>
          <w:iCs/>
          <w:sz w:val="24"/>
          <w:szCs w:val="24"/>
          <w:lang w:val="en-CA"/>
        </w:rPr>
        <w:t>; viii. Danish (1x); ix. Greek (1x); x. Hebrew (1x); xi. Italian (1x); xii. Persian (1x); xiii. Polish (1x); xiv. Spanish (1x).</w:t>
      </w:r>
    </w:p>
    <w:p w14:paraId="6F9C7244" w14:textId="4435FAEF"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p>
    <w:p w14:paraId="5FD88819" w14:textId="77777777" w:rsidR="00705631" w:rsidRPr="00B31514" w:rsidRDefault="00705631" w:rsidP="00B31514">
      <w:pPr>
        <w:spacing w:after="0" w:line="480" w:lineRule="auto"/>
        <w:rPr>
          <w:rFonts w:ascii="Times New Roman" w:hAnsi="Times New Roman" w:cs="Times New Roman"/>
          <w:i/>
          <w:iCs/>
          <w:sz w:val="24"/>
          <w:szCs w:val="24"/>
          <w:shd w:val="clear" w:color="auto" w:fill="FFFFFF"/>
          <w:lang w:val="en-CA"/>
        </w:rPr>
      </w:pPr>
      <w:r w:rsidRPr="00B31514">
        <w:rPr>
          <w:rFonts w:ascii="Times New Roman" w:hAnsi="Times New Roman" w:cs="Times New Roman"/>
          <w:i/>
          <w:iCs/>
          <w:sz w:val="24"/>
          <w:szCs w:val="24"/>
          <w:shd w:val="clear" w:color="auto" w:fill="FFFFFF"/>
          <w:lang w:val="en-CA"/>
        </w:rPr>
        <w:lastRenderedPageBreak/>
        <w:t>Medical Interventions Surrounding Patient Admission to Medical Facilities</w:t>
      </w:r>
    </w:p>
    <w:p w14:paraId="10EA086B" w14:textId="77777777" w:rsidR="00705631" w:rsidRPr="00B31514" w:rsidRDefault="00705631" w:rsidP="00B31514">
      <w:pPr>
        <w:spacing w:after="0" w:line="480" w:lineRule="auto"/>
        <w:rPr>
          <w:rFonts w:ascii="Times New Roman" w:hAnsi="Times New Roman" w:cs="Times New Roman"/>
          <w:sz w:val="24"/>
          <w:szCs w:val="24"/>
          <w:shd w:val="clear" w:color="auto" w:fill="FFFFFF"/>
          <w:lang w:val="en-CA"/>
        </w:rPr>
      </w:pPr>
      <w:r w:rsidRPr="00B31514">
        <w:rPr>
          <w:rFonts w:ascii="Times New Roman" w:hAnsi="Times New Roman" w:cs="Times New Roman"/>
          <w:sz w:val="24"/>
          <w:szCs w:val="24"/>
          <w:shd w:val="clear" w:color="auto" w:fill="FFFFFF"/>
          <w:lang w:val="en-CA"/>
        </w:rPr>
        <w:t xml:space="preserve">Some of the interventions performed after patients were admitted to medical facilities were reported as continuity of care </w:t>
      </w:r>
      <w:r w:rsidRPr="00B31514">
        <w:rPr>
          <w:rFonts w:ascii="Times New Roman" w:hAnsi="Times New Roman" w:cs="Times New Roman"/>
          <w:noProof/>
          <w:sz w:val="24"/>
          <w:szCs w:val="24"/>
          <w:shd w:val="clear" w:color="auto" w:fill="FFFFFF"/>
          <w:vertAlign w:val="superscript"/>
          <w:lang w:val="en-CA"/>
        </w:rPr>
        <w:t>6-9</w:t>
      </w:r>
      <w:r w:rsidRPr="00B31514">
        <w:rPr>
          <w:rFonts w:ascii="Times New Roman" w:hAnsi="Times New Roman" w:cs="Times New Roman"/>
          <w:sz w:val="24"/>
          <w:szCs w:val="24"/>
          <w:shd w:val="clear" w:color="auto" w:fill="FFFFFF"/>
          <w:lang w:val="en-CA"/>
        </w:rPr>
        <w:t xml:space="preserve">. In Nozaki et al. (1995), the authors reported that cardiac resuscitation manoeuvres were limited to 40 minutes in duration, but provided no details on the management of their convulsive patients </w:t>
      </w:r>
      <w:r w:rsidRPr="00B31514">
        <w:rPr>
          <w:rFonts w:ascii="Times New Roman" w:hAnsi="Times New Roman" w:cs="Times New Roman"/>
          <w:noProof/>
          <w:sz w:val="24"/>
          <w:szCs w:val="24"/>
          <w:shd w:val="clear" w:color="auto" w:fill="FFFFFF"/>
          <w:vertAlign w:val="superscript"/>
          <w:lang w:val="en-CA"/>
        </w:rPr>
        <w:t>6</w:t>
      </w:r>
      <w:r w:rsidRPr="00B31514">
        <w:rPr>
          <w:rFonts w:ascii="Times New Roman" w:hAnsi="Times New Roman" w:cs="Times New Roman"/>
          <w:sz w:val="24"/>
          <w:szCs w:val="24"/>
          <w:shd w:val="clear" w:color="auto" w:fill="FFFFFF"/>
          <w:lang w:val="en-CA"/>
        </w:rPr>
        <w:t xml:space="preserve">. There </w:t>
      </w:r>
      <w:proofErr w:type="gramStart"/>
      <w:r w:rsidRPr="00B31514">
        <w:rPr>
          <w:rFonts w:ascii="Times New Roman" w:hAnsi="Times New Roman" w:cs="Times New Roman"/>
          <w:sz w:val="24"/>
          <w:szCs w:val="24"/>
          <w:shd w:val="clear" w:color="auto" w:fill="FFFFFF"/>
          <w:lang w:val="en-CA"/>
        </w:rPr>
        <w:t>was</w:t>
      </w:r>
      <w:proofErr w:type="gramEnd"/>
      <w:r w:rsidRPr="00B31514">
        <w:rPr>
          <w:rFonts w:ascii="Times New Roman" w:hAnsi="Times New Roman" w:cs="Times New Roman"/>
          <w:sz w:val="24"/>
          <w:szCs w:val="24"/>
          <w:shd w:val="clear" w:color="auto" w:fill="FFFFFF"/>
          <w:lang w:val="en-CA"/>
        </w:rPr>
        <w:t xml:space="preserve"> also no medical interventions reported on the 83 remaining contaminated patients that the medical staff continued to treat </w:t>
      </w:r>
      <w:r w:rsidRPr="00B31514">
        <w:rPr>
          <w:rFonts w:ascii="Times New Roman" w:hAnsi="Times New Roman" w:cs="Times New Roman"/>
          <w:noProof/>
          <w:sz w:val="24"/>
          <w:szCs w:val="24"/>
          <w:shd w:val="clear" w:color="auto" w:fill="FFFFFF"/>
          <w:vertAlign w:val="superscript"/>
          <w:lang w:val="en-CA"/>
        </w:rPr>
        <w:t>6</w:t>
      </w:r>
      <w:r w:rsidRPr="00B31514">
        <w:rPr>
          <w:rFonts w:ascii="Times New Roman" w:hAnsi="Times New Roman" w:cs="Times New Roman"/>
          <w:sz w:val="24"/>
          <w:szCs w:val="24"/>
          <w:shd w:val="clear" w:color="auto" w:fill="FFFFFF"/>
          <w:lang w:val="en-CA"/>
        </w:rPr>
        <w:t>. Moreover, the treatment listing on chemical incidents in Japan (See Table 2) did not include oxygen therapy.</w:t>
      </w:r>
    </w:p>
    <w:p w14:paraId="3FD2DF3D" w14:textId="77777777" w:rsidR="00705631" w:rsidRPr="00B31514" w:rsidRDefault="00705631" w:rsidP="00B31514">
      <w:pPr>
        <w:autoSpaceDE w:val="0"/>
        <w:autoSpaceDN w:val="0"/>
        <w:adjustRightInd w:val="0"/>
        <w:spacing w:after="0" w:line="480" w:lineRule="auto"/>
        <w:rPr>
          <w:rFonts w:ascii="Times New Roman" w:hAnsi="Times New Roman" w:cs="Times New Roman"/>
          <w:i/>
          <w:sz w:val="24"/>
          <w:szCs w:val="24"/>
          <w:lang w:val="en-CA"/>
        </w:rPr>
      </w:pPr>
    </w:p>
    <w:p w14:paraId="17CAF490" w14:textId="77777777" w:rsidR="00705631" w:rsidRPr="00B31514" w:rsidRDefault="00705631" w:rsidP="00B3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iCs/>
          <w:lang w:val="en-CA"/>
        </w:rPr>
      </w:pPr>
      <w:r w:rsidRPr="00B31514">
        <w:rPr>
          <w:rFonts w:ascii="Times New Roman" w:hAnsi="Times New Roman" w:cs="Times New Roman"/>
          <w:bCs/>
          <w:i/>
          <w:sz w:val="24"/>
          <w:szCs w:val="24"/>
          <w:lang w:val="en-CA"/>
        </w:rPr>
        <w:t xml:space="preserve">Other </w:t>
      </w:r>
      <w:r w:rsidRPr="00B31514">
        <w:rPr>
          <w:rFonts w:ascii="Times New Roman" w:hAnsi="Times New Roman" w:cs="Times New Roman"/>
          <w:bCs/>
          <w:i/>
          <w:iCs/>
          <w:sz w:val="24"/>
          <w:szCs w:val="24"/>
          <w:shd w:val="clear" w:color="auto" w:fill="FFFFFF"/>
          <w:lang w:val="en-CA"/>
        </w:rPr>
        <w:t>Secondary Exposure Causes</w:t>
      </w:r>
    </w:p>
    <w:p w14:paraId="60150423" w14:textId="4ADD7462" w:rsidR="00705631" w:rsidRPr="00B31514" w:rsidRDefault="00705631" w:rsidP="00B31514">
      <w:pPr>
        <w:spacing w:after="0" w:line="480" w:lineRule="auto"/>
        <w:rPr>
          <w:rFonts w:ascii="Times New Roman" w:hAnsi="Times New Roman" w:cs="Times New Roman"/>
          <w:sz w:val="24"/>
          <w:szCs w:val="24"/>
          <w:shd w:val="clear" w:color="auto" w:fill="FFFFFF"/>
          <w:lang w:val="en-CA"/>
        </w:rPr>
      </w:pPr>
      <w:r w:rsidRPr="00B31514">
        <w:rPr>
          <w:rFonts w:ascii="Times New Roman" w:hAnsi="Times New Roman" w:cs="Times New Roman"/>
          <w:sz w:val="24"/>
          <w:szCs w:val="24"/>
          <w:shd w:val="clear" w:color="auto" w:fill="FFFFFF"/>
          <w:lang w:val="en-CA"/>
        </w:rPr>
        <w:t xml:space="preserve">While three </w:t>
      </w:r>
      <w:r w:rsidRPr="00B31514">
        <w:rPr>
          <w:rFonts w:ascii="Times New Roman" w:hAnsi="Times New Roman" w:cs="Times New Roman"/>
          <w:noProof/>
          <w:sz w:val="24"/>
          <w:szCs w:val="24"/>
          <w:shd w:val="clear" w:color="auto" w:fill="FFFFFF"/>
          <w:vertAlign w:val="superscript"/>
          <w:lang w:val="en-CA"/>
        </w:rPr>
        <w:t>7-9</w:t>
      </w:r>
      <w:r w:rsidRPr="00B31514">
        <w:rPr>
          <w:rFonts w:ascii="Times New Roman" w:hAnsi="Times New Roman" w:cs="Times New Roman"/>
          <w:sz w:val="24"/>
          <w:szCs w:val="24"/>
          <w:shd w:val="clear" w:color="auto" w:fill="FFFFFF"/>
          <w:lang w:val="en-CA"/>
        </w:rPr>
        <w:t xml:space="preserve"> of the four </w:t>
      </w:r>
      <w:r w:rsidRPr="00B31514">
        <w:rPr>
          <w:rFonts w:ascii="Times New Roman" w:hAnsi="Times New Roman" w:cs="Times New Roman"/>
          <w:noProof/>
          <w:sz w:val="24"/>
          <w:szCs w:val="24"/>
          <w:shd w:val="clear" w:color="auto" w:fill="FFFFFF"/>
          <w:vertAlign w:val="superscript"/>
          <w:lang w:val="en-CA"/>
        </w:rPr>
        <w:t>6-9</w:t>
      </w:r>
      <w:r w:rsidRPr="00B31514">
        <w:rPr>
          <w:rFonts w:ascii="Times New Roman" w:hAnsi="Times New Roman" w:cs="Times New Roman"/>
          <w:sz w:val="24"/>
          <w:szCs w:val="24"/>
          <w:shd w:val="clear" w:color="auto" w:fill="FFFFFF"/>
          <w:lang w:val="en-CA"/>
        </w:rPr>
        <w:t xml:space="preserve"> studies did not fully cover secondary exposures</w:t>
      </w:r>
      <w:hyperlink w:anchor="_ENREF_52" w:tooltip="Nozaki, 1995 #2357" w:history="1"/>
      <w:r w:rsidRPr="00B31514">
        <w:rPr>
          <w:rFonts w:ascii="Times New Roman" w:hAnsi="Times New Roman" w:cs="Times New Roman"/>
          <w:sz w:val="24"/>
          <w:szCs w:val="24"/>
          <w:shd w:val="clear" w:color="auto" w:fill="FFFFFF"/>
          <w:lang w:val="en-CA"/>
        </w:rPr>
        <w:t xml:space="preserve">, they described occurrences of close contacts between unexposed clinicians/rescuers and contaminated patients. Of the 640 cases reported in </w:t>
      </w:r>
      <w:proofErr w:type="spellStart"/>
      <w:r w:rsidRPr="00B31514">
        <w:rPr>
          <w:rFonts w:ascii="Times New Roman" w:hAnsi="Times New Roman" w:cs="Times New Roman"/>
          <w:sz w:val="24"/>
          <w:szCs w:val="24"/>
          <w:shd w:val="clear" w:color="auto" w:fill="FFFFFF"/>
          <w:lang w:val="en-CA"/>
        </w:rPr>
        <w:t>Okumara</w:t>
      </w:r>
      <w:proofErr w:type="spellEnd"/>
      <w:r w:rsidRPr="00B31514">
        <w:rPr>
          <w:rFonts w:ascii="Times New Roman" w:hAnsi="Times New Roman" w:cs="Times New Roman"/>
          <w:sz w:val="24"/>
          <w:szCs w:val="24"/>
          <w:shd w:val="clear" w:color="auto" w:fill="FFFFFF"/>
          <w:lang w:val="en-CA"/>
        </w:rPr>
        <w:t xml:space="preserve"> et al. (1996), the medical staff had to manage 106 described as moderate-to-severe within the first three hours after the attack </w:t>
      </w:r>
      <w:r w:rsidRPr="00B31514">
        <w:rPr>
          <w:rFonts w:ascii="Times New Roman" w:hAnsi="Times New Roman" w:cs="Times New Roman"/>
          <w:noProof/>
          <w:sz w:val="24"/>
          <w:szCs w:val="24"/>
          <w:shd w:val="clear" w:color="auto" w:fill="FFFFFF"/>
          <w:vertAlign w:val="superscript"/>
          <w:lang w:val="en-CA"/>
        </w:rPr>
        <w:t>7</w:t>
      </w:r>
      <w:r w:rsidRPr="00B31514">
        <w:rPr>
          <w:rFonts w:ascii="Times New Roman" w:hAnsi="Times New Roman" w:cs="Times New Roman"/>
          <w:sz w:val="24"/>
          <w:szCs w:val="24"/>
          <w:shd w:val="clear" w:color="auto" w:fill="FFFFFF"/>
          <w:lang w:val="en-CA"/>
        </w:rPr>
        <w:t xml:space="preserve">; including five (5) classified as severe </w:t>
      </w:r>
      <w:r w:rsidRPr="00B31514">
        <w:rPr>
          <w:rFonts w:ascii="Times New Roman" w:hAnsi="Times New Roman" w:cs="Times New Roman"/>
          <w:noProof/>
          <w:sz w:val="24"/>
          <w:szCs w:val="24"/>
          <w:shd w:val="clear" w:color="auto" w:fill="FFFFFF"/>
          <w:vertAlign w:val="superscript"/>
          <w:lang w:val="en-CA"/>
        </w:rPr>
        <w:t>7</w:t>
      </w:r>
      <w:r w:rsidRPr="00B31514">
        <w:rPr>
          <w:rFonts w:ascii="Times New Roman" w:hAnsi="Times New Roman" w:cs="Times New Roman"/>
          <w:sz w:val="24"/>
          <w:szCs w:val="24"/>
          <w:shd w:val="clear" w:color="auto" w:fill="FFFFFF"/>
          <w:lang w:val="en-CA"/>
        </w:rPr>
        <w:t xml:space="preserve">. The authors reported all 106 patients received 2-PAM, diazepam and other medications within that timeframe </w:t>
      </w:r>
      <w:r w:rsidRPr="00B31514">
        <w:rPr>
          <w:rFonts w:ascii="Times New Roman" w:hAnsi="Times New Roman" w:cs="Times New Roman"/>
          <w:noProof/>
          <w:sz w:val="24"/>
          <w:szCs w:val="24"/>
          <w:shd w:val="clear" w:color="auto" w:fill="FFFFFF"/>
          <w:vertAlign w:val="superscript"/>
          <w:lang w:val="en-CA"/>
        </w:rPr>
        <w:t>7</w:t>
      </w:r>
      <w:r w:rsidRPr="00B31514">
        <w:rPr>
          <w:rFonts w:ascii="Times New Roman" w:hAnsi="Times New Roman" w:cs="Times New Roman"/>
          <w:sz w:val="24"/>
          <w:szCs w:val="24"/>
          <w:shd w:val="clear" w:color="auto" w:fill="FFFFFF"/>
          <w:lang w:val="en-CA"/>
        </w:rPr>
        <w:t>, but did not address exposure duration in their study </w:t>
      </w:r>
      <w:r w:rsidRPr="00B31514">
        <w:rPr>
          <w:rFonts w:ascii="Times New Roman" w:hAnsi="Times New Roman" w:cs="Times New Roman"/>
          <w:noProof/>
          <w:sz w:val="24"/>
          <w:szCs w:val="24"/>
          <w:shd w:val="clear" w:color="auto" w:fill="FFFFFF"/>
          <w:vertAlign w:val="superscript"/>
          <w:lang w:val="en-CA"/>
        </w:rPr>
        <w:t>7</w:t>
      </w:r>
      <w:r w:rsidRPr="00B31514">
        <w:rPr>
          <w:rFonts w:ascii="Times New Roman" w:hAnsi="Times New Roman" w:cs="Times New Roman"/>
          <w:sz w:val="24"/>
          <w:szCs w:val="24"/>
          <w:shd w:val="clear" w:color="auto" w:fill="FFFFFF"/>
          <w:lang w:val="en-CA"/>
        </w:rPr>
        <w:t xml:space="preserve">. </w:t>
      </w:r>
      <w:r w:rsidRPr="00B31514">
        <w:rPr>
          <w:rFonts w:ascii="Times New Roman" w:hAnsi="Times New Roman" w:cs="Times New Roman"/>
          <w:sz w:val="24"/>
          <w:szCs w:val="24"/>
          <w:lang w:val="en-CA"/>
        </w:rPr>
        <w:t xml:space="preserve">Yanagisawa et al. (2006) </w:t>
      </w:r>
      <w:r w:rsidRPr="00B31514">
        <w:rPr>
          <w:rFonts w:ascii="Times New Roman" w:hAnsi="Times New Roman" w:cs="Times New Roman"/>
          <w:noProof/>
          <w:sz w:val="24"/>
          <w:szCs w:val="24"/>
          <w:vertAlign w:val="superscript"/>
          <w:lang w:val="en-CA"/>
        </w:rPr>
        <w:t>9</w:t>
      </w:r>
      <w:r w:rsidRPr="00B31514">
        <w:rPr>
          <w:rFonts w:ascii="Times New Roman" w:hAnsi="Times New Roman" w:cs="Times New Roman"/>
          <w:sz w:val="24"/>
          <w:szCs w:val="24"/>
          <w:lang w:val="en-CA"/>
        </w:rPr>
        <w:t xml:space="preserve"> provided some information on the transport of contaminated patients and their management across unspecified hospitals in the Matsumoto area in 1994 </w:t>
      </w:r>
      <w:r w:rsidRPr="00B31514">
        <w:rPr>
          <w:rFonts w:ascii="Times New Roman" w:hAnsi="Times New Roman" w:cs="Times New Roman"/>
          <w:noProof/>
          <w:sz w:val="24"/>
          <w:szCs w:val="24"/>
          <w:vertAlign w:val="superscript"/>
          <w:lang w:val="en-CA"/>
        </w:rPr>
        <w:t>7</w:t>
      </w:r>
      <w:r w:rsidRPr="00B31514">
        <w:rPr>
          <w:rFonts w:ascii="Times New Roman" w:hAnsi="Times New Roman" w:cs="Times New Roman"/>
          <w:sz w:val="24"/>
          <w:szCs w:val="24"/>
          <w:lang w:val="en-CA"/>
        </w:rPr>
        <w:t>. The authors mentioned that the rescuers and medical staff were not aware that sarin was the cause of the incident </w:t>
      </w:r>
      <w:r w:rsidRPr="00B31514">
        <w:rPr>
          <w:rFonts w:ascii="Times New Roman" w:hAnsi="Times New Roman" w:cs="Times New Roman"/>
          <w:noProof/>
          <w:sz w:val="24"/>
          <w:szCs w:val="24"/>
          <w:vertAlign w:val="superscript"/>
          <w:lang w:val="en-CA"/>
        </w:rPr>
        <w:t>7</w:t>
      </w:r>
      <w:r w:rsidRPr="00B31514">
        <w:rPr>
          <w:rFonts w:ascii="Times New Roman" w:hAnsi="Times New Roman" w:cs="Times New Roman"/>
          <w:sz w:val="24"/>
          <w:szCs w:val="24"/>
          <w:lang w:val="en-CA"/>
        </w:rPr>
        <w:t xml:space="preserve">. They also reported that one of the eight medical staff who became affected spent five hours in the contaminated incident zone </w:t>
      </w:r>
      <w:r w:rsidRPr="00B31514">
        <w:rPr>
          <w:rFonts w:ascii="Times New Roman" w:hAnsi="Times New Roman" w:cs="Times New Roman"/>
          <w:noProof/>
          <w:sz w:val="24"/>
          <w:szCs w:val="24"/>
          <w:vertAlign w:val="superscript"/>
          <w:lang w:val="en-CA"/>
        </w:rPr>
        <w:t>7</w:t>
      </w:r>
      <w:r w:rsidRPr="00B31514">
        <w:rPr>
          <w:rFonts w:ascii="Times New Roman" w:hAnsi="Times New Roman" w:cs="Times New Roman"/>
          <w:sz w:val="24"/>
          <w:szCs w:val="24"/>
          <w:lang w:val="en-CA"/>
        </w:rPr>
        <w:t xml:space="preserve">. The first patients reached the hospital nearly six hours after the attack </w:t>
      </w:r>
      <w:r w:rsidRPr="00B31514">
        <w:rPr>
          <w:rFonts w:ascii="Times New Roman" w:hAnsi="Times New Roman" w:cs="Times New Roman"/>
          <w:noProof/>
          <w:sz w:val="24"/>
          <w:szCs w:val="24"/>
          <w:vertAlign w:val="superscript"/>
          <w:lang w:val="en-CA"/>
        </w:rPr>
        <w:t>7</w:t>
      </w:r>
      <w:r w:rsidRPr="00B31514">
        <w:rPr>
          <w:rFonts w:ascii="Times New Roman" w:hAnsi="Times New Roman" w:cs="Times New Roman"/>
          <w:sz w:val="24"/>
          <w:szCs w:val="24"/>
          <w:lang w:val="en-CA"/>
        </w:rPr>
        <w:t xml:space="preserve">. Of the three cardiac arrest cases managed by the staff at the ER, two died within four hours of their admission/observation </w:t>
      </w:r>
      <w:r w:rsidRPr="00B31514">
        <w:rPr>
          <w:rFonts w:ascii="Times New Roman" w:hAnsi="Times New Roman" w:cs="Times New Roman"/>
          <w:noProof/>
          <w:sz w:val="24"/>
          <w:szCs w:val="24"/>
          <w:vertAlign w:val="superscript"/>
          <w:lang w:val="en-CA"/>
        </w:rPr>
        <w:t>7</w:t>
      </w:r>
      <w:r w:rsidRPr="00B31514">
        <w:rPr>
          <w:rFonts w:ascii="Times New Roman" w:hAnsi="Times New Roman" w:cs="Times New Roman"/>
          <w:sz w:val="24"/>
          <w:szCs w:val="24"/>
          <w:lang w:val="en-CA"/>
        </w:rPr>
        <w:t>. As was the case in the Tokyo attack in 1995, Yanagisawa et al. (2006) </w:t>
      </w:r>
      <w:r w:rsidRPr="00B31514">
        <w:rPr>
          <w:rFonts w:ascii="Times New Roman" w:hAnsi="Times New Roman" w:cs="Times New Roman"/>
          <w:noProof/>
          <w:sz w:val="24"/>
          <w:szCs w:val="24"/>
          <w:vertAlign w:val="superscript"/>
          <w:lang w:val="en-CA"/>
        </w:rPr>
        <w:t>9</w:t>
      </w:r>
      <w:r w:rsidRPr="00B31514">
        <w:rPr>
          <w:rFonts w:ascii="Times New Roman" w:hAnsi="Times New Roman" w:cs="Times New Roman"/>
          <w:sz w:val="24"/>
          <w:szCs w:val="24"/>
          <w:lang w:val="en-CA"/>
        </w:rPr>
        <w:t xml:space="preserve"> provided information demonstrating closer proximity between </w:t>
      </w:r>
      <w:r w:rsidRPr="00B31514">
        <w:rPr>
          <w:rFonts w:ascii="Times New Roman" w:hAnsi="Times New Roman" w:cs="Times New Roman"/>
          <w:sz w:val="24"/>
          <w:szCs w:val="24"/>
          <w:lang w:val="en-CA"/>
        </w:rPr>
        <w:lastRenderedPageBreak/>
        <w:t xml:space="preserve">clinicians, rescuer teams and medical staff as a result of their interventions (Keio University Hospital: patient admission processes, serology testing, drug injection; </w:t>
      </w:r>
      <w:proofErr w:type="spellStart"/>
      <w:r w:rsidRPr="00B31514">
        <w:rPr>
          <w:rFonts w:ascii="Times New Roman" w:hAnsi="Times New Roman" w:cs="Times New Roman"/>
          <w:sz w:val="24"/>
          <w:szCs w:val="24"/>
          <w:lang w:val="en-CA"/>
        </w:rPr>
        <w:t>Teishin</w:t>
      </w:r>
      <w:proofErr w:type="spellEnd"/>
      <w:r w:rsidRPr="00B31514">
        <w:rPr>
          <w:rFonts w:ascii="Times New Roman" w:hAnsi="Times New Roman" w:cs="Times New Roman"/>
          <w:sz w:val="24"/>
          <w:szCs w:val="24"/>
          <w:lang w:val="en-CA"/>
        </w:rPr>
        <w:t xml:space="preserve"> hospital: patient transportation and admission; St. Luke’s: 110 medical staff members affected while treating 417 patients) </w:t>
      </w:r>
      <w:r w:rsidRPr="00B31514">
        <w:rPr>
          <w:rFonts w:ascii="Times New Roman" w:hAnsi="Times New Roman" w:cs="Times New Roman"/>
          <w:noProof/>
          <w:sz w:val="24"/>
          <w:szCs w:val="24"/>
          <w:vertAlign w:val="superscript"/>
          <w:lang w:val="en-CA"/>
        </w:rPr>
        <w:t>9</w:t>
      </w:r>
      <w:r w:rsidRPr="00B31514">
        <w:rPr>
          <w:rFonts w:ascii="Times New Roman" w:hAnsi="Times New Roman" w:cs="Times New Roman"/>
          <w:sz w:val="24"/>
          <w:szCs w:val="24"/>
          <w:lang w:val="en-CA"/>
        </w:rPr>
        <w:t xml:space="preserve">. The authors reported that sarin had been identified as the cause of intoxications two hours after the attack </w:t>
      </w:r>
      <w:r w:rsidRPr="00B31514">
        <w:rPr>
          <w:rFonts w:ascii="Times New Roman" w:hAnsi="Times New Roman" w:cs="Times New Roman"/>
          <w:noProof/>
          <w:sz w:val="24"/>
          <w:szCs w:val="24"/>
          <w:vertAlign w:val="superscript"/>
          <w:lang w:val="en-CA"/>
        </w:rPr>
        <w:t>9</w:t>
      </w:r>
      <w:r w:rsidRPr="00B31514">
        <w:rPr>
          <w:rFonts w:ascii="Times New Roman" w:hAnsi="Times New Roman" w:cs="Times New Roman"/>
          <w:sz w:val="24"/>
          <w:szCs w:val="24"/>
          <w:lang w:val="en-CA"/>
        </w:rPr>
        <w:t xml:space="preserve">. Rosman et al. (2014), for their part, enumerated treatments provided, such as access to parenteral routes for drug injection and airway management for vital assistance </w:t>
      </w:r>
      <w:r w:rsidRPr="00B31514">
        <w:rPr>
          <w:rFonts w:ascii="Times New Roman" w:hAnsi="Times New Roman" w:cs="Times New Roman"/>
          <w:noProof/>
          <w:sz w:val="24"/>
          <w:szCs w:val="24"/>
          <w:shd w:val="clear" w:color="auto" w:fill="FFFFFF"/>
          <w:vertAlign w:val="superscript"/>
          <w:lang w:val="en-CA"/>
        </w:rPr>
        <w:t>8</w:t>
      </w:r>
      <w:r w:rsidRPr="00B31514">
        <w:rPr>
          <w:rFonts w:ascii="Times New Roman" w:hAnsi="Times New Roman" w:cs="Times New Roman"/>
          <w:sz w:val="24"/>
          <w:szCs w:val="24"/>
          <w:lang w:val="en-CA"/>
        </w:rPr>
        <w:t>.</w:t>
      </w:r>
    </w:p>
    <w:p w14:paraId="15703EF2" w14:textId="77777777" w:rsidR="00705631" w:rsidRPr="00B31514" w:rsidRDefault="00705631" w:rsidP="00B3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iCs/>
          <w:strike/>
          <w:lang w:val="en-CA"/>
        </w:rPr>
      </w:pPr>
    </w:p>
    <w:p w14:paraId="0E2B7873" w14:textId="77777777" w:rsidR="00705631" w:rsidRPr="00B31514" w:rsidRDefault="00705631" w:rsidP="00B31514">
      <w:pPr>
        <w:spacing w:after="0" w:line="480" w:lineRule="auto"/>
        <w:rPr>
          <w:rFonts w:ascii="Times New Roman" w:hAnsi="Times New Roman" w:cs="Times New Roman"/>
          <w:sz w:val="24"/>
          <w:shd w:val="clear" w:color="auto" w:fill="FFFFFF"/>
        </w:rPr>
      </w:pPr>
      <w:proofErr w:type="spellStart"/>
      <w:r w:rsidRPr="00B31514">
        <w:rPr>
          <w:rFonts w:ascii="Times New Roman" w:hAnsi="Times New Roman" w:cs="Times New Roman"/>
          <w:i/>
          <w:sz w:val="24"/>
          <w:shd w:val="clear" w:color="auto" w:fill="FFFFFF"/>
        </w:rPr>
        <w:t>Disaster</w:t>
      </w:r>
      <w:proofErr w:type="spellEnd"/>
      <w:r w:rsidRPr="00B31514">
        <w:rPr>
          <w:rFonts w:ascii="Times New Roman" w:hAnsi="Times New Roman" w:cs="Times New Roman"/>
          <w:i/>
          <w:sz w:val="24"/>
          <w:shd w:val="clear" w:color="auto" w:fill="FFFFFF"/>
        </w:rPr>
        <w:t xml:space="preserve"> Plan</w:t>
      </w:r>
    </w:p>
    <w:p w14:paraId="34B87F89" w14:textId="77777777" w:rsidR="00705631" w:rsidRPr="00B31514" w:rsidRDefault="00705631" w:rsidP="00B31514">
      <w:pPr>
        <w:spacing w:after="0" w:line="480" w:lineRule="auto"/>
        <w:rPr>
          <w:rFonts w:ascii="Times New Roman" w:hAnsi="Times New Roman" w:cs="Times New Roman"/>
          <w:sz w:val="24"/>
          <w:szCs w:val="24"/>
          <w:shd w:val="clear" w:color="auto" w:fill="FFFFFF"/>
          <w:lang w:val="en-CA"/>
        </w:rPr>
      </w:pPr>
      <w:proofErr w:type="spellStart"/>
      <w:r w:rsidRPr="00B31514">
        <w:rPr>
          <w:rFonts w:ascii="Times New Roman" w:hAnsi="Times New Roman" w:cs="Times New Roman"/>
          <w:sz w:val="24"/>
          <w:shd w:val="clear" w:color="auto" w:fill="FFFFFF"/>
        </w:rPr>
        <w:t>Okumura</w:t>
      </w:r>
      <w:proofErr w:type="spellEnd"/>
      <w:r w:rsidRPr="00B31514">
        <w:rPr>
          <w:rFonts w:ascii="Times New Roman" w:hAnsi="Times New Roman" w:cs="Times New Roman"/>
          <w:sz w:val="24"/>
          <w:shd w:val="clear" w:color="auto" w:fill="FFFFFF"/>
        </w:rPr>
        <w:t xml:space="preserve"> et al. </w:t>
      </w:r>
      <w:r w:rsidRPr="00B31514">
        <w:rPr>
          <w:rFonts w:ascii="Times New Roman" w:hAnsi="Times New Roman" w:cs="Times New Roman"/>
          <w:sz w:val="24"/>
          <w:szCs w:val="24"/>
          <w:shd w:val="clear" w:color="auto" w:fill="FFFFFF"/>
          <w:lang w:val="en-CA"/>
        </w:rPr>
        <w:t xml:space="preserve">(1996) was the only paper to confirm the use of a disaster plan </w:t>
      </w:r>
      <w:r w:rsidRPr="00B31514">
        <w:rPr>
          <w:rFonts w:ascii="Times New Roman" w:hAnsi="Times New Roman" w:cs="Times New Roman"/>
          <w:noProof/>
          <w:sz w:val="24"/>
          <w:szCs w:val="24"/>
          <w:shd w:val="clear" w:color="auto" w:fill="FFFFFF"/>
          <w:vertAlign w:val="superscript"/>
          <w:lang w:val="en-CA"/>
        </w:rPr>
        <w:t>7</w:t>
      </w:r>
      <w:r w:rsidRPr="00B31514">
        <w:rPr>
          <w:rFonts w:ascii="Times New Roman" w:hAnsi="Times New Roman" w:cs="Times New Roman"/>
          <w:sz w:val="24"/>
          <w:szCs w:val="24"/>
          <w:shd w:val="clear" w:color="auto" w:fill="FFFFFF"/>
          <w:lang w:val="en-CA"/>
        </w:rPr>
        <w:t xml:space="preserve">. In the case of Nozaki et al. (1995), the medical staff were notified of a gas explosion in the Tokyo subway and the transfer of casualties by the fire agency </w:t>
      </w:r>
      <w:r w:rsidRPr="00B31514">
        <w:rPr>
          <w:rFonts w:ascii="Times New Roman" w:hAnsi="Times New Roman" w:cs="Times New Roman"/>
          <w:noProof/>
          <w:sz w:val="24"/>
          <w:szCs w:val="24"/>
          <w:shd w:val="clear" w:color="auto" w:fill="FFFFFF"/>
          <w:vertAlign w:val="superscript"/>
          <w:lang w:val="en-CA"/>
        </w:rPr>
        <w:t>6</w:t>
      </w:r>
      <w:r w:rsidRPr="00B31514">
        <w:rPr>
          <w:rFonts w:ascii="Times New Roman" w:hAnsi="Times New Roman" w:cs="Times New Roman"/>
          <w:sz w:val="24"/>
          <w:szCs w:val="24"/>
          <w:shd w:val="clear" w:color="auto" w:fill="FFFFFF"/>
          <w:lang w:val="en-CA"/>
        </w:rPr>
        <w:t>. No further detail was provided in both studies.</w:t>
      </w:r>
    </w:p>
    <w:p w14:paraId="342C1F56" w14:textId="77777777" w:rsidR="00705631" w:rsidRPr="00B31514" w:rsidRDefault="00705631" w:rsidP="00B31514">
      <w:pPr>
        <w:spacing w:after="0" w:line="480" w:lineRule="auto"/>
        <w:ind w:firstLine="709"/>
        <w:rPr>
          <w:rFonts w:ascii="Times New Roman" w:hAnsi="Times New Roman" w:cs="Times New Roman"/>
          <w:sz w:val="24"/>
          <w:szCs w:val="24"/>
          <w:shd w:val="clear" w:color="auto" w:fill="FFFFFF"/>
          <w:lang w:val="en-CA"/>
        </w:rPr>
      </w:pPr>
    </w:p>
    <w:p w14:paraId="46BC212C" w14:textId="77777777" w:rsidR="00705631" w:rsidRPr="00B31514" w:rsidRDefault="00705631" w:rsidP="00B31514">
      <w:pPr>
        <w:spacing w:after="0" w:line="480" w:lineRule="auto"/>
        <w:rPr>
          <w:rFonts w:ascii="Times New Roman" w:hAnsi="Times New Roman" w:cs="Times New Roman"/>
          <w:i/>
          <w:iCs/>
          <w:sz w:val="24"/>
          <w:szCs w:val="24"/>
          <w:shd w:val="clear" w:color="auto" w:fill="FFFFFF"/>
          <w:lang w:val="en-CA"/>
        </w:rPr>
      </w:pPr>
      <w:r w:rsidRPr="00B31514">
        <w:rPr>
          <w:rFonts w:ascii="Times New Roman" w:hAnsi="Times New Roman" w:cs="Times New Roman"/>
          <w:i/>
          <w:iCs/>
          <w:sz w:val="24"/>
          <w:szCs w:val="24"/>
          <w:shd w:val="clear" w:color="auto" w:fill="FFFFFF"/>
          <w:lang w:val="en-CA"/>
        </w:rPr>
        <w:t xml:space="preserve">Telemedicine </w:t>
      </w:r>
    </w:p>
    <w:p w14:paraId="3A5162FC" w14:textId="2CC6AD38" w:rsidR="00705631" w:rsidRPr="00B31514" w:rsidRDefault="00705631" w:rsidP="00B31514">
      <w:pPr>
        <w:spacing w:after="0" w:line="480" w:lineRule="auto"/>
        <w:rPr>
          <w:rFonts w:ascii="Times New Roman" w:hAnsi="Times New Roman" w:cs="Times New Roman"/>
          <w:sz w:val="24"/>
          <w:szCs w:val="24"/>
          <w:shd w:val="clear" w:color="auto" w:fill="FFFFFF"/>
          <w:lang w:val="en-CA"/>
        </w:rPr>
      </w:pPr>
      <w:r w:rsidRPr="00B31514">
        <w:rPr>
          <w:rFonts w:ascii="Times New Roman" w:hAnsi="Times New Roman" w:cs="Times New Roman"/>
          <w:sz w:val="24"/>
          <w:szCs w:val="24"/>
          <w:shd w:val="clear" w:color="auto" w:fill="FFFFFF"/>
          <w:lang w:val="en-CA"/>
        </w:rPr>
        <w:t xml:space="preserve">Rosman et al. (2014) was the only study that conducted a retrospective analysis of YouTube footage of chemical attacks that had just occurred </w:t>
      </w:r>
      <w:r w:rsidRPr="00B31514">
        <w:rPr>
          <w:rFonts w:ascii="Times New Roman" w:hAnsi="Times New Roman" w:cs="Times New Roman"/>
          <w:noProof/>
          <w:sz w:val="24"/>
          <w:szCs w:val="24"/>
          <w:shd w:val="clear" w:color="auto" w:fill="FFFFFF"/>
          <w:vertAlign w:val="superscript"/>
          <w:lang w:val="en-CA"/>
        </w:rPr>
        <w:t>8</w:t>
      </w:r>
      <w:r w:rsidRPr="00B31514">
        <w:rPr>
          <w:rFonts w:ascii="Times New Roman" w:hAnsi="Times New Roman" w:cs="Times New Roman"/>
          <w:sz w:val="24"/>
          <w:szCs w:val="24"/>
          <w:shd w:val="clear" w:color="auto" w:fill="FFFFFF"/>
          <w:lang w:val="en-CA"/>
        </w:rPr>
        <w:t xml:space="preserve">. However, as reported by the authors themselves, the authenticity of the videos remains uncorroborated </w:t>
      </w:r>
      <w:proofErr w:type="gramStart"/>
      <w:r w:rsidRPr="00B31514">
        <w:rPr>
          <w:rFonts w:ascii="Times New Roman" w:hAnsi="Times New Roman" w:cs="Times New Roman"/>
          <w:noProof/>
          <w:sz w:val="24"/>
          <w:szCs w:val="24"/>
          <w:shd w:val="clear" w:color="auto" w:fill="FFFFFF"/>
          <w:vertAlign w:val="superscript"/>
          <w:lang w:val="en-CA"/>
        </w:rPr>
        <w:t>8</w:t>
      </w:r>
      <w:r w:rsidRPr="00B31514">
        <w:rPr>
          <w:rFonts w:ascii="Times New Roman" w:hAnsi="Times New Roman" w:cs="Times New Roman"/>
          <w:sz w:val="24"/>
          <w:szCs w:val="24"/>
          <w:shd w:val="clear" w:color="auto" w:fill="FFFFFF"/>
          <w:lang w:val="en-CA"/>
        </w:rPr>
        <w:t xml:space="preserve"> .</w:t>
      </w:r>
      <w:proofErr w:type="gramEnd"/>
      <w:r w:rsidRPr="00B31514">
        <w:rPr>
          <w:rFonts w:ascii="Times New Roman" w:hAnsi="Times New Roman" w:cs="Times New Roman"/>
          <w:sz w:val="24"/>
          <w:szCs w:val="24"/>
          <w:shd w:val="clear" w:color="auto" w:fill="FFFFFF"/>
          <w:lang w:val="en-CA"/>
        </w:rPr>
        <w:t xml:space="preserve"> </w:t>
      </w:r>
    </w:p>
    <w:p w14:paraId="1723E86E" w14:textId="77777777" w:rsidR="00705631" w:rsidRPr="00B31514" w:rsidRDefault="00705631" w:rsidP="00B31514">
      <w:pPr>
        <w:spacing w:after="0" w:line="480" w:lineRule="auto"/>
        <w:rPr>
          <w:rFonts w:ascii="Times New Roman" w:hAnsi="Times New Roman" w:cs="Times New Roman"/>
          <w:sz w:val="24"/>
          <w:szCs w:val="24"/>
          <w:shd w:val="clear" w:color="auto" w:fill="FFFFFF"/>
          <w:lang w:val="en-CA"/>
        </w:rPr>
      </w:pPr>
    </w:p>
    <w:p w14:paraId="7D8DFCD0" w14:textId="77777777" w:rsidR="00705631" w:rsidRPr="00B31514" w:rsidRDefault="00705631" w:rsidP="00B31514">
      <w:pPr>
        <w:spacing w:after="0" w:line="480" w:lineRule="auto"/>
        <w:rPr>
          <w:rFonts w:ascii="Times New Roman" w:hAnsi="Times New Roman" w:cs="Times New Roman"/>
          <w:i/>
          <w:iCs/>
          <w:sz w:val="24"/>
          <w:szCs w:val="24"/>
          <w:shd w:val="clear" w:color="auto" w:fill="FFFFFF"/>
          <w:lang w:val="en-CA"/>
        </w:rPr>
      </w:pPr>
      <w:r w:rsidRPr="00B31514">
        <w:rPr>
          <w:rFonts w:ascii="Times New Roman" w:hAnsi="Times New Roman" w:cs="Times New Roman"/>
          <w:i/>
          <w:iCs/>
          <w:sz w:val="24"/>
          <w:szCs w:val="24"/>
          <w:shd w:val="clear" w:color="auto" w:fill="FFFFFF"/>
          <w:lang w:val="en-CA"/>
        </w:rPr>
        <w:t xml:space="preserve">Security Intelligence </w:t>
      </w:r>
    </w:p>
    <w:p w14:paraId="38E32169" w14:textId="77777777" w:rsidR="00B31514" w:rsidRDefault="00705631" w:rsidP="00B31514">
      <w:pPr>
        <w:spacing w:after="0" w:line="480" w:lineRule="auto"/>
        <w:rPr>
          <w:rFonts w:ascii="Times New Roman" w:hAnsi="Times New Roman" w:cs="Times New Roman"/>
          <w:sz w:val="24"/>
          <w:szCs w:val="24"/>
          <w:shd w:val="clear" w:color="auto" w:fill="FFFFFF"/>
          <w:lang w:val="en-CA"/>
        </w:rPr>
      </w:pPr>
      <w:r w:rsidRPr="00B31514">
        <w:rPr>
          <w:rFonts w:ascii="Times New Roman" w:hAnsi="Times New Roman" w:cs="Times New Roman"/>
          <w:sz w:val="24"/>
          <w:szCs w:val="24"/>
          <w:shd w:val="clear" w:color="auto" w:fill="FFFFFF"/>
          <w:lang w:val="en-CA"/>
        </w:rPr>
        <w:t xml:space="preserve">None of the four studies </w:t>
      </w:r>
      <w:r w:rsidRPr="00B31514">
        <w:rPr>
          <w:rFonts w:ascii="Times New Roman" w:hAnsi="Times New Roman" w:cs="Times New Roman"/>
          <w:noProof/>
          <w:sz w:val="24"/>
          <w:szCs w:val="24"/>
          <w:shd w:val="clear" w:color="auto" w:fill="FFFFFF"/>
          <w:vertAlign w:val="superscript"/>
          <w:lang w:val="en-CA"/>
        </w:rPr>
        <w:t>6-9</w:t>
      </w:r>
      <w:r w:rsidRPr="00B31514">
        <w:rPr>
          <w:rFonts w:ascii="Times New Roman" w:hAnsi="Times New Roman" w:cs="Times New Roman"/>
          <w:sz w:val="24"/>
          <w:szCs w:val="24"/>
          <w:shd w:val="clear" w:color="auto" w:fill="FFFFFF"/>
          <w:lang w:val="en-CA"/>
        </w:rPr>
        <w:t xml:space="preserve"> conducted a comprehensive effect analysis related to the deployment of the chemical agents and of various factors such as the weather, terrain, means of delivery and </w:t>
      </w:r>
      <w:r w:rsidRPr="00B31514">
        <w:rPr>
          <w:rFonts w:ascii="Times New Roman" w:hAnsi="Times New Roman" w:cs="Times New Roman"/>
          <w:i/>
          <w:iCs/>
          <w:sz w:val="24"/>
          <w:szCs w:val="24"/>
          <w:shd w:val="clear" w:color="auto" w:fill="FFFFFF"/>
          <w:lang w:val="en-CA"/>
        </w:rPr>
        <w:t>modus operandi</w:t>
      </w:r>
      <w:r w:rsidRPr="00B31514">
        <w:rPr>
          <w:rFonts w:ascii="Times New Roman" w:hAnsi="Times New Roman" w:cs="Times New Roman"/>
          <w:sz w:val="24"/>
          <w:szCs w:val="24"/>
          <w:shd w:val="clear" w:color="auto" w:fill="FFFFFF"/>
          <w:lang w:val="en-CA"/>
        </w:rPr>
        <w:t xml:space="preserve"> aimed at causing death and injury in a densely populated area. </w:t>
      </w:r>
    </w:p>
    <w:p w14:paraId="4B28BDAF" w14:textId="04EAA5B1" w:rsidR="00705631" w:rsidRPr="00B31514" w:rsidRDefault="00705631" w:rsidP="00B31514">
      <w:pPr>
        <w:spacing w:after="0" w:line="480" w:lineRule="auto"/>
        <w:rPr>
          <w:rFonts w:ascii="Times New Roman" w:hAnsi="Times New Roman" w:cs="Times New Roman"/>
          <w:sz w:val="24"/>
          <w:szCs w:val="24"/>
          <w:shd w:val="clear" w:color="auto" w:fill="FFFFFF"/>
          <w:lang w:val="en-CA"/>
        </w:rPr>
      </w:pPr>
      <w:r w:rsidRPr="00B31514">
        <w:rPr>
          <w:rFonts w:ascii="Times New Roman" w:hAnsi="Times New Roman" w:cs="Times New Roman"/>
          <w:bCs/>
          <w:iCs/>
          <w:strike/>
          <w:lang w:val="en-CA"/>
        </w:rPr>
        <w:br w:type="page"/>
      </w:r>
    </w:p>
    <w:p w14:paraId="5F74F6DE" w14:textId="77777777" w:rsidR="00705631" w:rsidRPr="00B31514" w:rsidRDefault="00705631" w:rsidP="00B31514">
      <w:pPr>
        <w:pStyle w:val="Heading1"/>
        <w:spacing w:before="0" w:line="480" w:lineRule="auto"/>
        <w:rPr>
          <w:rFonts w:ascii="Times New Roman" w:hAnsi="Times New Roman" w:cs="Times New Roman"/>
          <w:color w:val="auto"/>
          <w:shd w:val="clear" w:color="auto" w:fill="FFFFFF"/>
          <w:lang w:val="en-CA"/>
        </w:rPr>
      </w:pPr>
      <w:r w:rsidRPr="00B31514">
        <w:rPr>
          <w:rFonts w:ascii="Times New Roman" w:hAnsi="Times New Roman" w:cs="Times New Roman"/>
          <w:color w:val="auto"/>
          <w:shd w:val="clear" w:color="auto" w:fill="FFFFFF"/>
          <w:lang w:val="en-CA"/>
        </w:rPr>
        <w:lastRenderedPageBreak/>
        <w:t xml:space="preserve">Additional Discussion </w:t>
      </w:r>
    </w:p>
    <w:p w14:paraId="45972D96" w14:textId="77777777" w:rsidR="00705631" w:rsidRPr="00B31514" w:rsidRDefault="00705631" w:rsidP="00B3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i/>
          <w:iCs/>
          <w:sz w:val="24"/>
          <w:szCs w:val="24"/>
          <w:lang w:val="en-CA"/>
        </w:rPr>
      </w:pPr>
      <w:r w:rsidRPr="00B31514">
        <w:rPr>
          <w:rFonts w:ascii="Times New Roman" w:hAnsi="Times New Roman" w:cs="Times New Roman"/>
          <w:bCs/>
          <w:i/>
          <w:iCs/>
          <w:sz w:val="24"/>
          <w:szCs w:val="24"/>
          <w:lang w:val="en-CA"/>
        </w:rPr>
        <w:t xml:space="preserve">Social Media as a Potential Emergent Capability in the Clinical Approach </w:t>
      </w:r>
    </w:p>
    <w:p w14:paraId="083E4876" w14:textId="7D5AE9EC" w:rsidR="00705631" w:rsidRPr="00B31514" w:rsidRDefault="00705631" w:rsidP="00B3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sz w:val="24"/>
          <w:szCs w:val="24"/>
          <w:lang w:val="en-CA"/>
        </w:rPr>
      </w:pPr>
      <w:r w:rsidRPr="00B31514">
        <w:rPr>
          <w:rFonts w:ascii="Times New Roman" w:hAnsi="Times New Roman" w:cs="Times New Roman"/>
          <w:bCs/>
          <w:sz w:val="24"/>
          <w:szCs w:val="24"/>
          <w:lang w:val="en-CA"/>
        </w:rPr>
        <w:t xml:space="preserve">Interestingly, one study analyzed YouTube videos of the 2013 Syrian chemical attack despite the authors casting doubts on the authenticity of the footage </w:t>
      </w:r>
      <w:r w:rsidRPr="00B31514">
        <w:rPr>
          <w:rFonts w:ascii="Times New Roman" w:hAnsi="Times New Roman" w:cs="Times New Roman"/>
          <w:bCs/>
          <w:noProof/>
          <w:sz w:val="24"/>
          <w:szCs w:val="24"/>
          <w:vertAlign w:val="superscript"/>
          <w:lang w:val="en-CA"/>
        </w:rPr>
        <w:t>8</w:t>
      </w:r>
      <w:r w:rsidRPr="00B31514">
        <w:rPr>
          <w:rFonts w:ascii="Times New Roman" w:hAnsi="Times New Roman" w:cs="Times New Roman"/>
          <w:bCs/>
          <w:sz w:val="24"/>
          <w:szCs w:val="24"/>
          <w:lang w:val="en-CA"/>
        </w:rPr>
        <w:t>. To our knowledge, there have been no similar studies reported in the health science literature. However, social media, along with live streaming and artificial intelligence capabilities, may represent an opportunity to improve care for mass casualties in the context of a chemical attack due to terrorism or warfare.</w:t>
      </w:r>
    </w:p>
    <w:p w14:paraId="223FD4D8" w14:textId="77777777" w:rsidR="00705631" w:rsidRPr="00B31514" w:rsidRDefault="00705631" w:rsidP="00B3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sz w:val="24"/>
          <w:szCs w:val="24"/>
          <w:lang w:val="en-CA"/>
        </w:rPr>
      </w:pPr>
    </w:p>
    <w:p w14:paraId="05D52083" w14:textId="77777777" w:rsidR="00705631" w:rsidRPr="00B31514" w:rsidRDefault="00705631" w:rsidP="00B31514">
      <w:pPr>
        <w:spacing w:after="0" w:line="480" w:lineRule="auto"/>
        <w:rPr>
          <w:rFonts w:ascii="Times New Roman" w:hAnsi="Times New Roman" w:cs="Times New Roman"/>
          <w:i/>
          <w:iCs/>
          <w:sz w:val="24"/>
          <w:szCs w:val="24"/>
          <w:lang w:val="en-CA"/>
        </w:rPr>
      </w:pPr>
      <w:r w:rsidRPr="00B31514">
        <w:rPr>
          <w:rFonts w:ascii="Times New Roman" w:hAnsi="Times New Roman" w:cs="Times New Roman"/>
          <w:i/>
          <w:iCs/>
          <w:sz w:val="24"/>
          <w:szCs w:val="24"/>
          <w:lang w:val="en-CA"/>
        </w:rPr>
        <w:t>Importance of Data Gathering in a Chaotic Mass Casualty Context</w:t>
      </w:r>
    </w:p>
    <w:p w14:paraId="5C4D0459" w14:textId="23CCF633" w:rsidR="00705631" w:rsidRPr="00B31514" w:rsidRDefault="00705631" w:rsidP="00B31514">
      <w:pPr>
        <w:spacing w:after="0" w:line="480" w:lineRule="auto"/>
        <w:rPr>
          <w:rFonts w:ascii="Times New Roman" w:hAnsi="Times New Roman" w:cs="Times New Roman"/>
          <w:sz w:val="24"/>
          <w:szCs w:val="24"/>
          <w:lang w:val="en-CA"/>
        </w:rPr>
      </w:pPr>
      <w:r w:rsidRPr="00B31514">
        <w:rPr>
          <w:rFonts w:ascii="Times New Roman" w:hAnsi="Times New Roman" w:cs="Times New Roman"/>
          <w:sz w:val="24"/>
          <w:szCs w:val="24"/>
          <w:lang w:val="en-CA"/>
        </w:rPr>
        <w:t xml:space="preserve">In all four published papers </w:t>
      </w:r>
      <w:r w:rsidRPr="00B31514">
        <w:rPr>
          <w:rFonts w:ascii="Times New Roman" w:hAnsi="Times New Roman" w:cs="Times New Roman"/>
          <w:noProof/>
          <w:sz w:val="24"/>
          <w:szCs w:val="24"/>
          <w:vertAlign w:val="superscript"/>
          <w:lang w:val="en-CA"/>
        </w:rPr>
        <w:t>6-9</w:t>
      </w:r>
      <w:r w:rsidRPr="00B31514">
        <w:rPr>
          <w:rFonts w:ascii="Times New Roman" w:hAnsi="Times New Roman" w:cs="Times New Roman"/>
          <w:sz w:val="24"/>
          <w:szCs w:val="24"/>
          <w:lang w:val="en-CA"/>
        </w:rPr>
        <w:t>, no information is provided regarding the existence of pre-hospital data gathering systems for monitoring and recording interventions.</w:t>
      </w:r>
      <w:r w:rsidRPr="00B31514">
        <w:rPr>
          <w:rFonts w:ascii="Times New Roman" w:hAnsi="Times New Roman" w:cs="Times New Roman"/>
          <w:sz w:val="24"/>
          <w:szCs w:val="24"/>
          <w:shd w:val="clear" w:color="auto" w:fill="FFFFFF"/>
          <w:lang w:val="en-CA"/>
        </w:rPr>
        <w:t xml:space="preserve"> There was also</w:t>
      </w:r>
      <w:r w:rsidRPr="00B31514">
        <w:rPr>
          <w:rFonts w:ascii="Times New Roman" w:hAnsi="Times New Roman" w:cs="Times New Roman"/>
          <w:sz w:val="24"/>
          <w:szCs w:val="24"/>
          <w:lang w:val="en-CA"/>
        </w:rPr>
        <w:t xml:space="preserve"> a lack of epidemiology, notably in infants, the elderly, women and populations suffering from chronic diseases </w:t>
      </w:r>
      <w:r w:rsidRPr="00B31514">
        <w:rPr>
          <w:rFonts w:ascii="Times New Roman" w:hAnsi="Times New Roman" w:cs="Times New Roman"/>
          <w:noProof/>
          <w:sz w:val="24"/>
          <w:szCs w:val="24"/>
          <w:vertAlign w:val="superscript"/>
          <w:lang w:val="en-CA"/>
        </w:rPr>
        <w:t>6-9</w:t>
      </w:r>
      <w:r w:rsidRPr="00B31514">
        <w:rPr>
          <w:rFonts w:ascii="Times New Roman" w:hAnsi="Times New Roman" w:cs="Times New Roman"/>
          <w:sz w:val="24"/>
          <w:szCs w:val="24"/>
          <w:lang w:val="en-CA"/>
        </w:rPr>
        <w:t xml:space="preserve">. This highlighted the quasi-blind eye turned, by default, on the gathering of evidence necessary to understand chemical exposures thoroughly. Since the Matsumoto and Tokyo attacks in 1994-1995, and the 2014 attack in Syria, digital medical information systems have evolved significantly and will continue to do so. By incorporating artificial intelligence, such systems will in future be capable of processing mega-data in real time, and of implementing automated commands. They may require little infrastructure and reduce the burden on the clinician, particularly in complex situations. On the following website, this current study proposes such a case report form integrated into a clinical cohort study for chemical attacks approved by an ethical committee (https://rsr-qc.ca/en/ltb/; last accessed: 14 June 2021). However, such an approach requires specific resources dedicated to data collection. Finally, other types of incidents such as the biological, radiological and nuclear kind should also be investigated. </w:t>
      </w:r>
    </w:p>
    <w:p w14:paraId="2BF9E5EB" w14:textId="77777777" w:rsidR="00705631" w:rsidRPr="00B31514" w:rsidRDefault="00705631" w:rsidP="00B31514">
      <w:pPr>
        <w:spacing w:after="0" w:line="480" w:lineRule="auto"/>
        <w:rPr>
          <w:rFonts w:ascii="Times New Roman" w:hAnsi="Times New Roman" w:cs="Times New Roman"/>
          <w:sz w:val="24"/>
          <w:szCs w:val="24"/>
          <w:lang w:val="en-CA"/>
        </w:rPr>
      </w:pPr>
    </w:p>
    <w:p w14:paraId="2CF6364C" w14:textId="77777777" w:rsidR="00705631" w:rsidRPr="00B31514" w:rsidRDefault="00705631" w:rsidP="00B315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Cs/>
          <w:i/>
          <w:iCs/>
          <w:sz w:val="24"/>
          <w:szCs w:val="24"/>
          <w:lang w:val="en-CA"/>
        </w:rPr>
      </w:pPr>
      <w:r w:rsidRPr="00B31514">
        <w:rPr>
          <w:rFonts w:ascii="Times New Roman" w:hAnsi="Times New Roman" w:cs="Times New Roman"/>
          <w:bCs/>
          <w:i/>
          <w:iCs/>
          <w:sz w:val="24"/>
          <w:szCs w:val="24"/>
          <w:lang w:val="en-CA"/>
        </w:rPr>
        <w:t xml:space="preserve">Importance of Pursuing Research in Acute Settings </w:t>
      </w:r>
    </w:p>
    <w:p w14:paraId="5FE64328" w14:textId="722B3656" w:rsidR="002F5345" w:rsidRPr="00B31514" w:rsidRDefault="00705631" w:rsidP="00B31514">
      <w:pPr>
        <w:spacing w:after="0" w:line="480" w:lineRule="auto"/>
        <w:rPr>
          <w:rFonts w:ascii="Times New Roman" w:hAnsi="Times New Roman" w:cs="Times New Roman"/>
        </w:rPr>
      </w:pPr>
      <w:r w:rsidRPr="00B31514">
        <w:rPr>
          <w:rFonts w:ascii="Times New Roman" w:hAnsi="Times New Roman" w:cs="Times New Roman"/>
          <w:bCs/>
          <w:sz w:val="24"/>
          <w:szCs w:val="24"/>
          <w:lang w:val="en-CA"/>
        </w:rPr>
        <w:t xml:space="preserve">Despite the lack of coverage of acute settings in the literature as demonstrated by the publication of only four post-incident papers, there is still a need to further pursue this research. Progress in other scientific fields, including animal models, leads to envision clinical research directly involving decontamination and protection capabilities under the same umbrella. </w:t>
      </w:r>
    </w:p>
    <w:sectPr w:rsidR="002F5345" w:rsidRPr="00B31514" w:rsidSect="00B315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6B77" w14:textId="77777777" w:rsidR="00670105" w:rsidRDefault="00670105">
      <w:pPr>
        <w:spacing w:after="0" w:line="240" w:lineRule="auto"/>
      </w:pPr>
      <w:r>
        <w:separator/>
      </w:r>
    </w:p>
  </w:endnote>
  <w:endnote w:type="continuationSeparator" w:id="0">
    <w:p w14:paraId="7CCF3B81" w14:textId="77777777" w:rsidR="00670105" w:rsidRDefault="0067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A958" w14:textId="77777777" w:rsidR="00670105" w:rsidRDefault="00670105">
      <w:pPr>
        <w:spacing w:after="0" w:line="240" w:lineRule="auto"/>
      </w:pPr>
      <w:r>
        <w:separator/>
      </w:r>
    </w:p>
  </w:footnote>
  <w:footnote w:type="continuationSeparator" w:id="0">
    <w:p w14:paraId="0EEA93E3" w14:textId="77777777" w:rsidR="00670105" w:rsidRDefault="00670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3B47"/>
    <w:multiLevelType w:val="hybridMultilevel"/>
    <w:tmpl w:val="AED47D76"/>
    <w:lvl w:ilvl="0" w:tplc="10090001">
      <w:start w:val="1"/>
      <w:numFmt w:val="bullet"/>
      <w:lvlText w:val=""/>
      <w:lvlJc w:val="left"/>
      <w:pPr>
        <w:ind w:left="1428"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start w:val="1"/>
      <w:numFmt w:val="bullet"/>
      <w:lvlText w:val=""/>
      <w:lvlJc w:val="left"/>
      <w:pPr>
        <w:ind w:left="2912" w:hanging="360"/>
      </w:pPr>
      <w:rPr>
        <w:rFonts w:ascii="Wingdings" w:hAnsi="Wingdings" w:hint="default"/>
      </w:rPr>
    </w:lvl>
    <w:lvl w:ilvl="3" w:tplc="1009000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705631"/>
    <w:rsid w:val="000B35C5"/>
    <w:rsid w:val="000C4845"/>
    <w:rsid w:val="002F5345"/>
    <w:rsid w:val="00670105"/>
    <w:rsid w:val="00705631"/>
    <w:rsid w:val="00795200"/>
    <w:rsid w:val="009D7F16"/>
    <w:rsid w:val="00B315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4893"/>
  <w15:chartTrackingRefBased/>
  <w15:docId w15:val="{D30A0630-2477-4F28-B9DD-7C176AD9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31"/>
    <w:pPr>
      <w:spacing w:after="200" w:line="276" w:lineRule="auto"/>
    </w:pPr>
    <w:rPr>
      <w:rFonts w:eastAsiaTheme="minorEastAsia"/>
      <w:lang w:val="fr-CA" w:eastAsia="fr-CA"/>
    </w:rPr>
  </w:style>
  <w:style w:type="paragraph" w:styleId="Heading1">
    <w:name w:val="heading 1"/>
    <w:basedOn w:val="Normal"/>
    <w:next w:val="Normal"/>
    <w:link w:val="Heading1Char"/>
    <w:uiPriority w:val="9"/>
    <w:qFormat/>
    <w:rsid w:val="007056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631"/>
    <w:rPr>
      <w:rFonts w:asciiTheme="majorHAnsi" w:eastAsiaTheme="majorEastAsia" w:hAnsiTheme="majorHAnsi" w:cstheme="majorBidi"/>
      <w:b/>
      <w:bCs/>
      <w:color w:val="2F5496" w:themeColor="accent1" w:themeShade="BF"/>
      <w:sz w:val="28"/>
      <w:szCs w:val="28"/>
      <w:lang w:val="fr-CA" w:eastAsia="fr-CA"/>
    </w:rPr>
  </w:style>
  <w:style w:type="character" w:styleId="Hyperlink">
    <w:name w:val="Hyperlink"/>
    <w:basedOn w:val="DefaultParagraphFont"/>
    <w:uiPriority w:val="99"/>
    <w:unhideWhenUsed/>
    <w:rsid w:val="00705631"/>
    <w:rPr>
      <w:color w:val="0563C1" w:themeColor="hyperlink"/>
      <w:u w:val="single"/>
    </w:rPr>
  </w:style>
  <w:style w:type="paragraph" w:styleId="BalloonText">
    <w:name w:val="Balloon Text"/>
    <w:basedOn w:val="Normal"/>
    <w:link w:val="BalloonTextChar"/>
    <w:uiPriority w:val="99"/>
    <w:semiHidden/>
    <w:unhideWhenUsed/>
    <w:rsid w:val="0070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631"/>
    <w:rPr>
      <w:rFonts w:ascii="Segoe UI" w:eastAsiaTheme="minorEastAsia" w:hAnsi="Segoe UI" w:cs="Segoe UI"/>
      <w:sz w:val="18"/>
      <w:szCs w:val="18"/>
      <w:lang w:val="fr-CA" w:eastAsia="fr-CA"/>
    </w:rPr>
  </w:style>
  <w:style w:type="paragraph" w:customStyle="1" w:styleId="EndNoteBibliographyTitle">
    <w:name w:val="EndNote Bibliography Title"/>
    <w:basedOn w:val="Normal"/>
    <w:link w:val="EndNoteBibliographyTitleChar"/>
    <w:rsid w:val="0070563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5631"/>
    <w:rPr>
      <w:rFonts w:ascii="Calibri" w:eastAsiaTheme="minorEastAsia" w:hAnsi="Calibri" w:cs="Calibri"/>
      <w:noProof/>
      <w:lang w:val="fr-CA" w:eastAsia="fr-CA"/>
    </w:rPr>
  </w:style>
  <w:style w:type="paragraph" w:customStyle="1" w:styleId="EndNoteBibliography">
    <w:name w:val="EndNote Bibliography"/>
    <w:basedOn w:val="Normal"/>
    <w:link w:val="EndNoteBibliographyChar"/>
    <w:rsid w:val="0070563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05631"/>
    <w:rPr>
      <w:rFonts w:ascii="Calibri" w:eastAsiaTheme="minorEastAsia" w:hAnsi="Calibri" w:cs="Calibri"/>
      <w:noProof/>
      <w:lang w:val="fr-CA" w:eastAsia="fr-CA"/>
    </w:rPr>
  </w:style>
  <w:style w:type="character" w:styleId="CommentReference">
    <w:name w:val="annotation reference"/>
    <w:basedOn w:val="DefaultParagraphFont"/>
    <w:uiPriority w:val="99"/>
    <w:semiHidden/>
    <w:unhideWhenUsed/>
    <w:rsid w:val="00705631"/>
    <w:rPr>
      <w:sz w:val="16"/>
      <w:szCs w:val="16"/>
    </w:rPr>
  </w:style>
  <w:style w:type="paragraph" w:styleId="CommentText">
    <w:name w:val="annotation text"/>
    <w:basedOn w:val="Normal"/>
    <w:link w:val="CommentTextChar"/>
    <w:uiPriority w:val="99"/>
    <w:unhideWhenUsed/>
    <w:rsid w:val="00705631"/>
    <w:pPr>
      <w:spacing w:line="240" w:lineRule="auto"/>
    </w:pPr>
    <w:rPr>
      <w:sz w:val="20"/>
      <w:szCs w:val="20"/>
    </w:rPr>
  </w:style>
  <w:style w:type="character" w:customStyle="1" w:styleId="CommentTextChar">
    <w:name w:val="Comment Text Char"/>
    <w:basedOn w:val="DefaultParagraphFont"/>
    <w:link w:val="CommentText"/>
    <w:uiPriority w:val="99"/>
    <w:rsid w:val="00705631"/>
    <w:rPr>
      <w:rFonts w:eastAsiaTheme="minorEastAsia"/>
      <w:sz w:val="20"/>
      <w:szCs w:val="20"/>
      <w:lang w:val="fr-CA" w:eastAsia="fr-CA"/>
    </w:rPr>
  </w:style>
  <w:style w:type="paragraph" w:styleId="CommentSubject">
    <w:name w:val="annotation subject"/>
    <w:basedOn w:val="CommentText"/>
    <w:next w:val="CommentText"/>
    <w:link w:val="CommentSubjectChar"/>
    <w:uiPriority w:val="99"/>
    <w:semiHidden/>
    <w:unhideWhenUsed/>
    <w:rsid w:val="00705631"/>
    <w:rPr>
      <w:b/>
      <w:bCs/>
    </w:rPr>
  </w:style>
  <w:style w:type="character" w:customStyle="1" w:styleId="CommentSubjectChar">
    <w:name w:val="Comment Subject Char"/>
    <w:basedOn w:val="CommentTextChar"/>
    <w:link w:val="CommentSubject"/>
    <w:uiPriority w:val="99"/>
    <w:semiHidden/>
    <w:rsid w:val="00705631"/>
    <w:rPr>
      <w:rFonts w:eastAsiaTheme="minorEastAsia"/>
      <w:b/>
      <w:bCs/>
      <w:sz w:val="20"/>
      <w:szCs w:val="20"/>
      <w:lang w:val="fr-CA" w:eastAsia="fr-CA"/>
    </w:rPr>
  </w:style>
  <w:style w:type="table" w:styleId="TableGrid">
    <w:name w:val="Table Grid"/>
    <w:basedOn w:val="TableNormal"/>
    <w:rsid w:val="0070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631"/>
    <w:pPr>
      <w:ind w:left="720"/>
      <w:contextualSpacing/>
    </w:pPr>
  </w:style>
  <w:style w:type="character" w:styleId="PlaceholderText">
    <w:name w:val="Placeholder Text"/>
    <w:basedOn w:val="DefaultParagraphFont"/>
    <w:uiPriority w:val="99"/>
    <w:semiHidden/>
    <w:rsid w:val="00705631"/>
    <w:rPr>
      <w:color w:val="808080"/>
    </w:rPr>
  </w:style>
  <w:style w:type="paragraph" w:styleId="Header">
    <w:name w:val="header"/>
    <w:basedOn w:val="Normal"/>
    <w:link w:val="HeaderChar"/>
    <w:uiPriority w:val="99"/>
    <w:unhideWhenUsed/>
    <w:rsid w:val="00705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631"/>
    <w:rPr>
      <w:rFonts w:eastAsiaTheme="minorEastAsia"/>
      <w:lang w:val="fr-CA" w:eastAsia="fr-CA"/>
    </w:rPr>
  </w:style>
  <w:style w:type="paragraph" w:styleId="Footer">
    <w:name w:val="footer"/>
    <w:basedOn w:val="Normal"/>
    <w:link w:val="FooterChar"/>
    <w:uiPriority w:val="99"/>
    <w:unhideWhenUsed/>
    <w:rsid w:val="00705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31"/>
    <w:rPr>
      <w:rFonts w:eastAsiaTheme="minorEastAsia"/>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Bourassa</dc:creator>
  <cp:keywords/>
  <dc:description/>
  <cp:lastModifiedBy>Ellen Johnson</cp:lastModifiedBy>
  <cp:revision>3</cp:revision>
  <dcterms:created xsi:type="dcterms:W3CDTF">2022-01-26T22:54:00Z</dcterms:created>
  <dcterms:modified xsi:type="dcterms:W3CDTF">2022-03-01T17:16:00Z</dcterms:modified>
</cp:coreProperties>
</file>