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FB" w:rsidRDefault="007708FB" w:rsidP="0098527E">
      <w:pPr>
        <w:pStyle w:val="NoSpacing"/>
        <w:rPr>
          <w:rFonts w:ascii="Times New Roman" w:hAnsi="Times New Roman"/>
          <w:b/>
          <w:caps/>
        </w:rPr>
      </w:pPr>
      <w:bookmarkStart w:id="0" w:name="_GoBack"/>
      <w:bookmarkEnd w:id="0"/>
      <w:r>
        <w:rPr>
          <w:rFonts w:ascii="Times New Roman" w:hAnsi="Times New Roman"/>
          <w:b/>
          <w:caps/>
        </w:rPr>
        <w:t>accompanying appendix material</w:t>
      </w:r>
    </w:p>
    <w:p w:rsidR="007708FB" w:rsidRDefault="007708FB" w:rsidP="0098527E">
      <w:pPr>
        <w:spacing w:line="240" w:lineRule="auto"/>
        <w:rPr>
          <w:rFonts w:ascii="Times New Roman" w:hAnsi="Times New Roman"/>
        </w:rPr>
      </w:pPr>
    </w:p>
    <w:p w:rsidR="0098527E" w:rsidRDefault="007708FB" w:rsidP="0098527E">
      <w:pPr>
        <w:spacing w:line="240" w:lineRule="auto"/>
        <w:rPr>
          <w:rFonts w:ascii="Times New Roman" w:hAnsi="Times New Roman"/>
        </w:rPr>
      </w:pPr>
      <w:r>
        <w:rPr>
          <w:rFonts w:ascii="Times New Roman" w:hAnsi="Times New Roman"/>
        </w:rPr>
        <w:t>I</w:t>
      </w:r>
      <w:r w:rsidR="0098527E">
        <w:rPr>
          <w:rFonts w:ascii="Times New Roman" w:hAnsi="Times New Roman"/>
        </w:rPr>
        <w:t>nput vari</w:t>
      </w:r>
      <w:r>
        <w:rPr>
          <w:rFonts w:ascii="Times New Roman" w:hAnsi="Times New Roman"/>
        </w:rPr>
        <w:t xml:space="preserve">ables and model constraints </w:t>
      </w:r>
      <w:r w:rsidR="0098527E">
        <w:rPr>
          <w:rFonts w:ascii="Times New Roman" w:hAnsi="Times New Roman"/>
        </w:rPr>
        <w:t>(Figure 1):</w:t>
      </w:r>
    </w:p>
    <w:p w:rsidR="0098527E" w:rsidRDefault="0098527E" w:rsidP="0098527E">
      <w:pPr>
        <w:spacing w:line="240" w:lineRule="auto"/>
        <w:rPr>
          <w:rFonts w:ascii="Times New Roman" w:hAnsi="Times New Roman"/>
          <w:b/>
        </w:rPr>
      </w:pPr>
    </w:p>
    <w:p w:rsidR="0098527E" w:rsidRDefault="0098527E" w:rsidP="0098527E">
      <w:pPr>
        <w:pStyle w:val="ListParagraph"/>
        <w:numPr>
          <w:ilvl w:val="0"/>
          <w:numId w:val="1"/>
        </w:numPr>
        <w:tabs>
          <w:tab w:val="clear" w:pos="360"/>
          <w:tab w:val="num" w:pos="720"/>
        </w:tabs>
        <w:spacing w:line="240" w:lineRule="auto"/>
        <w:ind w:left="720" w:hanging="360"/>
        <w:rPr>
          <w:rFonts w:ascii="Times New Roman" w:hAnsi="Times New Roman"/>
        </w:rPr>
      </w:pPr>
      <w:r>
        <w:rPr>
          <w:rFonts w:ascii="Times New Roman" w:hAnsi="Times New Roman"/>
        </w:rPr>
        <w:t>Initial number of patients at the disaster epicenter are separated into:</w:t>
      </w:r>
      <w:r>
        <w:rPr>
          <w:rStyle w:val="EndnoteReference1"/>
        </w:rPr>
        <w:endnoteReference w:id="1"/>
      </w:r>
      <w:r>
        <w:rPr>
          <w:rFonts w:ascii="Times New Roman" w:hAnsi="Times New Roman"/>
        </w:rPr>
        <w:t xml:space="preserve"> </w:t>
      </w:r>
      <w:r>
        <w:rPr>
          <w:rStyle w:val="EndnoteReference1"/>
        </w:rPr>
        <w:endnoteReference w:id="2"/>
      </w:r>
      <w:r>
        <w:rPr>
          <w:rFonts w:ascii="Times New Roman" w:hAnsi="Times New Roman"/>
        </w:rPr>
        <w:t xml:space="preserve"> </w:t>
      </w:r>
      <w:r>
        <w:rPr>
          <w:rStyle w:val="EndnoteReference1"/>
        </w:rPr>
        <w:endnoteReference w:id="3"/>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Black-triaged patients </w:t>
      </w:r>
      <w:r w:rsidR="00C810F9">
        <w:rPr>
          <w:rFonts w:ascii="Times New Roman" w:hAnsi="Times New Roman"/>
        </w:rPr>
        <w:t xml:space="preserve">(20%) </w:t>
      </w:r>
      <w:r>
        <w:rPr>
          <w:rFonts w:ascii="Times New Roman" w:hAnsi="Times New Roman"/>
        </w:rPr>
        <w:t xml:space="preserve">that move out-of-system to morgue facilities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Red-triaged patients (20%) that are subsequently moved to ORBs (30%)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Red-triaged patients (20%) that are subsequently moved to CCBs (70%)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Yellow-triaged patients (20%) that are subsequently moved to RFBs (60%)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Yellow-triaged patients (20%) that are subsequently moved to TRBs (40%)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Green-triaged patients</w:t>
      </w:r>
      <w:r w:rsidR="00C810F9">
        <w:rPr>
          <w:rFonts w:ascii="Times New Roman" w:hAnsi="Times New Roman"/>
        </w:rPr>
        <w:t xml:space="preserve"> (40%)</w:t>
      </w:r>
      <w:r>
        <w:rPr>
          <w:rFonts w:ascii="Times New Roman" w:hAnsi="Times New Roman"/>
        </w:rPr>
        <w:t xml:space="preserve"> that move out-of-system to home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Total patients are multiplied by 10% and added on as injured rescue workers, 3% of which are yellow-triaged and 7% green-triaged, all presenting at t</w:t>
      </w:r>
      <w:r>
        <w:rPr>
          <w:rFonts w:ascii="Times New Roman" w:hAnsi="Times New Roman"/>
          <w:vertAlign w:val="subscript"/>
        </w:rPr>
        <w:t>3</w:t>
      </w:r>
      <w:r>
        <w:rPr>
          <w:rFonts w:ascii="Times New Roman" w:hAnsi="Times New Roman"/>
        </w:rPr>
        <w:t xml:space="preserve">. </w:t>
      </w:r>
    </w:p>
    <w:p w:rsidR="0098527E" w:rsidRDefault="0098527E" w:rsidP="0098527E">
      <w:pPr>
        <w:spacing w:line="240" w:lineRule="auto"/>
        <w:rPr>
          <w:rFonts w:ascii="Times New Roman" w:hAnsi="Times New Roman"/>
        </w:rPr>
      </w:pPr>
    </w:p>
    <w:p w:rsidR="0098527E" w:rsidRDefault="0098527E" w:rsidP="0098527E">
      <w:pPr>
        <w:pStyle w:val="ListParagraph"/>
        <w:numPr>
          <w:ilvl w:val="0"/>
          <w:numId w:val="2"/>
        </w:numPr>
        <w:tabs>
          <w:tab w:val="clear" w:pos="360"/>
          <w:tab w:val="num" w:pos="720"/>
        </w:tabs>
        <w:spacing w:line="240" w:lineRule="auto"/>
        <w:ind w:left="720" w:hanging="360"/>
        <w:rPr>
          <w:rFonts w:ascii="Times New Roman" w:hAnsi="Times New Roman"/>
        </w:rPr>
      </w:pPr>
      <w:r>
        <w:rPr>
          <w:rFonts w:ascii="Times New Roman" w:hAnsi="Times New Roman"/>
        </w:rPr>
        <w:t>Patient evacuation rates from the disaster epicenter to hospitals:</w:t>
      </w:r>
      <w:r>
        <w:rPr>
          <w:rStyle w:val="EndnoteReference1"/>
        </w:rPr>
        <w:endnoteReference w:id="4"/>
      </w:r>
      <w:r>
        <w:rPr>
          <w:rFonts w:ascii="Times New Roman" w:hAnsi="Times New Roman"/>
        </w:rPr>
        <w:t xml:space="preserve"> </w:t>
      </w:r>
      <w:r>
        <w:rPr>
          <w:rStyle w:val="EndnoteReference1"/>
        </w:rPr>
        <w:endnoteReference w:id="5"/>
      </w:r>
      <w:r>
        <w:rPr>
          <w:rFonts w:ascii="Times New Roman" w:hAnsi="Times New Roman"/>
        </w:rPr>
        <w:t xml:space="preserve"> </w:t>
      </w:r>
      <w:r>
        <w:rPr>
          <w:rStyle w:val="EndnoteReference1"/>
        </w:rPr>
        <w:endnoteReference w:id="6"/>
      </w:r>
      <w:r>
        <w:rPr>
          <w:rFonts w:ascii="Times New Roman" w:hAnsi="Times New Roman"/>
        </w:rPr>
        <w:t xml:space="preserve"> </w:t>
      </w:r>
      <w:r>
        <w:rPr>
          <w:rStyle w:val="EndnoteReference1"/>
        </w:rPr>
        <w:endnoteReference w:id="7"/>
      </w:r>
      <w:r>
        <w:rPr>
          <w:rFonts w:ascii="Times New Roman" w:hAnsi="Times New Roman"/>
        </w:rPr>
        <w:t xml:space="preserve"> </w:t>
      </w:r>
      <w:r>
        <w:rPr>
          <w:rStyle w:val="EndnoteReference1"/>
        </w:rPr>
        <w:endnoteReference w:id="8"/>
      </w:r>
      <w:r>
        <w:rPr>
          <w:rFonts w:ascii="Times New Roman" w:hAnsi="Times New Roman"/>
        </w:rPr>
        <w:t xml:space="preserve"> </w:t>
      </w:r>
      <w:r>
        <w:rPr>
          <w:rStyle w:val="EndnoteReference1"/>
        </w:rPr>
        <w:endnoteReference w:id="9"/>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The maximum total number of patients per time period that c</w:t>
      </w:r>
      <w:r w:rsidR="00D814B4">
        <w:rPr>
          <w:rFonts w:ascii="Times New Roman" w:hAnsi="Times New Roman"/>
        </w:rPr>
        <w:t>an</w:t>
      </w:r>
      <w:r>
        <w:rPr>
          <w:rFonts w:ascii="Times New Roman" w:hAnsi="Times New Roman"/>
        </w:rPr>
        <w:t xml:space="preserve"> be transported from the disaster epicenter to all hos</w:t>
      </w:r>
      <w:r w:rsidR="00D814B4">
        <w:rPr>
          <w:rFonts w:ascii="Times New Roman" w:hAnsi="Times New Roman"/>
        </w:rPr>
        <w:t>pitals was the evacuation rate (</w:t>
      </w:r>
      <w:r>
        <w:rPr>
          <w:rFonts w:ascii="Times New Roman" w:hAnsi="Times New Roman"/>
        </w:rPr>
        <w:t>EV</w:t>
      </w:r>
      <w:r w:rsidR="00D814B4">
        <w:rPr>
          <w:rFonts w:ascii="Times New Roman" w:hAnsi="Times New Roman"/>
        </w:rPr>
        <w:t>)</w:t>
      </w:r>
      <w:r>
        <w:rPr>
          <w:rFonts w:ascii="Times New Roman" w:hAnsi="Times New Roman"/>
        </w:rPr>
        <w:t xml:space="preserve"> where: </w:t>
      </w:r>
      <w:r>
        <w:rPr>
          <w:rFonts w:ascii="Times New Roman" w:hAnsi="Times New Roman"/>
        </w:rPr>
        <w:tab/>
      </w:r>
      <w:r>
        <w:rPr>
          <w:rFonts w:ascii="Times New Roman" w:hAnsi="Times New Roman"/>
        </w:rPr>
        <w:tab/>
      </w:r>
      <w:r>
        <w:rPr>
          <w:rFonts w:ascii="Times New Roman" w:hAnsi="Times New Roman"/>
        </w:rPr>
        <w:tab/>
      </w:r>
    </w:p>
    <w:p w:rsidR="0098527E" w:rsidRDefault="0098527E" w:rsidP="0098527E">
      <w:pPr>
        <w:pStyle w:val="ListParagraph"/>
        <w:spacing w:line="240" w:lineRule="auto"/>
        <w:ind w:left="1440"/>
        <w:rPr>
          <w:rFonts w:ascii="Times New Roman" w:hAnsi="Times New Roman"/>
        </w:rPr>
      </w:pPr>
      <w:r>
        <w:rPr>
          <w:rFonts w:ascii="Times New Roman" w:hAnsi="Times New Roman"/>
        </w:rPr>
        <w:t>EV = SS*(AR/SS)*(TV/AR)*(patients/TV)*(1/LM)*(minutes/hour)</w:t>
      </w:r>
    </w:p>
    <w:p w:rsidR="0098527E" w:rsidRDefault="0098527E" w:rsidP="0098527E">
      <w:pPr>
        <w:spacing w:line="240" w:lineRule="auto"/>
        <w:ind w:left="720" w:firstLine="720"/>
        <w:rPr>
          <w:rFonts w:ascii="Times New Roman" w:hAnsi="Times New Roman"/>
        </w:rPr>
      </w:pPr>
      <w:r>
        <w:rPr>
          <w:rFonts w:ascii="Times New Roman" w:hAnsi="Times New Roman"/>
        </w:rPr>
        <w:t xml:space="preserve">      = (1)*(2)*(5)*(2)*(1/12)*(60) = 100 maximum total number of patients per hour </w:t>
      </w:r>
    </w:p>
    <w:p w:rsidR="0098527E" w:rsidRDefault="0098527E" w:rsidP="0098527E">
      <w:pPr>
        <w:spacing w:line="240" w:lineRule="auto"/>
        <w:ind w:left="1440"/>
        <w:rPr>
          <w:rFonts w:ascii="Times New Roman" w:hAnsi="Times New Roman"/>
        </w:rPr>
      </w:pPr>
      <w:r>
        <w:rPr>
          <w:rFonts w:ascii="Times New Roman" w:hAnsi="Times New Roman"/>
        </w:rPr>
        <w:t xml:space="preserve">period that could be transported from the disaster epicenter to all hospitals, where SS is the number of staging sites within epicenter, AR is access routes, TV is emergency transport vehicles, and LM is loading minutes.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Sufficient transportation resources are available to move patients to available hospital beds and all critical (red) and serious (yellow) patients leaving the epicenter are moved as long as there is an open bed available at a hospital.</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Emergency transport vehicles are not needed to move expired (black) or walking (green) patients to hospitals.</w:t>
      </w:r>
    </w:p>
    <w:p w:rsidR="0098527E" w:rsidRDefault="0098527E" w:rsidP="0098527E">
      <w:pPr>
        <w:pStyle w:val="ListParagraph"/>
        <w:spacing w:line="240" w:lineRule="auto"/>
        <w:ind w:left="1440"/>
        <w:rPr>
          <w:rFonts w:ascii="Times New Roman" w:hAnsi="Times New Roman"/>
        </w:rPr>
      </w:pPr>
    </w:p>
    <w:p w:rsidR="0098527E" w:rsidRDefault="0098527E" w:rsidP="0098527E">
      <w:pPr>
        <w:pStyle w:val="ListParagraph"/>
        <w:numPr>
          <w:ilvl w:val="0"/>
          <w:numId w:val="2"/>
        </w:numPr>
        <w:tabs>
          <w:tab w:val="clear" w:pos="360"/>
          <w:tab w:val="num" w:pos="720"/>
        </w:tabs>
        <w:spacing w:line="240" w:lineRule="auto"/>
        <w:ind w:left="720" w:hanging="360"/>
        <w:rPr>
          <w:rFonts w:ascii="Times New Roman" w:hAnsi="Times New Roman"/>
        </w:rPr>
      </w:pPr>
      <w:r>
        <w:rPr>
          <w:rFonts w:ascii="Times New Roman" w:hAnsi="Times New Roman"/>
        </w:rPr>
        <w:t xml:space="preserve">Patient out-of-hospital severity-of-disease state transition probabilities: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Out-of-hospital severity-of-disease transitions are distance dependent and occur over the full period of time it takes to get a patient from the disaster epicenter to a hospital.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Red-triaged ORB patients that up-transition to black and move out-of-system to morgue in each time period (10%)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Red-triaged CCB patients that up-transition to red ORBs in each time period (5%)</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Red-triaged ORB patients that down-transition to red CCBs in each time period (1%)</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Red-triaged CCB patients that down-transition to yellow RFBs in each time period (10%)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Yellow-triaged RFB patients that up-transition to red CCBs in each time period (10%)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Yellow-triaged TRB patients that up-transition to yellow RFBs in each time period (10%)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Yellow-triaged RFB patients that down-transition to yellow TRBs in each period (2%)</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Yellow-triaged TRB patients that down-transition to green in each time period (1%)</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Green-triaged patients that up-transition to yellow TRBs in each time period (1%)</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Green-triaged patients that move out-of-system to home in each time period (10%)</w:t>
      </w:r>
    </w:p>
    <w:p w:rsidR="0098527E" w:rsidRDefault="0098527E" w:rsidP="0098527E">
      <w:pPr>
        <w:spacing w:line="240" w:lineRule="auto"/>
        <w:rPr>
          <w:rFonts w:ascii="Times New Roman" w:hAnsi="Times New Roman"/>
        </w:rPr>
      </w:pPr>
    </w:p>
    <w:p w:rsidR="0098527E" w:rsidRDefault="0098527E" w:rsidP="0098527E">
      <w:pPr>
        <w:pStyle w:val="ListParagraph"/>
        <w:numPr>
          <w:ilvl w:val="0"/>
          <w:numId w:val="2"/>
        </w:numPr>
        <w:tabs>
          <w:tab w:val="clear" w:pos="360"/>
          <w:tab w:val="num" w:pos="720"/>
        </w:tabs>
        <w:spacing w:line="240" w:lineRule="auto"/>
        <w:ind w:left="720" w:hanging="360"/>
        <w:rPr>
          <w:rFonts w:ascii="Times New Roman" w:hAnsi="Times New Roman"/>
        </w:rPr>
      </w:pPr>
      <w:r>
        <w:rPr>
          <w:rFonts w:ascii="Times New Roman" w:hAnsi="Times New Roman"/>
        </w:rPr>
        <w:t>Hospital bed transition probabilities and patient disposition</w:t>
      </w:r>
      <w:r w:rsidR="006C1AAB">
        <w:rPr>
          <w:rFonts w:ascii="Times New Roman" w:hAnsi="Times New Roman"/>
        </w:rPr>
        <w:t>s</w:t>
      </w:r>
      <w:r>
        <w:rPr>
          <w:rFonts w:ascii="Times New Roman" w:hAnsi="Times New Roman"/>
        </w:rPr>
        <w:t>:</w:t>
      </w:r>
      <w:r>
        <w:rPr>
          <w:rStyle w:val="EndnoteReference1"/>
        </w:rPr>
        <w:endnoteReference w:id="10"/>
      </w:r>
      <w:r>
        <w:rPr>
          <w:rFonts w:ascii="Times New Roman" w:hAnsi="Times New Roman"/>
        </w:rPr>
        <w:t xml:space="preserve"> </w:t>
      </w:r>
      <w:r>
        <w:rPr>
          <w:rStyle w:val="EndnoteReference1"/>
        </w:rPr>
        <w:endnoteReference w:id="11"/>
      </w:r>
      <w:r>
        <w:rPr>
          <w:rFonts w:ascii="Times New Roman" w:hAnsi="Times New Roman"/>
        </w:rPr>
        <w:t xml:space="preserve"> </w:t>
      </w:r>
      <w:r>
        <w:rPr>
          <w:rStyle w:val="EndnoteReference1"/>
        </w:rPr>
        <w:endnoteReference w:id="12"/>
      </w:r>
      <w:r>
        <w:rPr>
          <w:rFonts w:ascii="Times New Roman" w:hAnsi="Times New Roman"/>
        </w:rPr>
        <w:t xml:space="preserve"> </w:t>
      </w:r>
      <w:r>
        <w:rPr>
          <w:rStyle w:val="EndnoteReference1"/>
        </w:rPr>
        <w:endnoteReference w:id="13"/>
      </w:r>
      <w:r>
        <w:rPr>
          <w:rFonts w:ascii="Times New Roman" w:hAnsi="Times New Roman"/>
        </w:rPr>
        <w:t xml:space="preserve"> </w:t>
      </w:r>
      <w:r>
        <w:rPr>
          <w:rStyle w:val="EndnoteReference1"/>
        </w:rPr>
        <w:endnoteReference w:id="14"/>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Noncritical, non-disaster patients occupying ORBs, CCBs, RFBs, and TRBs that can be discharged are moved out or “reverse-triaged” from hospitals to make room for critical patients from the disaster epicenter, increasing available beds by a total of 30% at the end of t</w:t>
      </w:r>
      <w:r>
        <w:rPr>
          <w:rFonts w:ascii="Times New Roman" w:hAnsi="Times New Roman"/>
          <w:vertAlign w:val="subscript"/>
        </w:rPr>
        <w:t>2</w:t>
      </w:r>
      <w:r>
        <w:rPr>
          <w:rFonts w:ascii="Times New Roman" w:hAnsi="Times New Roman"/>
        </w:rPr>
        <w:t xml:space="preserve">: 20% from early inpatient discharges, canceling elective admissions and procedures, converting private rooms to double occupancy, and transferring eligible patients to affiliated nursing homes and long term care facilities; and 10% by converting outpatient clinics, conference rooms and hallways to active patient care space.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lastRenderedPageBreak/>
        <w:t>Hospital CCB capacity includes regular use CCBs + post-anesthesia care beds + advanced-procedure-unit beds + day-surgery beds + OR beds not in use for surgery. No other bed type can be converted into ORBs, and RFBs cannot be converted into CCBs.</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Once the beds of any type are filled at any one hospital, patients will be sent to next closest hospital with the appropriate bed types available.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ORB patients that move out-of-system to morgue in each time period (3%)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ORB patients that are post-op and down-transition to a CCB in each time period (25%)</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CCB patients that move out-of-system to morgue in each time period (20%)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CCB patients that up-transition to an ORB in each time period (1%)</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CCB patients that down-transition to a RFB in each time period (20%)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 xml:space="preserve">RFB patients that move out-of-system to morgue in each time period (2%)  </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RFB patients that up-transition to a CCB in each time period (10%)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RFB patients that down-transition to a TRB and to home in each time period (40%)</w:t>
      </w:r>
    </w:p>
    <w:p w:rsidR="0098527E" w:rsidRDefault="0098527E" w:rsidP="0098527E">
      <w:pPr>
        <w:pStyle w:val="ListParagraph"/>
        <w:numPr>
          <w:ilvl w:val="1"/>
          <w:numId w:val="2"/>
        </w:numPr>
        <w:tabs>
          <w:tab w:val="clear" w:pos="360"/>
          <w:tab w:val="num" w:pos="1440"/>
        </w:tabs>
        <w:spacing w:line="240" w:lineRule="auto"/>
        <w:ind w:left="1440" w:hanging="360"/>
        <w:rPr>
          <w:rFonts w:ascii="Times New Roman" w:hAnsi="Times New Roman"/>
        </w:rPr>
      </w:pPr>
      <w:r>
        <w:rPr>
          <w:rFonts w:ascii="Times New Roman" w:hAnsi="Times New Roman"/>
        </w:rPr>
        <w:t>TRB patients that move out-of-system to home in the next time period (60%)</w:t>
      </w:r>
    </w:p>
    <w:p w:rsidR="0098527E" w:rsidRDefault="0098527E" w:rsidP="0098527E">
      <w:pPr>
        <w:pStyle w:val="ListParagraph"/>
        <w:spacing w:line="240" w:lineRule="auto"/>
        <w:ind w:left="1440"/>
        <w:rPr>
          <w:rFonts w:ascii="Times New Roman" w:hAnsi="Times New Roman"/>
        </w:rPr>
      </w:pPr>
    </w:p>
    <w:p w:rsidR="0098527E" w:rsidRDefault="0098527E" w:rsidP="0098527E">
      <w:pPr>
        <w:pStyle w:val="NoSpacing"/>
        <w:rPr>
          <w:rFonts w:ascii="Times New Roman" w:hAnsi="Times New Roman"/>
        </w:rPr>
      </w:pPr>
    </w:p>
    <w:p w:rsidR="00406166" w:rsidRDefault="00406166" w:rsidP="0098527E">
      <w:pPr>
        <w:pStyle w:val="NoSpacing"/>
        <w:rPr>
          <w:rFonts w:ascii="Times New Roman" w:hAnsi="Times New Roman"/>
          <w:b/>
          <w:caps/>
        </w:rPr>
      </w:pPr>
    </w:p>
    <w:p w:rsidR="0098527E" w:rsidRDefault="0098527E" w:rsidP="0098527E">
      <w:pPr>
        <w:pStyle w:val="NoSpacing"/>
        <w:rPr>
          <w:rFonts w:ascii="Times New Roman" w:hAnsi="Times New Roman"/>
        </w:rPr>
      </w:pPr>
      <w:r>
        <w:rPr>
          <w:rFonts w:ascii="Times New Roman" w:hAnsi="Times New Roman"/>
        </w:rPr>
        <w:t xml:space="preserve"> </w:t>
      </w:r>
    </w:p>
    <w:p w:rsidR="00365B22" w:rsidRDefault="007708FB">
      <w:r>
        <w:rPr>
          <w:rFonts w:ascii="Times New Roman" w:hAnsi="Times New Roman"/>
          <w:b/>
          <w:caps/>
        </w:rPr>
        <w:br w:type="page"/>
      </w:r>
      <w:r>
        <w:rPr>
          <w:rFonts w:ascii="Times New Roman" w:hAnsi="Times New Roman"/>
          <w:b/>
          <w:caps/>
        </w:rPr>
        <w:lastRenderedPageBreak/>
        <w:t>references</w:t>
      </w:r>
    </w:p>
    <w:sectPr w:rsidR="00365B22" w:rsidSect="007708FB">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88" w:rsidRDefault="00B66488">
      <w:pPr>
        <w:spacing w:line="240" w:lineRule="auto"/>
      </w:pPr>
      <w:r>
        <w:separator/>
      </w:r>
    </w:p>
  </w:endnote>
  <w:endnote w:type="continuationSeparator" w:id="0">
    <w:p w:rsidR="00B66488" w:rsidRDefault="00B66488">
      <w:pPr>
        <w:spacing w:line="240" w:lineRule="auto"/>
      </w:pPr>
      <w:r>
        <w:continuationSeparator/>
      </w:r>
    </w:p>
  </w:endnote>
  <w:endnote w:id="1">
    <w:p w:rsidR="0098527E" w:rsidRDefault="0098527E" w:rsidP="0098527E">
      <w:pPr>
        <w:pStyle w:val="EndnoteText1"/>
        <w:rPr>
          <w:rFonts w:eastAsia="Times New Roman"/>
          <w:color w:val="auto"/>
        </w:rPr>
      </w:pPr>
      <w:r>
        <w:rPr>
          <w:rStyle w:val="EndnoteReference1"/>
          <w:sz w:val="24"/>
        </w:rPr>
        <w:endnoteRef/>
      </w:r>
      <w:r>
        <w:t>. Stratton SJ, Tyler RD. Characteristics of medical surge capacity demand for sudden-impact disasters. Acad Emerg Med. 2006 Nov;13(11):1193-7.</w:t>
      </w:r>
    </w:p>
  </w:endnote>
  <w:endnote w:id="2">
    <w:p w:rsidR="0098527E" w:rsidRDefault="0098527E" w:rsidP="0098527E">
      <w:pPr>
        <w:pStyle w:val="EndnoteText1"/>
        <w:rPr>
          <w:rFonts w:eastAsia="Times New Roman"/>
          <w:color w:val="auto"/>
        </w:rPr>
      </w:pPr>
      <w:r>
        <w:rPr>
          <w:rStyle w:val="EndnoteReference1"/>
          <w:sz w:val="24"/>
        </w:rPr>
        <w:endnoteRef/>
      </w:r>
      <w:r>
        <w:t>. Dellinger AM, Waxweiler RJ, Mallonee S. Injuries to rescue workers following the Oklahoma City bombing. Am J Ind Med. 1997 Jun;31(6):727-32.</w:t>
      </w:r>
    </w:p>
  </w:endnote>
  <w:endnote w:id="3">
    <w:p w:rsidR="0098527E" w:rsidRDefault="0098527E" w:rsidP="0098527E">
      <w:pPr>
        <w:pStyle w:val="EndnoteText1"/>
        <w:rPr>
          <w:rFonts w:eastAsia="Times New Roman"/>
          <w:color w:val="auto"/>
        </w:rPr>
      </w:pPr>
      <w:r>
        <w:rPr>
          <w:rStyle w:val="EndnoteReference1"/>
          <w:sz w:val="24"/>
        </w:rPr>
        <w:endnoteRef/>
      </w:r>
      <w:r>
        <w:t xml:space="preserve"> Centers for Disease Control and Prevention (CDC). Rapid assessment of injuries among survivors of the terrorist attack on the World Trade Center--New York City, September 2001. MMWR Morb Mortal Wkly Rep. 2002 Jan 11;51(1):1-5.</w:t>
      </w:r>
    </w:p>
  </w:endnote>
  <w:endnote w:id="4">
    <w:p w:rsidR="0098527E" w:rsidRDefault="0098527E" w:rsidP="0098527E">
      <w:pPr>
        <w:pStyle w:val="EndnoteText1"/>
        <w:rPr>
          <w:rFonts w:eastAsia="Times New Roman"/>
          <w:color w:val="auto"/>
        </w:rPr>
      </w:pPr>
      <w:r>
        <w:rPr>
          <w:rStyle w:val="EndnoteReference1"/>
          <w:sz w:val="24"/>
        </w:rPr>
        <w:endnoteRef/>
      </w:r>
      <w:r>
        <w:t xml:space="preserve"> Maningas PA, Robison M, Mallonee S. The EMS response to the Oklahoma City bombing. Prehosp Disaster Med. 1997 Apr-Jun;12(2):80-5.</w:t>
      </w:r>
    </w:p>
  </w:endnote>
  <w:endnote w:id="5">
    <w:p w:rsidR="0098527E" w:rsidRDefault="0098527E" w:rsidP="0098527E">
      <w:pPr>
        <w:pStyle w:val="EndnoteText1"/>
        <w:rPr>
          <w:rFonts w:eastAsia="Times New Roman"/>
          <w:color w:val="auto"/>
        </w:rPr>
      </w:pPr>
      <w:r>
        <w:rPr>
          <w:rStyle w:val="EndnoteReference1"/>
          <w:sz w:val="24"/>
        </w:rPr>
        <w:endnoteRef/>
      </w:r>
      <w:r>
        <w:t xml:space="preserve"> Centers for Disease Control and Prevention (CDC). Rapid assessment of injuries among survivors of the terrorist attack on the World Trade Center--New York City, September 2001. MMWR Morb Mortal Wkly Rep. 2002 Jan 11;51(1):1-5.</w:t>
      </w:r>
    </w:p>
  </w:endnote>
  <w:endnote w:id="6">
    <w:p w:rsidR="0098527E" w:rsidRDefault="0098527E" w:rsidP="0098527E">
      <w:pPr>
        <w:pStyle w:val="EndnoteText1"/>
        <w:rPr>
          <w:rFonts w:eastAsia="Times New Roman"/>
          <w:color w:val="auto"/>
        </w:rPr>
      </w:pPr>
      <w:r>
        <w:rPr>
          <w:rStyle w:val="EndnoteReference1"/>
          <w:sz w:val="24"/>
        </w:rPr>
        <w:endnoteRef/>
      </w:r>
      <w:r>
        <w:t xml:space="preserve"> Hobeika AG, Kim S, Beckwith RE. A decision support system for developing evacuation plans around nuclear power stations. Interfaces 1994 vol. 24 no. 5: 22-35.</w:t>
      </w:r>
    </w:p>
  </w:endnote>
  <w:endnote w:id="7">
    <w:p w:rsidR="0098527E" w:rsidRDefault="0098527E" w:rsidP="0098527E">
      <w:pPr>
        <w:pStyle w:val="EndnoteText1"/>
        <w:rPr>
          <w:rFonts w:eastAsia="Times New Roman"/>
          <w:color w:val="auto"/>
        </w:rPr>
      </w:pPr>
      <w:r>
        <w:rPr>
          <w:rStyle w:val="EndnoteReference1"/>
          <w:sz w:val="24"/>
        </w:rPr>
        <w:endnoteRef/>
      </w:r>
      <w:r>
        <w:t>. Mallonee S, Shariat S, Stennies G, Waxweiler R, Hogan D, Jordan F. Physical injuries and fatalities resulting from the Oklahoma City bombing. JAMA 1996;276(5):382-7.</w:t>
      </w:r>
    </w:p>
  </w:endnote>
  <w:endnote w:id="8">
    <w:p w:rsidR="0098527E" w:rsidRDefault="0098527E" w:rsidP="0098527E">
      <w:pPr>
        <w:pStyle w:val="EndnoteText1"/>
        <w:rPr>
          <w:rFonts w:eastAsia="Times New Roman"/>
          <w:color w:val="auto"/>
        </w:rPr>
      </w:pPr>
      <w:r>
        <w:rPr>
          <w:rStyle w:val="EndnoteReference1"/>
          <w:sz w:val="24"/>
        </w:rPr>
        <w:endnoteRef/>
      </w:r>
      <w:r>
        <w:t>. Simon R, Teperman S. The World Trade Center attack. Lessons for disaster management. Crit Care. 2001 Dec;5(6):318-20.</w:t>
      </w:r>
    </w:p>
  </w:endnote>
  <w:endnote w:id="9">
    <w:p w:rsidR="0098527E" w:rsidRDefault="0098527E" w:rsidP="0098527E">
      <w:pPr>
        <w:pStyle w:val="EndnoteText1"/>
        <w:rPr>
          <w:rFonts w:eastAsia="Times New Roman"/>
          <w:color w:val="auto"/>
        </w:rPr>
      </w:pPr>
      <w:r>
        <w:rPr>
          <w:rStyle w:val="EndnoteReference1"/>
          <w:sz w:val="24"/>
        </w:rPr>
        <w:endnoteRef/>
      </w:r>
      <w:r>
        <w:t>. Avitzour M, Libergal M, Assaf J, Adler J, Beyth S, Mosheiff R, Rubin A, Feigenberg Z, Slatnikovitz R, Gofin R, Shapira SC. A multicasualty event: out-of-hospital and in-hospital organizational aspects. Acad Emerg Med. 2004 Oct;11(10):1102-4.</w:t>
      </w:r>
    </w:p>
  </w:endnote>
  <w:endnote w:id="10">
    <w:p w:rsidR="0098527E" w:rsidRDefault="0098527E" w:rsidP="0098527E">
      <w:pPr>
        <w:pStyle w:val="EndnoteText1"/>
        <w:rPr>
          <w:rFonts w:eastAsia="Times New Roman"/>
          <w:color w:val="auto"/>
        </w:rPr>
      </w:pPr>
      <w:r>
        <w:rPr>
          <w:rStyle w:val="EndnoteReference1"/>
          <w:sz w:val="24"/>
        </w:rPr>
        <w:endnoteRef/>
      </w:r>
      <w:r>
        <w:t>. Schultz CH, Koenig KL. State of research in high-consequence hospital surge capacity. Acad Emerg Med. 2006 Nov;13(11):1153-6.</w:t>
      </w:r>
    </w:p>
  </w:endnote>
  <w:endnote w:id="11">
    <w:p w:rsidR="0098527E" w:rsidRDefault="0098527E" w:rsidP="0098527E">
      <w:pPr>
        <w:pStyle w:val="EndnoteText1"/>
        <w:rPr>
          <w:rFonts w:eastAsia="Times New Roman"/>
          <w:color w:val="auto"/>
        </w:rPr>
      </w:pPr>
      <w:r>
        <w:rPr>
          <w:rStyle w:val="EndnoteReference1"/>
          <w:sz w:val="24"/>
        </w:rPr>
        <w:endnoteRef/>
      </w:r>
      <w:r>
        <w:t>. Rivara FP, Nathens AB, Jurkovich GJ, Maier RV. Do trauma centers have the capacity to respond to disasters? J Trauma. 2006 Oct;61(4):949-53.</w:t>
      </w:r>
    </w:p>
  </w:endnote>
  <w:endnote w:id="12">
    <w:p w:rsidR="0098527E" w:rsidRDefault="0098527E" w:rsidP="0098527E">
      <w:pPr>
        <w:pStyle w:val="EndnoteText1"/>
        <w:rPr>
          <w:rFonts w:eastAsia="Times New Roman"/>
          <w:color w:val="auto"/>
        </w:rPr>
      </w:pPr>
      <w:r>
        <w:rPr>
          <w:rStyle w:val="EndnoteReference1"/>
          <w:sz w:val="24"/>
        </w:rPr>
        <w:endnoteRef/>
      </w:r>
      <w:r>
        <w:t>. Shapiro MB, Jenkins DH, Schwab CW, Rotondo MF. Damage control: collective review. J Trauma. 2000 Nov;49(5):969-78.</w:t>
      </w:r>
    </w:p>
  </w:endnote>
  <w:endnote w:id="13">
    <w:p w:rsidR="0098527E" w:rsidRDefault="0098527E" w:rsidP="0098527E">
      <w:pPr>
        <w:pStyle w:val="EndnoteText1"/>
        <w:rPr>
          <w:rFonts w:eastAsia="Times New Roman"/>
          <w:color w:val="auto"/>
        </w:rPr>
      </w:pPr>
      <w:r>
        <w:rPr>
          <w:rStyle w:val="EndnoteReference1"/>
          <w:sz w:val="24"/>
        </w:rPr>
        <w:endnoteRef/>
      </w:r>
      <w:r>
        <w:t>. Avidan V, Hersch M, Spira RM, Einav S, Goldberg S, Schecter W. Civilian hospital response to a mass casualty event: the role of the intensive care unit. J Trauma. 2007 May;62(5):1234-9.</w:t>
      </w:r>
    </w:p>
  </w:endnote>
  <w:endnote w:id="14">
    <w:p w:rsidR="0098527E" w:rsidRDefault="0098527E" w:rsidP="0098527E">
      <w:pPr>
        <w:pStyle w:val="EndnoteText1"/>
        <w:rPr>
          <w:rFonts w:eastAsia="Times New Roman"/>
          <w:color w:val="auto"/>
        </w:rPr>
      </w:pPr>
      <w:r>
        <w:rPr>
          <w:rStyle w:val="EndnoteReference1"/>
          <w:sz w:val="24"/>
        </w:rPr>
        <w:endnoteRef/>
      </w:r>
      <w:r>
        <w:t>. Cushman JG, Pachter HL, Beaton HL.  Two New York City hospitals' surgical response to the September 11, 2001, terrorist attack in New York City. J Trauma. 2003 Jan;54(1):147-54.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88" w:rsidRDefault="00B66488">
      <w:pPr>
        <w:spacing w:line="240" w:lineRule="auto"/>
      </w:pPr>
      <w:r>
        <w:separator/>
      </w:r>
    </w:p>
  </w:footnote>
  <w:footnote w:type="continuationSeparator" w:id="0">
    <w:p w:rsidR="00B66488" w:rsidRDefault="00B66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60"/>
        </w:tabs>
        <w:ind w:left="360" w:firstLine="1800"/>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60"/>
        </w:tabs>
        <w:ind w:left="360" w:firstLine="3960"/>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60"/>
        </w:tabs>
        <w:ind w:left="360" w:firstLine="6120"/>
      </w:pPr>
      <w:rPr>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60"/>
        </w:tabs>
        <w:ind w:left="360" w:firstLine="1800"/>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60"/>
        </w:tabs>
        <w:ind w:left="360" w:firstLine="3960"/>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60"/>
        </w:tabs>
        <w:ind w:left="360" w:firstLine="6120"/>
      </w:pPr>
      <w:rPr>
        <w:color w:val="000000"/>
        <w:position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7E"/>
    <w:rsid w:val="00063BFF"/>
    <w:rsid w:val="00406166"/>
    <w:rsid w:val="00543B09"/>
    <w:rsid w:val="006C1AAB"/>
    <w:rsid w:val="00707B26"/>
    <w:rsid w:val="007611AB"/>
    <w:rsid w:val="007708FB"/>
    <w:rsid w:val="009717D8"/>
    <w:rsid w:val="0098527E"/>
    <w:rsid w:val="00B66488"/>
    <w:rsid w:val="00C810F9"/>
    <w:rsid w:val="00D814B4"/>
    <w:rsid w:val="00EC5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3F024-8B57-4100-B7CC-D7C05A16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8527E"/>
    <w:pPr>
      <w:spacing w:line="276" w:lineRule="auto"/>
    </w:pPr>
    <w:rPr>
      <w:rFonts w:ascii="Calibri" w:eastAsia="ヒラギノ角ゴ Pro W3" w:hAnsi="Calibri"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8527E"/>
    <w:pPr>
      <w:spacing w:line="240" w:lineRule="auto"/>
    </w:pPr>
    <w:rPr>
      <w:sz w:val="24"/>
      <w:szCs w:val="24"/>
    </w:rPr>
  </w:style>
  <w:style w:type="character" w:customStyle="1" w:styleId="EndnoteTextChar">
    <w:name w:val="Endnote Text Char"/>
    <w:basedOn w:val="DefaultParagraphFont"/>
    <w:link w:val="EndnoteText"/>
    <w:uiPriority w:val="99"/>
    <w:rsid w:val="0098527E"/>
    <w:rPr>
      <w:rFonts w:ascii="Calibri" w:eastAsia="ヒラギノ角ゴ Pro W3" w:hAnsi="Calibri" w:cs="Times New Roman"/>
      <w:color w:val="000000"/>
    </w:rPr>
  </w:style>
  <w:style w:type="paragraph" w:styleId="NoSpacing">
    <w:name w:val="No Spacing"/>
    <w:uiPriority w:val="1"/>
    <w:rsid w:val="0098527E"/>
    <w:rPr>
      <w:rFonts w:ascii="Calibri" w:eastAsia="ヒラギノ角ゴ Pro W3" w:hAnsi="Calibri" w:cs="Times New Roman"/>
      <w:color w:val="000000"/>
      <w:sz w:val="22"/>
      <w:szCs w:val="22"/>
    </w:rPr>
  </w:style>
  <w:style w:type="paragraph" w:styleId="ListParagraph">
    <w:name w:val="List Paragraph"/>
    <w:uiPriority w:val="34"/>
    <w:rsid w:val="0098527E"/>
    <w:pPr>
      <w:spacing w:line="276" w:lineRule="auto"/>
      <w:ind w:left="720"/>
    </w:pPr>
    <w:rPr>
      <w:rFonts w:ascii="Calibri" w:eastAsia="ヒラギノ角ゴ Pro W3" w:hAnsi="Calibri" w:cs="Times New Roman"/>
      <w:color w:val="000000"/>
      <w:sz w:val="22"/>
      <w:szCs w:val="22"/>
    </w:rPr>
  </w:style>
  <w:style w:type="paragraph" w:customStyle="1" w:styleId="EndnoteText1">
    <w:name w:val="Endnote Text1"/>
    <w:rsid w:val="0098527E"/>
    <w:rPr>
      <w:rFonts w:ascii="Times New Roman" w:eastAsia="ヒラギノ角ゴ Pro W3" w:hAnsi="Times New Roman" w:cs="Times New Roman"/>
      <w:color w:val="000000"/>
    </w:rPr>
  </w:style>
  <w:style w:type="character" w:styleId="EndnoteReference">
    <w:name w:val="endnote reference"/>
    <w:basedOn w:val="DefaultParagraphFont"/>
    <w:uiPriority w:val="99"/>
    <w:rsid w:val="0098527E"/>
    <w:rPr>
      <w:vertAlign w:val="superscript"/>
    </w:rPr>
  </w:style>
  <w:style w:type="character" w:customStyle="1" w:styleId="EndnoteReference1">
    <w:name w:val="Endnote Reference1"/>
    <w:rsid w:val="0098527E"/>
    <w:rPr>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7794">
      <w:bodyDiv w:val="1"/>
      <w:marLeft w:val="0"/>
      <w:marRight w:val="0"/>
      <w:marTop w:val="0"/>
      <w:marBottom w:val="0"/>
      <w:divBdr>
        <w:top w:val="none" w:sz="0" w:space="0" w:color="auto"/>
        <w:left w:val="none" w:sz="0" w:space="0" w:color="auto"/>
        <w:bottom w:val="none" w:sz="0" w:space="0" w:color="auto"/>
        <w:right w:val="none" w:sz="0" w:space="0" w:color="auto"/>
      </w:divBdr>
    </w:div>
    <w:div w:id="1728140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Pennsylvania School of Medicine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 Me</dc:creator>
  <cp:lastModifiedBy>Ellen Johnson</cp:lastModifiedBy>
  <cp:revision>2</cp:revision>
  <dcterms:created xsi:type="dcterms:W3CDTF">2016-03-30T19:05:00Z</dcterms:created>
  <dcterms:modified xsi:type="dcterms:W3CDTF">2016-03-30T19:05:00Z</dcterms:modified>
</cp:coreProperties>
</file>