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A67A" w14:textId="77777777" w:rsidR="002E6368" w:rsidRPr="00CC541C" w:rsidRDefault="00C5195D" w:rsidP="002E6368">
      <w:pPr>
        <w:spacing w:line="240" w:lineRule="auto"/>
        <w:ind w:left="-90"/>
        <w:contextualSpacing/>
      </w:pPr>
      <w:r>
        <w:rPr>
          <w:b/>
        </w:rPr>
        <w:t>Supplementary Table S1</w:t>
      </w:r>
      <w:r w:rsidR="002E6368" w:rsidRPr="00630783">
        <w:rPr>
          <w:b/>
        </w:rPr>
        <w:t xml:space="preserve">: Nephrotoxic medications used to define the number of </w:t>
      </w:r>
      <w:proofErr w:type="spellStart"/>
      <w:r w:rsidR="002E6368" w:rsidRPr="00630783">
        <w:rPr>
          <w:b/>
        </w:rPr>
        <w:t>nephroto</w:t>
      </w:r>
      <w:r w:rsidR="002E6368">
        <w:rPr>
          <w:b/>
        </w:rPr>
        <w:t>xin</w:t>
      </w:r>
      <w:proofErr w:type="spellEnd"/>
      <w:r w:rsidR="002E6368">
        <w:rPr>
          <w:b/>
        </w:rPr>
        <w:t xml:space="preserve"> medication </w:t>
      </w:r>
      <w:r w:rsidR="002E6368" w:rsidRPr="00630783">
        <w:rPr>
          <w:b/>
        </w:rPr>
        <w:t xml:space="preserve">days </w:t>
      </w:r>
    </w:p>
    <w:p w14:paraId="1A864FF1" w14:textId="77777777" w:rsidR="002E6368" w:rsidRDefault="002E6368" w:rsidP="002E6368">
      <w:pPr>
        <w:spacing w:line="240" w:lineRule="auto"/>
        <w:contextualSpacing/>
        <w:rPr>
          <w:b/>
        </w:rPr>
      </w:pPr>
      <w:r>
        <w:rPr>
          <w:b/>
        </w:rPr>
        <w:tab/>
      </w:r>
    </w:p>
    <w:p w14:paraId="2DB59E2E" w14:textId="77777777" w:rsidR="002E6368" w:rsidRDefault="002E6368" w:rsidP="002E6368">
      <w:pPr>
        <w:spacing w:line="240" w:lineRule="auto"/>
        <w:contextualSpacing/>
        <w:rPr>
          <w:b/>
        </w:rPr>
      </w:pPr>
      <w:r w:rsidRPr="00630783">
        <w:rPr>
          <w:b/>
        </w:rPr>
        <w:t>Aminoglycosides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Nonsteroidal</w:t>
      </w:r>
      <w:proofErr w:type="spellEnd"/>
      <w:r>
        <w:rPr>
          <w:b/>
        </w:rPr>
        <w:t xml:space="preserve"> Anti-Inflammatory </w:t>
      </w:r>
    </w:p>
    <w:p w14:paraId="2B820515" w14:textId="77777777" w:rsidR="002E6368" w:rsidRDefault="002E6368" w:rsidP="002E6368">
      <w:pPr>
        <w:spacing w:line="240" w:lineRule="auto"/>
        <w:contextualSpacing/>
        <w:rPr>
          <w:b/>
        </w:rPr>
      </w:pPr>
      <w:proofErr w:type="spellStart"/>
      <w:r>
        <w:t>Amikacin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Drugs</w:t>
      </w:r>
    </w:p>
    <w:p w14:paraId="3609BD36" w14:textId="77777777" w:rsidR="002E6368" w:rsidRDefault="002E6368" w:rsidP="002E63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57"/>
        </w:tabs>
        <w:spacing w:line="240" w:lineRule="auto"/>
        <w:contextualSpacing/>
      </w:pPr>
      <w:r>
        <w:t>Gentamicin</w:t>
      </w:r>
      <w:r>
        <w:tab/>
      </w:r>
      <w:r>
        <w:tab/>
      </w:r>
      <w:r>
        <w:tab/>
      </w:r>
      <w:r>
        <w:tab/>
      </w:r>
      <w:r>
        <w:tab/>
        <w:t>Aspirin</w:t>
      </w:r>
      <w:r>
        <w:tab/>
      </w:r>
      <w:r>
        <w:tab/>
      </w:r>
    </w:p>
    <w:p w14:paraId="2EAC9E81" w14:textId="77777777" w:rsidR="002E6368" w:rsidRDefault="002E6368" w:rsidP="002E6368">
      <w:pPr>
        <w:spacing w:line="240" w:lineRule="auto"/>
        <w:contextualSpacing/>
      </w:pPr>
      <w:r>
        <w:t>Kanamycin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Ibuprofen</w:t>
      </w:r>
    </w:p>
    <w:p w14:paraId="2F498532" w14:textId="77777777" w:rsidR="002E6368" w:rsidRDefault="002E6368" w:rsidP="002E6368">
      <w:pPr>
        <w:spacing w:line="240" w:lineRule="auto"/>
        <w:contextualSpacing/>
      </w:pPr>
      <w:r>
        <w:t>Neomycin</w:t>
      </w:r>
      <w:r>
        <w:tab/>
      </w:r>
      <w:r>
        <w:tab/>
      </w:r>
      <w:r>
        <w:tab/>
      </w:r>
      <w:r>
        <w:tab/>
      </w:r>
      <w:r>
        <w:tab/>
        <w:t>Naproxen</w:t>
      </w:r>
    </w:p>
    <w:p w14:paraId="328789D6" w14:textId="77777777" w:rsidR="002E6368" w:rsidRDefault="002E6368" w:rsidP="002E636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Ketorolac</w:t>
      </w:r>
    </w:p>
    <w:p w14:paraId="14BF92D6" w14:textId="77777777" w:rsidR="002E6368" w:rsidRDefault="002E6368" w:rsidP="002E6368">
      <w:pPr>
        <w:spacing w:line="240" w:lineRule="auto"/>
        <w:contextualSpacing/>
        <w:rPr>
          <w:b/>
        </w:rPr>
      </w:pPr>
      <w:proofErr w:type="spellStart"/>
      <w:r w:rsidRPr="004A4571">
        <w:rPr>
          <w:b/>
        </w:rPr>
        <w:t>Amphotericin</w:t>
      </w:r>
      <w:r>
        <w:rPr>
          <w:b/>
        </w:rPr>
        <w:t>s</w:t>
      </w:r>
      <w:proofErr w:type="spellEnd"/>
    </w:p>
    <w:p w14:paraId="1470E925" w14:textId="77777777" w:rsidR="002E6368" w:rsidRPr="002E6368" w:rsidRDefault="002E6368" w:rsidP="002E6368">
      <w:pPr>
        <w:spacing w:line="240" w:lineRule="auto"/>
        <w:contextualSpacing/>
        <w:rPr>
          <w:b/>
        </w:rPr>
      </w:pPr>
      <w:r>
        <w:t>Amphotericin b</w:t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Vancomycin</w:t>
      </w:r>
      <w:proofErr w:type="spellEnd"/>
    </w:p>
    <w:p w14:paraId="4AACFC45" w14:textId="77777777" w:rsidR="002E6368" w:rsidRDefault="002E6368" w:rsidP="002E6368">
      <w:pPr>
        <w:spacing w:line="240" w:lineRule="auto"/>
        <w:contextualSpacing/>
      </w:pPr>
    </w:p>
    <w:p w14:paraId="6956B603" w14:textId="77777777" w:rsidR="002E6368" w:rsidRDefault="002E6368" w:rsidP="002E6368">
      <w:pPr>
        <w:spacing w:line="240" w:lineRule="auto"/>
        <w:contextualSpacing/>
        <w:rPr>
          <w:b/>
        </w:rPr>
      </w:pPr>
      <w:proofErr w:type="spellStart"/>
      <w:r>
        <w:rPr>
          <w:b/>
        </w:rPr>
        <w:t>Calcineurin</w:t>
      </w:r>
      <w:proofErr w:type="spellEnd"/>
      <w:r>
        <w:rPr>
          <w:b/>
        </w:rPr>
        <w:t xml:space="preserve"> Inhibitors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Piperacillin</w:t>
      </w:r>
      <w:proofErr w:type="spellEnd"/>
      <w:r>
        <w:rPr>
          <w:b/>
        </w:rPr>
        <w:t>/</w:t>
      </w:r>
      <w:proofErr w:type="spellStart"/>
      <w:r>
        <w:rPr>
          <w:b/>
        </w:rPr>
        <w:t>Tazobactam</w:t>
      </w:r>
      <w:proofErr w:type="spellEnd"/>
    </w:p>
    <w:p w14:paraId="3E916DDA" w14:textId="77777777" w:rsidR="002E6368" w:rsidRDefault="002E6368" w:rsidP="002E6368">
      <w:pPr>
        <w:spacing w:line="240" w:lineRule="auto"/>
        <w:contextualSpacing/>
      </w:pPr>
      <w:proofErr w:type="spellStart"/>
      <w:r>
        <w:t>Tacrolimus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6C301916" w14:textId="77777777" w:rsidR="002E6368" w:rsidRPr="002E6368" w:rsidRDefault="002E6368" w:rsidP="002E6368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368">
        <w:rPr>
          <w:b/>
        </w:rPr>
        <w:t>Diuretics</w:t>
      </w:r>
    </w:p>
    <w:p w14:paraId="0C3F597B" w14:textId="77777777" w:rsidR="002E6368" w:rsidRPr="002E6368" w:rsidRDefault="002E6368" w:rsidP="002E6368">
      <w:pPr>
        <w:spacing w:line="240" w:lineRule="auto"/>
        <w:contextualSpacing/>
      </w:pPr>
      <w:r>
        <w:rPr>
          <w:b/>
        </w:rPr>
        <w:t>Angiotensin II Receptor Blocker/</w:t>
      </w:r>
      <w:r>
        <w:rPr>
          <w:b/>
        </w:rPr>
        <w:tab/>
      </w:r>
      <w:r>
        <w:rPr>
          <w:b/>
        </w:rPr>
        <w:tab/>
      </w:r>
      <w:proofErr w:type="spellStart"/>
      <w:r>
        <w:t>Amiloride</w:t>
      </w:r>
      <w:proofErr w:type="spellEnd"/>
    </w:p>
    <w:p w14:paraId="75587A27" w14:textId="77777777" w:rsidR="002E6368" w:rsidRPr="002E6368" w:rsidRDefault="002E6368" w:rsidP="002E6368">
      <w:pPr>
        <w:spacing w:line="240" w:lineRule="auto"/>
        <w:contextualSpacing/>
      </w:pPr>
      <w:r>
        <w:rPr>
          <w:b/>
        </w:rPr>
        <w:t>Angiotensin Converting Enzyme</w:t>
      </w:r>
      <w:r>
        <w:rPr>
          <w:b/>
        </w:rPr>
        <w:tab/>
      </w:r>
      <w:r>
        <w:rPr>
          <w:b/>
        </w:rPr>
        <w:tab/>
      </w:r>
      <w:r>
        <w:t>Furosemide</w:t>
      </w:r>
    </w:p>
    <w:p w14:paraId="5E532C64" w14:textId="77777777" w:rsidR="002E6368" w:rsidRPr="002E6368" w:rsidRDefault="002E6368" w:rsidP="002E6368">
      <w:pPr>
        <w:spacing w:line="240" w:lineRule="auto"/>
        <w:contextualSpacing/>
      </w:pPr>
      <w:r>
        <w:rPr>
          <w:b/>
        </w:rPr>
        <w:t>Inhibitor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Hydrochlorothiazide</w:t>
      </w:r>
    </w:p>
    <w:p w14:paraId="37DAECD8" w14:textId="77777777" w:rsidR="002E6368" w:rsidRDefault="002E6368" w:rsidP="002E6368">
      <w:pPr>
        <w:spacing w:line="240" w:lineRule="auto"/>
        <w:contextualSpacing/>
      </w:pPr>
      <w:r>
        <w:t>Benazepril</w:t>
      </w:r>
      <w:r>
        <w:tab/>
      </w:r>
      <w:r>
        <w:tab/>
      </w:r>
      <w:r>
        <w:tab/>
      </w:r>
      <w:r>
        <w:tab/>
      </w:r>
      <w:r>
        <w:tab/>
        <w:t>Spironolactone</w:t>
      </w:r>
    </w:p>
    <w:p w14:paraId="64BCDF40" w14:textId="77777777" w:rsidR="002E6368" w:rsidRDefault="002E6368" w:rsidP="002E6368">
      <w:pPr>
        <w:spacing w:line="240" w:lineRule="auto"/>
        <w:contextualSpacing/>
      </w:pPr>
      <w:r>
        <w:t>Captopril</w:t>
      </w:r>
    </w:p>
    <w:p w14:paraId="3CCD90B6" w14:textId="77777777" w:rsidR="002E6368" w:rsidRPr="002E6368" w:rsidRDefault="002E6368" w:rsidP="002E6368">
      <w:pPr>
        <w:spacing w:line="240" w:lineRule="auto"/>
        <w:contextualSpacing/>
        <w:rPr>
          <w:b/>
        </w:rPr>
      </w:pPr>
      <w:proofErr w:type="spellStart"/>
      <w:r>
        <w:t>Enalapril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Antivirals</w:t>
      </w:r>
    </w:p>
    <w:p w14:paraId="353576A0" w14:textId="77777777" w:rsidR="002E6368" w:rsidRDefault="002E6368" w:rsidP="002E6368">
      <w:pPr>
        <w:spacing w:line="240" w:lineRule="auto"/>
        <w:contextualSpacing/>
      </w:pPr>
      <w:proofErr w:type="spellStart"/>
      <w:r>
        <w:t>Irbesartan</w:t>
      </w:r>
      <w:proofErr w:type="spellEnd"/>
      <w:r>
        <w:tab/>
      </w:r>
      <w:r>
        <w:tab/>
      </w:r>
      <w:r>
        <w:tab/>
      </w:r>
      <w:r>
        <w:tab/>
      </w:r>
      <w:r>
        <w:tab/>
        <w:t>Acyclovir</w:t>
      </w:r>
    </w:p>
    <w:p w14:paraId="5F14B02A" w14:textId="77777777" w:rsidR="002E6368" w:rsidRDefault="002E6368" w:rsidP="002E6368">
      <w:pPr>
        <w:spacing w:line="240" w:lineRule="auto"/>
        <w:contextualSpacing/>
      </w:pPr>
      <w:proofErr w:type="spellStart"/>
      <w:r>
        <w:t>Lisinopril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Cidofovir</w:t>
      </w:r>
      <w:proofErr w:type="spellEnd"/>
    </w:p>
    <w:p w14:paraId="37B72582" w14:textId="77777777" w:rsidR="002E6368" w:rsidRPr="002E6368" w:rsidRDefault="002E6368" w:rsidP="002E6368">
      <w:pPr>
        <w:spacing w:line="240" w:lineRule="auto"/>
        <w:contextualSpacing/>
      </w:pPr>
      <w:r>
        <w:t>Valsartan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Ganciclovir</w:t>
      </w:r>
      <w:proofErr w:type="spellEnd"/>
    </w:p>
    <w:p w14:paraId="0826B56F" w14:textId="77777777" w:rsidR="002E6368" w:rsidRDefault="002E6368" w:rsidP="002E6368">
      <w:pPr>
        <w:spacing w:line="240" w:lineRule="auto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Valacyclovir</w:t>
      </w:r>
      <w:proofErr w:type="spellEnd"/>
    </w:p>
    <w:p w14:paraId="500B288F" w14:textId="77777777" w:rsidR="002E6368" w:rsidRPr="002E6368" w:rsidRDefault="002E6368" w:rsidP="002E6368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Valganciclovir</w:t>
      </w:r>
      <w:proofErr w:type="spellEnd"/>
    </w:p>
    <w:p w14:paraId="571FC97E" w14:textId="77777777" w:rsidR="002E6368" w:rsidRPr="00C03E00" w:rsidRDefault="002E6368" w:rsidP="002E6368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81D4EA" w14:textId="77777777" w:rsidR="002E6368" w:rsidRDefault="002E6368" w:rsidP="002E636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 w14:paraId="04D215AA" w14:textId="77777777" w:rsidR="003F5027" w:rsidRDefault="003F5027"/>
    <w:sectPr w:rsidR="003F5027" w:rsidSect="003F5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68"/>
    <w:rsid w:val="002E6368"/>
    <w:rsid w:val="003F5027"/>
    <w:rsid w:val="00C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36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6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6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Fuhrman</dc:creator>
  <cp:keywords/>
  <dc:description/>
  <cp:lastModifiedBy>Dana Fuhrman</cp:lastModifiedBy>
  <cp:revision>2</cp:revision>
  <dcterms:created xsi:type="dcterms:W3CDTF">2020-07-24T14:57:00Z</dcterms:created>
  <dcterms:modified xsi:type="dcterms:W3CDTF">2020-07-24T15:11:00Z</dcterms:modified>
</cp:coreProperties>
</file>