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C1" w:rsidRDefault="00D056C1" w:rsidP="00D056C1">
      <w:pPr>
        <w:rPr>
          <w:lang w:val="en-US"/>
        </w:rPr>
      </w:pPr>
      <w:bookmarkStart w:id="0" w:name="_GoBack"/>
      <w:bookmarkEnd w:id="0"/>
      <w:r w:rsidRPr="001B6233">
        <w:rPr>
          <w:b/>
          <w:lang w:val="en-US"/>
        </w:rPr>
        <w:t xml:space="preserve">Table </w:t>
      </w:r>
      <w:r w:rsidR="006C3C31">
        <w:rPr>
          <w:b/>
          <w:lang w:val="en-US"/>
        </w:rPr>
        <w:t>2</w:t>
      </w:r>
      <w:r w:rsidRPr="001B6233">
        <w:rPr>
          <w:b/>
          <w:lang w:val="en-US"/>
        </w:rPr>
        <w:t>a</w:t>
      </w:r>
      <w:r>
        <w:rPr>
          <w:lang w:val="en-US"/>
        </w:rPr>
        <w:t xml:space="preserve">. Supplemental Table. </w:t>
      </w:r>
      <w:r w:rsidRPr="009F78B1">
        <w:rPr>
          <w:lang w:val="en-US"/>
        </w:rPr>
        <w:t xml:space="preserve">Sociodemographic characteristics </w:t>
      </w:r>
      <w:r>
        <w:rPr>
          <w:lang w:val="en-US"/>
        </w:rPr>
        <w:t xml:space="preserve">of participants at time </w:t>
      </w:r>
      <w:r w:rsidRPr="009F78B1">
        <w:rPr>
          <w:lang w:val="en-US"/>
        </w:rPr>
        <w:t>T2</w:t>
      </w:r>
      <w:r>
        <w:rPr>
          <w:lang w:val="en-US"/>
        </w:rPr>
        <w:t xml:space="preserve"> before matching.</w:t>
      </w:r>
    </w:p>
    <w:p w:rsidR="00D056C1" w:rsidRDefault="00D056C1" w:rsidP="00D056C1">
      <w:pPr>
        <w:rPr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824"/>
        <w:gridCol w:w="1389"/>
        <w:gridCol w:w="1822"/>
      </w:tblGrid>
      <w:tr w:rsidR="00D056C1" w:rsidRPr="00036A79" w:rsidTr="00D647DB">
        <w:trPr>
          <w:cantSplit/>
          <w:trHeight w:val="337"/>
          <w:tblHeader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  <w:vAlign w:val="bottom"/>
          </w:tcPr>
          <w:p w:rsidR="00D056C1" w:rsidRPr="00D5117C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</w:p>
        </w:tc>
        <w:tc>
          <w:tcPr>
            <w:tcW w:w="267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  <w:vAlign w:val="bottom"/>
          </w:tcPr>
          <w:p w:rsidR="00D056C1" w:rsidRPr="00D5117C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="00B03FF4">
              <w:rPr>
                <w:b/>
                <w:lang w:val="en-US"/>
              </w:rPr>
              <w:t>ime 2</w:t>
            </w:r>
            <w:r>
              <w:rPr>
                <w:b/>
                <w:lang w:val="en-US"/>
              </w:rPr>
              <w:t xml:space="preserve"> – unmatched groups</w:t>
            </w:r>
          </w:p>
        </w:tc>
      </w:tr>
      <w:tr w:rsidR="00D056C1" w:rsidRPr="009C1756" w:rsidTr="00D647DB">
        <w:trPr>
          <w:cantSplit/>
          <w:trHeight w:val="418"/>
          <w:tblHeader/>
          <w:jc w:val="center"/>
        </w:trPr>
        <w:tc>
          <w:tcPr>
            <w:tcW w:w="2322" w:type="pct"/>
            <w:tcBorders>
              <w:bottom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  <w:vAlign w:val="bottom"/>
          </w:tcPr>
          <w:p w:rsidR="00D056C1" w:rsidRPr="00D5117C" w:rsidRDefault="00D056C1" w:rsidP="00D647DB">
            <w:pPr>
              <w:spacing w:before="38" w:after="38"/>
              <w:rPr>
                <w:b/>
                <w:bCs/>
                <w:lang w:val="en-US"/>
              </w:rPr>
            </w:pPr>
            <w:r w:rsidRPr="00D5117C">
              <w:rPr>
                <w:b/>
                <w:lang w:val="en-US"/>
              </w:rPr>
              <w:t>Variable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  <w:vAlign w:val="bottom"/>
          </w:tcPr>
          <w:p w:rsidR="00D056C1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Prenatal group</w:t>
            </w:r>
          </w:p>
          <w:p w:rsidR="00D056C1" w:rsidRPr="00D5117C" w:rsidRDefault="00D056C1" w:rsidP="00D647DB">
            <w:pPr>
              <w:spacing w:before="38" w:after="38"/>
              <w:jc w:val="center"/>
              <w:rPr>
                <w:b/>
                <w:bCs/>
                <w:lang w:val="en-US"/>
              </w:rPr>
            </w:pPr>
            <w:r w:rsidRPr="00D5117C">
              <w:rPr>
                <w:b/>
                <w:lang w:val="en-US"/>
              </w:rPr>
              <w:t>(n=15)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  <w:vAlign w:val="bottom"/>
          </w:tcPr>
          <w:p w:rsidR="00D056C1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Postnatal group</w:t>
            </w:r>
          </w:p>
          <w:p w:rsidR="00D056C1" w:rsidRPr="00931E8E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(n=52</w:t>
            </w:r>
            <w:r w:rsidRPr="00D5117C">
              <w:rPr>
                <w:b/>
                <w:lang w:val="en-US"/>
              </w:rPr>
              <w:t>)</w:t>
            </w:r>
          </w:p>
        </w:tc>
        <w:tc>
          <w:tcPr>
            <w:tcW w:w="9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  <w:vAlign w:val="bottom"/>
          </w:tcPr>
          <w:p w:rsidR="00D056C1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group</w:t>
            </w:r>
          </w:p>
          <w:p w:rsidR="00D056C1" w:rsidRPr="00D5117C" w:rsidRDefault="00D056C1" w:rsidP="00D647DB">
            <w:pPr>
              <w:spacing w:before="38" w:after="38"/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(n=125</w:t>
            </w:r>
            <w:r w:rsidRPr="00D5117C">
              <w:rPr>
                <w:b/>
                <w:lang w:val="en-US"/>
              </w:rPr>
              <w:t>)</w:t>
            </w:r>
          </w:p>
        </w:tc>
      </w:tr>
      <w:tr w:rsidR="00D056C1" w:rsidRPr="00036A79" w:rsidTr="00D647DB">
        <w:trPr>
          <w:cantSplit/>
          <w:jc w:val="center"/>
        </w:trPr>
        <w:tc>
          <w:tcPr>
            <w:tcW w:w="2322" w:type="pct"/>
            <w:tcBorders>
              <w:top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rPr>
                <w:b/>
                <w:bCs/>
                <w:lang w:val="en-US"/>
              </w:rPr>
            </w:pPr>
            <w:r w:rsidRPr="00D5117C">
              <w:rPr>
                <w:b/>
                <w:lang w:val="en-US"/>
              </w:rPr>
              <w:t>Sex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3A5C04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3A5C04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3A5C04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</w:tr>
      <w:tr w:rsidR="00D056C1" w:rsidRPr="00036A79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 w:rsidRPr="00D5117C">
              <w:rPr>
                <w:i/>
                <w:lang w:val="en-US"/>
              </w:rPr>
              <w:t>Female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3A5C04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3A5C04">
              <w:rPr>
                <w:lang w:val="en-US"/>
              </w:rPr>
              <w:t>7 (46.7%)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3A5C04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3A5C04">
              <w:rPr>
                <w:lang w:val="en-US"/>
              </w:rPr>
              <w:t>27 (51.9%)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3A5C04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3A5C04">
              <w:rPr>
                <w:lang w:val="en-US"/>
              </w:rPr>
              <w:t>71 (56.3%)</w:t>
            </w:r>
          </w:p>
        </w:tc>
      </w:tr>
      <w:tr w:rsidR="00D056C1" w:rsidRPr="009C1756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AA562F" w:rsidRDefault="00D056C1" w:rsidP="00D647DB">
            <w:pPr>
              <w:spacing w:before="38" w:after="38"/>
              <w:rPr>
                <w:b/>
                <w:lang w:val="en-US"/>
              </w:rPr>
            </w:pPr>
            <w:r w:rsidRPr="00D5117C">
              <w:rPr>
                <w:b/>
                <w:lang w:val="en-US"/>
              </w:rPr>
              <w:t>Age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3A5C04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 w:rsidRPr="003A5C04">
              <w:rPr>
                <w:b/>
                <w:lang w:val="en-US"/>
              </w:rPr>
              <w:t>32.8 (3.3)</w:t>
            </w:r>
            <w:r w:rsidRPr="003A5C04">
              <w:rPr>
                <w:color w:val="000000" w:themeColor="text1"/>
                <w:shd w:val="clear" w:color="auto" w:fill="FFFFFF"/>
              </w:rPr>
              <w:t xml:space="preserve"> †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3A5C04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 w:rsidRPr="003A5C04">
              <w:rPr>
                <w:b/>
                <w:lang w:val="en-US"/>
              </w:rPr>
              <w:t>29.8 (5.8)</w:t>
            </w:r>
            <w:r w:rsidRPr="003A5C04">
              <w:rPr>
                <w:color w:val="000000" w:themeColor="text1"/>
                <w:shd w:val="clear" w:color="auto" w:fill="FFFFFF"/>
              </w:rPr>
              <w:t xml:space="preserve"> †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3A5C04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 w:rsidRPr="003A5C04">
              <w:rPr>
                <w:b/>
                <w:lang w:val="en-US"/>
              </w:rPr>
              <w:t>32.2 (4.7)</w:t>
            </w:r>
            <w:r w:rsidRPr="003A5C04">
              <w:rPr>
                <w:color w:val="000000" w:themeColor="text1"/>
                <w:shd w:val="clear" w:color="auto" w:fill="FFFFFF"/>
                <w:lang w:val="en-US"/>
              </w:rPr>
              <w:t>‡</w:t>
            </w:r>
            <w:r w:rsidRPr="003A5C04">
              <w:rPr>
                <w:b/>
                <w:lang w:val="en-US"/>
              </w:rPr>
              <w:t xml:space="preserve"> </w:t>
            </w:r>
          </w:p>
        </w:tc>
      </w:tr>
      <w:tr w:rsidR="00D056C1" w:rsidRPr="009C1756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rPr>
                <w:b/>
                <w:bCs/>
                <w:lang w:val="en-US"/>
              </w:rPr>
            </w:pPr>
            <w:r w:rsidRPr="00D5117C">
              <w:rPr>
                <w:b/>
                <w:lang w:val="en-US"/>
              </w:rPr>
              <w:t>Education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</w:tr>
      <w:tr w:rsidR="00D056C1" w:rsidRPr="009C1756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 w:rsidRPr="00D5117C">
              <w:rPr>
                <w:i/>
                <w:lang w:val="en-US"/>
              </w:rPr>
              <w:t xml:space="preserve">Upper secondary school                 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Pr="00D5117C">
              <w:rPr>
                <w:lang w:val="en-US"/>
              </w:rPr>
              <w:t>(6.7%)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10 (33.3%)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36 (40.9%)</w:t>
            </w: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 w:rsidRPr="00D5117C">
              <w:rPr>
                <w:i/>
                <w:lang w:val="en-US"/>
              </w:rPr>
              <w:t>University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036A79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 w:rsidRPr="00036A79">
              <w:rPr>
                <w:b/>
                <w:lang w:val="en-US"/>
              </w:rPr>
              <w:t>14 (93.3%)</w:t>
            </w:r>
            <w:r w:rsidRPr="003A5C04">
              <w:rPr>
                <w:color w:val="000000" w:themeColor="text1"/>
                <w:shd w:val="clear" w:color="auto" w:fill="FFFFFF"/>
                <w:lang w:val="en-US"/>
              </w:rPr>
              <w:t>§</w:t>
            </w:r>
            <w:r>
              <w:rPr>
                <w:b/>
                <w:vertAlign w:val="superscript"/>
                <w:lang w:val="en-US"/>
              </w:rPr>
              <w:t>, 4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F31904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 w:rsidRPr="00F31904">
              <w:rPr>
                <w:b/>
                <w:lang w:val="en-US"/>
              </w:rPr>
              <w:t>20 (66.7%</w:t>
            </w:r>
            <w:proofErr w:type="gramStart"/>
            <w:r w:rsidRPr="00F31904">
              <w:rPr>
                <w:b/>
                <w:lang w:val="en-US"/>
              </w:rPr>
              <w:t>)</w:t>
            </w:r>
            <w:r w:rsidRPr="003A5C04">
              <w:rPr>
                <w:color w:val="000000" w:themeColor="text1"/>
                <w:shd w:val="clear" w:color="auto" w:fill="FFFFFF"/>
                <w:lang w:val="en-US"/>
              </w:rPr>
              <w:t>§</w:t>
            </w:r>
            <w:proofErr w:type="gramEnd"/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036A79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 w:rsidRPr="00036A79">
              <w:rPr>
                <w:b/>
                <w:lang w:val="en-US"/>
              </w:rPr>
              <w:t>52 (59.1%</w:t>
            </w:r>
            <w:proofErr w:type="gramStart"/>
            <w:r w:rsidRPr="00036A79">
              <w:rPr>
                <w:b/>
                <w:lang w:val="en-US"/>
              </w:rPr>
              <w:t>)</w:t>
            </w:r>
            <w:r w:rsidRPr="003A5C04">
              <w:rPr>
                <w:color w:val="424242"/>
                <w:shd w:val="clear" w:color="auto" w:fill="FFFFFF"/>
                <w:lang w:val="en-US"/>
              </w:rPr>
              <w:t>¶</w:t>
            </w:r>
            <w:proofErr w:type="gramEnd"/>
            <w:r w:rsidRPr="008120D3">
              <w:rPr>
                <w:vertAlign w:val="superscript"/>
              </w:rPr>
              <w:t>.</w:t>
            </w: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rPr>
                <w:b/>
                <w:bCs/>
                <w:lang w:val="en-US"/>
              </w:rPr>
            </w:pPr>
            <w:r w:rsidRPr="00D5117C">
              <w:rPr>
                <w:b/>
                <w:lang w:val="en-US"/>
              </w:rPr>
              <w:t>Occupation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 w:rsidRPr="00D5117C">
              <w:rPr>
                <w:i/>
                <w:lang w:val="en-US"/>
              </w:rPr>
              <w:t xml:space="preserve">Unemployed   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</w:t>
            </w:r>
            <w:r w:rsidRPr="00D5117C">
              <w:rPr>
                <w:lang w:val="en-US"/>
              </w:rPr>
              <w:t>(0.0%)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</w:t>
            </w:r>
            <w:r w:rsidRPr="00D5117C">
              <w:rPr>
                <w:lang w:val="en-US"/>
              </w:rPr>
              <w:t>(0.0%)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Pr="00D5117C">
              <w:rPr>
                <w:lang w:val="en-US"/>
              </w:rPr>
              <w:t>(1.1%)</w:t>
            </w: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 w:rsidRPr="00D5117C">
              <w:rPr>
                <w:i/>
                <w:lang w:val="en-US"/>
              </w:rPr>
              <w:t xml:space="preserve">Employed  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14 (93.3%)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24 (80.0%)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80 (90.9%)</w:t>
            </w: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 w:rsidRPr="00D5117C">
              <w:rPr>
                <w:i/>
                <w:lang w:val="en-US"/>
              </w:rPr>
              <w:t>Self-employed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</w:t>
            </w:r>
            <w:r w:rsidRPr="00D5117C">
              <w:rPr>
                <w:lang w:val="en-US"/>
              </w:rPr>
              <w:t>(0.0%)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Pr="00D5117C">
              <w:rPr>
                <w:lang w:val="en-US"/>
              </w:rPr>
              <w:t>(6.7%)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Pr="00D5117C">
              <w:rPr>
                <w:lang w:val="en-US"/>
              </w:rPr>
              <w:t>(3.4%)</w:t>
            </w: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 w:rsidRPr="00D5117C">
              <w:rPr>
                <w:i/>
                <w:lang w:val="en-US"/>
              </w:rPr>
              <w:t xml:space="preserve">Other     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Pr="00D5117C">
              <w:rPr>
                <w:lang w:val="en-US"/>
              </w:rPr>
              <w:t>(6.7%)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4 (13.3%)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 w:rsidRPr="00D5117C">
              <w:rPr>
                <w:lang w:val="en-US"/>
              </w:rPr>
              <w:t>(4.5%)</w:t>
            </w:r>
          </w:p>
        </w:tc>
      </w:tr>
      <w:tr w:rsidR="00D056C1" w:rsidRPr="00D5117C" w:rsidTr="00D647DB">
        <w:trPr>
          <w:cantSplit/>
          <w:trHeight w:val="414"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rPr>
                <w:b/>
                <w:bCs/>
                <w:lang w:val="en-US"/>
              </w:rPr>
            </w:pPr>
            <w:r w:rsidRPr="00D5117C">
              <w:rPr>
                <w:b/>
                <w:lang w:val="en-US"/>
              </w:rPr>
              <w:t>Size of City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>
              <w:rPr>
                <w:i/>
                <w:lang w:val="en-US"/>
              </w:rPr>
              <w:t>&gt;200 000</w:t>
            </w:r>
            <w:r w:rsidRPr="00D5117C">
              <w:rPr>
                <w:i/>
                <w:lang w:val="en-US"/>
              </w:rPr>
              <w:t xml:space="preserve">        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8 (53.3%)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6 (20.0%)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26 (29.5%)</w:t>
            </w: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>
              <w:rPr>
                <w:i/>
                <w:lang w:val="en-US"/>
              </w:rPr>
              <w:t>50 000-200 000</w:t>
            </w:r>
            <w:r w:rsidRPr="00D5117C">
              <w:rPr>
                <w:i/>
                <w:lang w:val="en-US"/>
              </w:rPr>
              <w:t xml:space="preserve">  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0 (0.0%)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12 (40.0%)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32 (36.4%)</w:t>
            </w: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>
              <w:rPr>
                <w:i/>
                <w:lang w:val="en-US"/>
              </w:rPr>
              <w:t>20 000-50 000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1 (6.7%)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1 (3.3%)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8 (9.1%)</w:t>
            </w: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>
              <w:rPr>
                <w:i/>
                <w:lang w:val="en-US"/>
              </w:rPr>
              <w:t>Rural area (&lt;20 000</w:t>
            </w:r>
            <w:r w:rsidRPr="00D5117C">
              <w:rPr>
                <w:i/>
                <w:lang w:val="en-US"/>
              </w:rPr>
              <w:t xml:space="preserve">)     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6 (40.0%)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11 (36.7%)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22 (25.0%)</w:t>
            </w: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rPr>
                <w:b/>
                <w:bCs/>
                <w:lang w:val="en-US"/>
              </w:rPr>
            </w:pPr>
            <w:r w:rsidRPr="00D5117C">
              <w:rPr>
                <w:b/>
                <w:lang w:val="en-US"/>
              </w:rPr>
              <w:t>Years in present relationship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6.73 (3.20)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6.77 (3.10)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7.63 (4.39)</w:t>
            </w: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rPr>
                <w:b/>
                <w:bCs/>
                <w:lang w:val="en-US"/>
              </w:rPr>
            </w:pPr>
            <w:r w:rsidRPr="00D5117C">
              <w:rPr>
                <w:b/>
                <w:lang w:val="en-US"/>
              </w:rPr>
              <w:t>Parity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 w:rsidRPr="00D5117C">
              <w:rPr>
                <w:i/>
                <w:lang w:val="en-US"/>
              </w:rPr>
              <w:t>No previous children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5 (33.3%)</w:t>
            </w:r>
          </w:p>
        </w:tc>
        <w:tc>
          <w:tcPr>
            <w:tcW w:w="739" w:type="pct"/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12 (40.0%)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27 (31.0%)</w:t>
            </w:r>
          </w:p>
        </w:tc>
      </w:tr>
      <w:tr w:rsidR="00D056C1" w:rsidRPr="00D5117C" w:rsidTr="00D647DB">
        <w:trPr>
          <w:cantSplit/>
          <w:jc w:val="center"/>
        </w:trPr>
        <w:tc>
          <w:tcPr>
            <w:tcW w:w="2322" w:type="pct"/>
            <w:tcBorders>
              <w:bottom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ind w:left="173"/>
              <w:rPr>
                <w:bCs/>
                <w:i/>
                <w:lang w:val="en-US"/>
              </w:rPr>
            </w:pPr>
            <w:r w:rsidRPr="00D5117C">
              <w:rPr>
                <w:i/>
                <w:lang w:val="en-US"/>
              </w:rPr>
              <w:t>Previous children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10 (66.7%)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D5117C" w:rsidRDefault="00D056C1" w:rsidP="00D647DB">
            <w:pPr>
              <w:spacing w:before="38" w:after="38"/>
              <w:jc w:val="center"/>
              <w:rPr>
                <w:lang w:val="en-US"/>
              </w:rPr>
            </w:pPr>
            <w:r w:rsidRPr="00D5117C">
              <w:rPr>
                <w:lang w:val="en-US"/>
              </w:rPr>
              <w:t>18 (60.0%)</w:t>
            </w:r>
            <w:r w:rsidRPr="00036A79">
              <w:rPr>
                <w:b/>
                <w:lang w:val="en-US"/>
              </w:rPr>
              <w:t xml:space="preserve"> </w:t>
            </w:r>
            <w:r>
              <w:t>#</w:t>
            </w:r>
          </w:p>
        </w:tc>
        <w:tc>
          <w:tcPr>
            <w:tcW w:w="9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38" w:type="dxa"/>
            </w:tcMar>
          </w:tcPr>
          <w:p w:rsidR="00D056C1" w:rsidRPr="00036A79" w:rsidRDefault="00D056C1" w:rsidP="00D647DB">
            <w:pPr>
              <w:spacing w:before="38" w:after="38"/>
              <w:jc w:val="center"/>
              <w:rPr>
                <w:b/>
                <w:lang w:val="en-US"/>
              </w:rPr>
            </w:pPr>
            <w:r w:rsidRPr="00036A79">
              <w:rPr>
                <w:b/>
                <w:lang w:val="en-US"/>
              </w:rPr>
              <w:t xml:space="preserve">60 (69.0%) </w:t>
            </w:r>
            <w:r>
              <w:t>#</w:t>
            </w:r>
          </w:p>
        </w:tc>
      </w:tr>
    </w:tbl>
    <w:p w:rsidR="00D056C1" w:rsidRDefault="00D056C1" w:rsidP="00D056C1">
      <w:pPr>
        <w:rPr>
          <w:lang w:val="en-US"/>
        </w:rPr>
      </w:pPr>
    </w:p>
    <w:p w:rsidR="00D056C1" w:rsidRPr="003A5C04" w:rsidRDefault="00D056C1" w:rsidP="00D056C1">
      <w:pPr>
        <w:rPr>
          <w:lang w:val="en-US"/>
        </w:rPr>
      </w:pPr>
      <w:r w:rsidRPr="008120D3">
        <w:rPr>
          <w:color w:val="000000" w:themeColor="text1"/>
          <w:shd w:val="clear" w:color="auto" w:fill="FFFFFF"/>
        </w:rPr>
        <w:t xml:space="preserve">† </w:t>
      </w:r>
      <w:r>
        <w:t>prenatal group</w:t>
      </w:r>
      <w:r w:rsidRPr="00294D23">
        <w:t xml:space="preserve"> v</w:t>
      </w:r>
      <w:r w:rsidR="00B03FF4">
        <w:t>ersus</w:t>
      </w:r>
      <w:r w:rsidRPr="00294D23">
        <w:t xml:space="preserve"> </w:t>
      </w:r>
      <w:r>
        <w:t>postnatal group</w:t>
      </w:r>
      <w:r w:rsidRPr="00294D23">
        <w:t xml:space="preserve"> p=0.011</w:t>
      </w:r>
      <w:r>
        <w:t>,</w:t>
      </w:r>
      <w:r w:rsidRPr="00294D23">
        <w:t xml:space="preserve"> </w:t>
      </w:r>
      <w:r w:rsidRPr="003A5C04">
        <w:rPr>
          <w:color w:val="000000" w:themeColor="text1"/>
          <w:shd w:val="clear" w:color="auto" w:fill="FFFFFF"/>
          <w:lang w:val="en-US"/>
        </w:rPr>
        <w:t>‡</w:t>
      </w:r>
      <w:r>
        <w:rPr>
          <w:color w:val="000000" w:themeColor="text1"/>
          <w:shd w:val="clear" w:color="auto" w:fill="FFFFFF"/>
          <w:lang w:val="en-US"/>
        </w:rPr>
        <w:t xml:space="preserve"> </w:t>
      </w:r>
      <w:r>
        <w:t>postnatal group</w:t>
      </w:r>
      <w:r w:rsidRPr="00294D23">
        <w:t xml:space="preserve"> v</w:t>
      </w:r>
      <w:r w:rsidR="00B03FF4">
        <w:t>ersus</w:t>
      </w:r>
      <w:r w:rsidRPr="00294D23">
        <w:t xml:space="preserve"> </w:t>
      </w:r>
      <w:r>
        <w:t>control group</w:t>
      </w:r>
      <w:r w:rsidRPr="00294D23">
        <w:t xml:space="preserve"> p=0.0027</w:t>
      </w:r>
      <w:r>
        <w:t>,</w:t>
      </w:r>
      <w:r w:rsidRPr="00294D23">
        <w:t xml:space="preserve"> </w:t>
      </w:r>
      <w:r w:rsidRPr="003A5C04">
        <w:rPr>
          <w:color w:val="000000" w:themeColor="text1"/>
          <w:shd w:val="clear" w:color="auto" w:fill="FFFFFF"/>
          <w:lang w:val="en-US"/>
        </w:rPr>
        <w:t>§</w:t>
      </w:r>
      <w:r w:rsidRPr="008120D3">
        <w:rPr>
          <w:vertAlign w:val="superscript"/>
        </w:rPr>
        <w:t xml:space="preserve"> </w:t>
      </w:r>
      <w:r>
        <w:t>prenatal group</w:t>
      </w:r>
      <w:r w:rsidRPr="00294D23">
        <w:t xml:space="preserve"> v</w:t>
      </w:r>
      <w:r w:rsidR="00B03FF4">
        <w:t>ersus</w:t>
      </w:r>
      <w:r w:rsidRPr="00294D23">
        <w:t xml:space="preserve"> </w:t>
      </w:r>
      <w:r>
        <w:t>postnatal group</w:t>
      </w:r>
      <w:r w:rsidRPr="00294D23">
        <w:t xml:space="preserve"> p=0.0046</w:t>
      </w:r>
      <w:r>
        <w:t>,</w:t>
      </w:r>
      <w:r w:rsidRPr="00294D23">
        <w:t xml:space="preserve"> </w:t>
      </w:r>
      <w:r w:rsidRPr="003A5C04">
        <w:rPr>
          <w:color w:val="000000" w:themeColor="text1"/>
          <w:shd w:val="clear" w:color="auto" w:fill="FFFFFF"/>
          <w:lang w:val="en-US"/>
        </w:rPr>
        <w:t xml:space="preserve"> </w:t>
      </w:r>
      <w:r w:rsidRPr="003A5C04">
        <w:rPr>
          <w:color w:val="424242"/>
          <w:shd w:val="clear" w:color="auto" w:fill="FFFFFF"/>
          <w:lang w:val="en-US"/>
        </w:rPr>
        <w:t>¶</w:t>
      </w:r>
      <w:r w:rsidRPr="008120D3">
        <w:rPr>
          <w:vertAlign w:val="superscript"/>
        </w:rPr>
        <w:t xml:space="preserve">. </w:t>
      </w:r>
      <w:r>
        <w:t>Prenatal group</w:t>
      </w:r>
      <w:r w:rsidRPr="00294D23">
        <w:t xml:space="preserve"> v</w:t>
      </w:r>
      <w:r w:rsidR="00B03FF4">
        <w:t>ersus</w:t>
      </w:r>
      <w:r w:rsidRPr="00294D23">
        <w:t xml:space="preserve"> </w:t>
      </w:r>
      <w:r>
        <w:t>control group</w:t>
      </w:r>
      <w:r w:rsidRPr="00294D23">
        <w:t xml:space="preserve"> p=0.0054</w:t>
      </w:r>
      <w:r>
        <w:t>,</w:t>
      </w:r>
      <w:r w:rsidRPr="00294D23">
        <w:t xml:space="preserve"> </w:t>
      </w:r>
      <w:r>
        <w:t xml:space="preserve"># </w:t>
      </w:r>
      <w:r>
        <w:rPr>
          <w:lang w:val="en-US"/>
        </w:rPr>
        <w:t>postnatal group</w:t>
      </w:r>
      <w:r w:rsidRPr="003A5C04">
        <w:rPr>
          <w:lang w:val="en-US"/>
        </w:rPr>
        <w:t xml:space="preserve"> v</w:t>
      </w:r>
      <w:r w:rsidR="00B03FF4">
        <w:rPr>
          <w:lang w:val="en-US"/>
        </w:rPr>
        <w:t>ersus</w:t>
      </w:r>
      <w:r w:rsidRPr="003A5C04">
        <w:rPr>
          <w:lang w:val="en-US"/>
        </w:rPr>
        <w:t xml:space="preserve"> </w:t>
      </w:r>
      <w:r>
        <w:rPr>
          <w:lang w:val="en-US"/>
        </w:rPr>
        <w:t>control group</w:t>
      </w:r>
      <w:r w:rsidRPr="003A5C04">
        <w:rPr>
          <w:lang w:val="en-US"/>
        </w:rPr>
        <w:t xml:space="preserve"> p=0.027</w:t>
      </w:r>
    </w:p>
    <w:p w:rsidR="00D056C1" w:rsidRPr="003A5C04" w:rsidRDefault="00D056C1" w:rsidP="00D056C1">
      <w:pPr>
        <w:rPr>
          <w:lang w:val="en-US"/>
        </w:rPr>
      </w:pPr>
    </w:p>
    <w:p w:rsidR="00D056C1" w:rsidRPr="003A5C04" w:rsidRDefault="00D056C1" w:rsidP="00D056C1">
      <w:pPr>
        <w:rPr>
          <w:lang w:val="en-US"/>
        </w:rPr>
      </w:pPr>
    </w:p>
    <w:p w:rsidR="00D056C1" w:rsidRDefault="00D056C1" w:rsidP="00D056C1">
      <w:pPr>
        <w:rPr>
          <w:b/>
          <w:lang w:val="en-US"/>
        </w:rPr>
      </w:pPr>
    </w:p>
    <w:p w:rsidR="00D056C1" w:rsidRDefault="00D056C1" w:rsidP="00D056C1">
      <w:pPr>
        <w:rPr>
          <w:b/>
          <w:lang w:val="en-US"/>
        </w:rPr>
      </w:pPr>
    </w:p>
    <w:p w:rsidR="006A3A8E" w:rsidRDefault="000362EF"/>
    <w:sectPr w:rsidR="006A3A8E" w:rsidSect="008F7D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1"/>
    <w:rsid w:val="00003B4D"/>
    <w:rsid w:val="00006692"/>
    <w:rsid w:val="000158DD"/>
    <w:rsid w:val="00017583"/>
    <w:rsid w:val="0003523B"/>
    <w:rsid w:val="000352F7"/>
    <w:rsid w:val="000362EF"/>
    <w:rsid w:val="000550A8"/>
    <w:rsid w:val="000735A4"/>
    <w:rsid w:val="00090CA4"/>
    <w:rsid w:val="000F3753"/>
    <w:rsid w:val="001355DD"/>
    <w:rsid w:val="001645BE"/>
    <w:rsid w:val="00175862"/>
    <w:rsid w:val="0017657C"/>
    <w:rsid w:val="00177F65"/>
    <w:rsid w:val="00181B6C"/>
    <w:rsid w:val="00195712"/>
    <w:rsid w:val="001B1309"/>
    <w:rsid w:val="001B7C58"/>
    <w:rsid w:val="001D4BA9"/>
    <w:rsid w:val="001F0F45"/>
    <w:rsid w:val="002155EF"/>
    <w:rsid w:val="00226FB9"/>
    <w:rsid w:val="002319A0"/>
    <w:rsid w:val="002460C4"/>
    <w:rsid w:val="0025687E"/>
    <w:rsid w:val="002712FA"/>
    <w:rsid w:val="00291F63"/>
    <w:rsid w:val="002927ED"/>
    <w:rsid w:val="002A0A1F"/>
    <w:rsid w:val="002A135D"/>
    <w:rsid w:val="002B536D"/>
    <w:rsid w:val="002C15A6"/>
    <w:rsid w:val="002D3ACD"/>
    <w:rsid w:val="002F6356"/>
    <w:rsid w:val="00310440"/>
    <w:rsid w:val="003142A0"/>
    <w:rsid w:val="00322104"/>
    <w:rsid w:val="00342AD8"/>
    <w:rsid w:val="00355C82"/>
    <w:rsid w:val="003571A8"/>
    <w:rsid w:val="00364DC1"/>
    <w:rsid w:val="003908FE"/>
    <w:rsid w:val="00390C9A"/>
    <w:rsid w:val="003A3BA7"/>
    <w:rsid w:val="003E5027"/>
    <w:rsid w:val="004137C0"/>
    <w:rsid w:val="004146C2"/>
    <w:rsid w:val="0042301A"/>
    <w:rsid w:val="004544EF"/>
    <w:rsid w:val="004645C4"/>
    <w:rsid w:val="004667E7"/>
    <w:rsid w:val="00482CAA"/>
    <w:rsid w:val="00490135"/>
    <w:rsid w:val="004B2C5E"/>
    <w:rsid w:val="00503CBF"/>
    <w:rsid w:val="005136B3"/>
    <w:rsid w:val="00524CA8"/>
    <w:rsid w:val="00553504"/>
    <w:rsid w:val="00567F5D"/>
    <w:rsid w:val="005A17CD"/>
    <w:rsid w:val="005E2BEC"/>
    <w:rsid w:val="005E5CCC"/>
    <w:rsid w:val="00605C66"/>
    <w:rsid w:val="0061233B"/>
    <w:rsid w:val="0067480C"/>
    <w:rsid w:val="00683D8C"/>
    <w:rsid w:val="006A486F"/>
    <w:rsid w:val="006A6553"/>
    <w:rsid w:val="006C3C31"/>
    <w:rsid w:val="006D2181"/>
    <w:rsid w:val="007613C8"/>
    <w:rsid w:val="0076263D"/>
    <w:rsid w:val="0076566E"/>
    <w:rsid w:val="007820D7"/>
    <w:rsid w:val="007B0A46"/>
    <w:rsid w:val="007C7C27"/>
    <w:rsid w:val="007E0898"/>
    <w:rsid w:val="00805249"/>
    <w:rsid w:val="008110DE"/>
    <w:rsid w:val="00846BA0"/>
    <w:rsid w:val="00850135"/>
    <w:rsid w:val="008728F3"/>
    <w:rsid w:val="0089210E"/>
    <w:rsid w:val="008B771C"/>
    <w:rsid w:val="008D132C"/>
    <w:rsid w:val="008D62F7"/>
    <w:rsid w:val="008E0B23"/>
    <w:rsid w:val="008E2487"/>
    <w:rsid w:val="008F7D5D"/>
    <w:rsid w:val="00911DBC"/>
    <w:rsid w:val="0091390D"/>
    <w:rsid w:val="0092448F"/>
    <w:rsid w:val="00973E0A"/>
    <w:rsid w:val="009A0D8F"/>
    <w:rsid w:val="009C5792"/>
    <w:rsid w:val="009E2CE9"/>
    <w:rsid w:val="00A1264C"/>
    <w:rsid w:val="00A30327"/>
    <w:rsid w:val="00A35147"/>
    <w:rsid w:val="00A57C98"/>
    <w:rsid w:val="00AA3178"/>
    <w:rsid w:val="00AA787C"/>
    <w:rsid w:val="00AE1A34"/>
    <w:rsid w:val="00B03FF4"/>
    <w:rsid w:val="00B102D7"/>
    <w:rsid w:val="00B1039A"/>
    <w:rsid w:val="00B179BA"/>
    <w:rsid w:val="00B24055"/>
    <w:rsid w:val="00B2503F"/>
    <w:rsid w:val="00B27BB9"/>
    <w:rsid w:val="00B449FB"/>
    <w:rsid w:val="00B5285A"/>
    <w:rsid w:val="00B52B2E"/>
    <w:rsid w:val="00B6008B"/>
    <w:rsid w:val="00B6036B"/>
    <w:rsid w:val="00B614BF"/>
    <w:rsid w:val="00B636B7"/>
    <w:rsid w:val="00BB3849"/>
    <w:rsid w:val="00BD4C27"/>
    <w:rsid w:val="00BE5D50"/>
    <w:rsid w:val="00BF456B"/>
    <w:rsid w:val="00BF5D07"/>
    <w:rsid w:val="00C3220C"/>
    <w:rsid w:val="00C53D77"/>
    <w:rsid w:val="00C80444"/>
    <w:rsid w:val="00C81E0A"/>
    <w:rsid w:val="00C942DF"/>
    <w:rsid w:val="00C9556D"/>
    <w:rsid w:val="00CA211E"/>
    <w:rsid w:val="00CB3204"/>
    <w:rsid w:val="00CC0ACA"/>
    <w:rsid w:val="00CD247E"/>
    <w:rsid w:val="00CE144A"/>
    <w:rsid w:val="00CE364A"/>
    <w:rsid w:val="00CF4783"/>
    <w:rsid w:val="00D023F0"/>
    <w:rsid w:val="00D056C1"/>
    <w:rsid w:val="00D26410"/>
    <w:rsid w:val="00D364E6"/>
    <w:rsid w:val="00D37753"/>
    <w:rsid w:val="00D5138B"/>
    <w:rsid w:val="00D54003"/>
    <w:rsid w:val="00D567C6"/>
    <w:rsid w:val="00DA2FC5"/>
    <w:rsid w:val="00DC058E"/>
    <w:rsid w:val="00DD6DB1"/>
    <w:rsid w:val="00DE3C12"/>
    <w:rsid w:val="00DE73D5"/>
    <w:rsid w:val="00E142B4"/>
    <w:rsid w:val="00E25004"/>
    <w:rsid w:val="00E544F0"/>
    <w:rsid w:val="00EC1FDB"/>
    <w:rsid w:val="00EE4DC5"/>
    <w:rsid w:val="00EF757D"/>
    <w:rsid w:val="00F15F14"/>
    <w:rsid w:val="00F43AA4"/>
    <w:rsid w:val="00F531A8"/>
    <w:rsid w:val="00F56A8F"/>
    <w:rsid w:val="00F57C98"/>
    <w:rsid w:val="00F57FC2"/>
    <w:rsid w:val="00F812F2"/>
    <w:rsid w:val="00F83397"/>
    <w:rsid w:val="00F92059"/>
    <w:rsid w:val="00F93F41"/>
    <w:rsid w:val="00F95DCD"/>
    <w:rsid w:val="00FA09E8"/>
    <w:rsid w:val="00FC3224"/>
    <w:rsid w:val="00FC7FAE"/>
    <w:rsid w:val="00FE1E3A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59941D7-613B-0D4C-8A7F-B7BEBB95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C1"/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Ewa-Lena Bratt</dc:creator>
  <cp:keywords/>
  <dc:description/>
  <cp:lastModifiedBy>Nicki Marshall</cp:lastModifiedBy>
  <cp:revision>2</cp:revision>
  <dcterms:created xsi:type="dcterms:W3CDTF">2019-08-06T07:36:00Z</dcterms:created>
  <dcterms:modified xsi:type="dcterms:W3CDTF">2019-08-06T07:36:00Z</dcterms:modified>
</cp:coreProperties>
</file>