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54949" w14:textId="77777777" w:rsidR="003F7416" w:rsidRDefault="003F7416" w:rsidP="00C866C4">
      <w:pPr>
        <w:pStyle w:val="Heading3"/>
      </w:pPr>
      <w:r>
        <w:t xml:space="preserve">Supplemental Text 2. Reconstructing Early Classic </w:t>
      </w:r>
      <w:proofErr w:type="spellStart"/>
      <w:r>
        <w:t>Tamarindito</w:t>
      </w:r>
      <w:proofErr w:type="spellEnd"/>
    </w:p>
    <w:p w14:paraId="5D294338" w14:textId="77777777" w:rsidR="003F7416" w:rsidRDefault="003F7416" w:rsidP="00C866C4">
      <w:r>
        <w:t xml:space="preserve">The Late Classic overburden impedes reconstructing </w:t>
      </w:r>
      <w:proofErr w:type="spellStart"/>
      <w:r>
        <w:t>Tamarindito’s</w:t>
      </w:r>
      <w:proofErr w:type="spellEnd"/>
      <w:r>
        <w:t xml:space="preserve"> Early Classic extension. We discuss two issues that scholars raised about similar attempts elsewhere in the Maya lowlands. Excavation or survey biases as well as the continued use of </w:t>
      </w:r>
      <w:proofErr w:type="spellStart"/>
      <w:r>
        <w:t>Preclassic</w:t>
      </w:r>
      <w:proofErr w:type="spellEnd"/>
      <w:r>
        <w:t xml:space="preserve"> ceramics may undercount Early Classic constructions. We argue that these issues do not impact our</w:t>
      </w:r>
      <w:r>
        <w:rPr>
          <w:lang w:val="pt-PT"/>
        </w:rPr>
        <w:t xml:space="preserve"> </w:t>
      </w:r>
      <w:proofErr w:type="spellStart"/>
      <w:r>
        <w:rPr>
          <w:lang w:val="pt-PT"/>
        </w:rPr>
        <w:t>results</w:t>
      </w:r>
      <w:proofErr w:type="spellEnd"/>
      <w:r>
        <w:rPr>
          <w:lang w:val="pt-PT"/>
        </w:rPr>
        <w:t xml:space="preserve"> </w:t>
      </w:r>
      <w:proofErr w:type="spellStart"/>
      <w:r>
        <w:rPr>
          <w:lang w:val="pt-PT"/>
        </w:rPr>
        <w:t>at</w:t>
      </w:r>
      <w:proofErr w:type="spellEnd"/>
      <w:r>
        <w:rPr>
          <w:lang w:val="pt-PT"/>
        </w:rPr>
        <w:t xml:space="preserve"> </w:t>
      </w:r>
      <w:proofErr w:type="spellStart"/>
      <w:r>
        <w:rPr>
          <w:lang w:val="pt-PT"/>
        </w:rPr>
        <w:t>Tamarindito</w:t>
      </w:r>
      <w:proofErr w:type="spellEnd"/>
      <w:r>
        <w:rPr>
          <w:lang w:val="pt-PT"/>
        </w:rPr>
        <w:t xml:space="preserve">. </w:t>
      </w:r>
    </w:p>
    <w:p w14:paraId="1304A30C" w14:textId="77777777" w:rsidR="003F7416" w:rsidRDefault="003F7416" w:rsidP="00C866C4">
      <w:r>
        <w:t xml:space="preserve">The houses in </w:t>
      </w:r>
      <w:proofErr w:type="spellStart"/>
      <w:r>
        <w:t>Tamarindito’s</w:t>
      </w:r>
      <w:proofErr w:type="spellEnd"/>
      <w:r>
        <w:t xml:space="preserve"> non-elite residential groups are made of perishable materials that were built on low stone platforms and sometimes on stone wall foundations. Later sedimentation can bury them completely and make them archaeologically invisible (</w:t>
      </w:r>
      <w:r>
        <w:rPr>
          <w:noProof/>
        </w:rPr>
        <w:t>Johnston 2004</w:t>
      </w:r>
      <w:r>
        <w:t>). This possibility is especially high for houses without stone platforms (</w:t>
      </w:r>
      <w:r>
        <w:rPr>
          <w:noProof/>
        </w:rPr>
        <w:t>LeCount et al. 2019; Pyburn et al. 1998</w:t>
      </w:r>
      <w:r>
        <w:t xml:space="preserve">). Several observations suggest that this was not the case at </w:t>
      </w:r>
      <w:proofErr w:type="spellStart"/>
      <w:r>
        <w:t>Tamarindito</w:t>
      </w:r>
      <w:proofErr w:type="spellEnd"/>
      <w:r>
        <w:t xml:space="preserve">. In the last decades, farmers cut down most of the site’s forest and converted it to agricultural fields. We conducted our surveys just before local farmers started to plant crops and during a time when soil cover is minimal and archaeological features most visible. All known residential groups are built on hilltops where soils are </w:t>
      </w:r>
      <w:proofErr w:type="gramStart"/>
      <w:r>
        <w:t>thin</w:t>
      </w:r>
      <w:proofErr w:type="gramEnd"/>
      <w:r>
        <w:t xml:space="preserve"> and bedrock often shows through. We conducted a survey between Groups 6BP-e and 6BP-f (Figure 3) and measured soil depths (</w:t>
      </w:r>
      <w:proofErr w:type="spellStart"/>
      <w:r>
        <w:rPr>
          <w:noProof/>
        </w:rPr>
        <w:t>Eberl</w:t>
      </w:r>
      <w:proofErr w:type="spellEnd"/>
      <w:r>
        <w:rPr>
          <w:noProof/>
        </w:rPr>
        <w:t xml:space="preserve"> et al. 2016</w:t>
      </w:r>
      <w:r>
        <w:t xml:space="preserve">:126–127). Soils are on average </w:t>
      </w:r>
      <w:r>
        <w:rPr>
          <w:lang w:val="es-ES_tradnl"/>
        </w:rPr>
        <w:t xml:space="preserve">0.13 m (± 0.06 m) </w:t>
      </w:r>
      <w:r>
        <w:t xml:space="preserve">deep and thus shallower than the average of 0.3–0.4 m in the Maya lowlands and the average of 0.22–0.31 m in comparable areas in the </w:t>
      </w:r>
      <w:proofErr w:type="spellStart"/>
      <w:r>
        <w:t>Petexbatun</w:t>
      </w:r>
      <w:proofErr w:type="spellEnd"/>
      <w:r>
        <w:t xml:space="preserve"> region </w:t>
      </w:r>
      <w:r>
        <w:rPr>
          <w:lang w:val="es-ES_tradnl"/>
        </w:rPr>
        <w:t>(</w:t>
      </w:r>
      <w:r>
        <w:rPr>
          <w:noProof/>
          <w:lang w:val="es-ES_tradnl"/>
        </w:rPr>
        <w:t>Johnston 2002</w:t>
      </w:r>
      <w:r>
        <w:rPr>
          <w:lang w:val="es-ES_tradnl"/>
        </w:rPr>
        <w:t xml:space="preserve">:21–27). </w:t>
      </w:r>
      <w:r>
        <w:rPr>
          <w:lang w:val="da-DK"/>
        </w:rPr>
        <w:t>S</w:t>
      </w:r>
      <w:r>
        <w:t xml:space="preserve">hallow soils and widespread deforestation in </w:t>
      </w:r>
      <w:proofErr w:type="spellStart"/>
      <w:r>
        <w:t>Tamarindito’s</w:t>
      </w:r>
      <w:proofErr w:type="spellEnd"/>
      <w:r>
        <w:t xml:space="preserve"> built environment minimized the risk of overlooking buried archaeological features. </w:t>
      </w:r>
    </w:p>
    <w:p w14:paraId="33EFC5D2" w14:textId="77777777" w:rsidR="003F7416" w:rsidRDefault="003F7416" w:rsidP="00C866C4">
      <w:r>
        <w:t>We also placed</w:t>
      </w:r>
      <w:r>
        <w:rPr>
          <w:lang w:val="es-ES_tradnl"/>
        </w:rPr>
        <w:t xml:space="preserve"> test </w:t>
      </w:r>
      <w:proofErr w:type="spellStart"/>
      <w:r>
        <w:rPr>
          <w:lang w:val="es-ES_tradnl"/>
        </w:rPr>
        <w:t>pits</w:t>
      </w:r>
      <w:proofErr w:type="spellEnd"/>
      <w:r>
        <w:rPr>
          <w:lang w:val="es-ES_tradnl"/>
        </w:rPr>
        <w:t xml:space="preserve"> in </w:t>
      </w:r>
      <w:proofErr w:type="spellStart"/>
      <w:r>
        <w:rPr>
          <w:lang w:val="es-ES_tradnl"/>
        </w:rPr>
        <w:t>the</w:t>
      </w:r>
      <w:proofErr w:type="spellEnd"/>
      <w:r>
        <w:rPr>
          <w:lang w:val="es-ES_tradnl"/>
        </w:rPr>
        <w:t xml:space="preserve"> </w:t>
      </w:r>
      <w:proofErr w:type="spellStart"/>
      <w:r>
        <w:rPr>
          <w:lang w:val="es-ES_tradnl"/>
        </w:rPr>
        <w:t>toft</w:t>
      </w:r>
      <w:proofErr w:type="spellEnd"/>
      <w:r>
        <w:rPr>
          <w:lang w:val="es-ES_tradnl"/>
        </w:rPr>
        <w:t xml:space="preserve"> of </w:t>
      </w:r>
      <w:proofErr w:type="spellStart"/>
      <w:r>
        <w:rPr>
          <w:lang w:val="es-ES_tradnl"/>
        </w:rPr>
        <w:t>most</w:t>
      </w:r>
      <w:proofErr w:type="spellEnd"/>
      <w:r>
        <w:rPr>
          <w:lang w:val="es-ES_tradnl"/>
        </w:rPr>
        <w:t xml:space="preserve"> </w:t>
      </w:r>
      <w:proofErr w:type="spellStart"/>
      <w:r>
        <w:rPr>
          <w:lang w:val="es-ES_tradnl"/>
        </w:rPr>
        <w:t>residential</w:t>
      </w:r>
      <w:proofErr w:type="spellEnd"/>
      <w:r>
        <w:rPr>
          <w:lang w:val="es-ES_tradnl"/>
        </w:rPr>
        <w:t xml:space="preserve"> </w:t>
      </w:r>
      <w:proofErr w:type="spellStart"/>
      <w:r>
        <w:rPr>
          <w:lang w:val="es-ES_tradnl"/>
        </w:rPr>
        <w:t>groups</w:t>
      </w:r>
      <w:proofErr w:type="spellEnd"/>
      <w:r>
        <w:rPr>
          <w:lang w:val="es-ES_tradnl"/>
        </w:rPr>
        <w:t xml:space="preserve"> and </w:t>
      </w:r>
      <w:proofErr w:type="spellStart"/>
      <w:r>
        <w:rPr>
          <w:lang w:val="es-ES_tradnl"/>
        </w:rPr>
        <w:t>located</w:t>
      </w:r>
      <w:proofErr w:type="spellEnd"/>
      <w:r>
        <w:rPr>
          <w:lang w:val="es-ES_tradnl"/>
        </w:rPr>
        <w:t xml:space="preserve"> no invisible </w:t>
      </w:r>
      <w:proofErr w:type="spellStart"/>
      <w:r>
        <w:rPr>
          <w:lang w:val="es-ES_tradnl"/>
        </w:rPr>
        <w:t>structures</w:t>
      </w:r>
      <w:proofErr w:type="spellEnd"/>
      <w:r>
        <w:rPr>
          <w:lang w:val="es-ES_tradnl"/>
        </w:rPr>
        <w:t xml:space="preserve">. </w:t>
      </w:r>
      <w:r>
        <w:t xml:space="preserve">Depressions between residential groups contain deeper soils but they flood during the rainy season. Therefore, they are unsuitable for permanent residential use. </w:t>
      </w:r>
      <w:proofErr w:type="spellStart"/>
      <w:r>
        <w:t>Tamarindito’s</w:t>
      </w:r>
      <w:proofErr w:type="spellEnd"/>
      <w:r>
        <w:t xml:space="preserve"> topography is generally too steep and hilly to support a more clustered arrangement of residential groups. Its terraces are too narrow for house platforms. Lastly, the distribution of Jordan </w:t>
      </w:r>
      <w:proofErr w:type="spellStart"/>
      <w:r>
        <w:t>Tzakol</w:t>
      </w:r>
      <w:proofErr w:type="spellEnd"/>
      <w:r>
        <w:t xml:space="preserve"> ceramics coincides with known Early Classic </w:t>
      </w:r>
      <w:r>
        <w:lastRenderedPageBreak/>
        <w:t xml:space="preserve">constructions in the Plaza </w:t>
      </w:r>
      <w:proofErr w:type="spellStart"/>
      <w:r>
        <w:t>A</w:t>
      </w:r>
      <w:proofErr w:type="spellEnd"/>
      <w:r>
        <w:t xml:space="preserve"> area. We encountered Early Classic ceramics elsewhere at the site (see discussion in the main text) but only mixed into later contexts.</w:t>
      </w:r>
    </w:p>
    <w:p w14:paraId="1084E78D" w14:textId="77777777" w:rsidR="003F7416" w:rsidRDefault="003F7416" w:rsidP="00C866C4">
      <w:r>
        <w:t xml:space="preserve">The second issue regards the simultaneous use of </w:t>
      </w:r>
      <w:proofErr w:type="spellStart"/>
      <w:r>
        <w:t>Preclassic</w:t>
      </w:r>
      <w:proofErr w:type="spellEnd"/>
      <w:r>
        <w:t xml:space="preserve"> and Early Classic ceramics. Early Classic glossy wares are assumed to replace </w:t>
      </w:r>
      <w:proofErr w:type="spellStart"/>
      <w:r>
        <w:t>Preclassic</w:t>
      </w:r>
      <w:proofErr w:type="spellEnd"/>
      <w:r>
        <w:t xml:space="preserve"> waxy wares at the beginning of the first millennium AD. Brady and colleagues (</w:t>
      </w:r>
      <w:r>
        <w:rPr>
          <w:noProof/>
        </w:rPr>
        <w:t>1998</w:t>
      </w:r>
      <w:r>
        <w:t xml:space="preserve">) have proposed an intermediary </w:t>
      </w:r>
      <w:proofErr w:type="spellStart"/>
      <w:r>
        <w:t>Protoclassic</w:t>
      </w:r>
      <w:proofErr w:type="spellEnd"/>
      <w:r>
        <w:t xml:space="preserve"> period between 75 BC to AD 420 (or AD 250–300 according to </w:t>
      </w:r>
      <w:r>
        <w:rPr>
          <w:noProof/>
        </w:rPr>
        <w:t>Inomata et al. 2014</w:t>
      </w:r>
      <w:r>
        <w:t xml:space="preserve">:397; </w:t>
      </w:r>
      <w:proofErr w:type="gramStart"/>
      <w:r>
        <w:t>also</w:t>
      </w:r>
      <w:proofErr w:type="gramEnd"/>
      <w:r>
        <w:t xml:space="preserve"> </w:t>
      </w:r>
      <w:r>
        <w:rPr>
          <w:noProof/>
        </w:rPr>
        <w:t>Foias and Bishop 2013:79–81; Źrałka et al. 2018</w:t>
      </w:r>
      <w:r>
        <w:rPr>
          <w:lang w:val="it-IT"/>
        </w:rPr>
        <w:t xml:space="preserve">). </w:t>
      </w:r>
      <w:r>
        <w:t>Waxy and glossy wares coexist in some contexts. In his reanalysis of Early Classic lowland ceramics, Charles Lincoln (</w:t>
      </w:r>
      <w:r>
        <w:rPr>
          <w:noProof/>
        </w:rPr>
        <w:t>1985</w:t>
      </w:r>
      <w:r>
        <w:t xml:space="preserve">) suggests that new elites introduced the </w:t>
      </w:r>
      <w:proofErr w:type="spellStart"/>
      <w:r>
        <w:t>Tzakol</w:t>
      </w:r>
      <w:proofErr w:type="spellEnd"/>
      <w:r>
        <w:t xml:space="preserve"> glossy wares while non-elites continued using </w:t>
      </w:r>
      <w:proofErr w:type="spellStart"/>
      <w:r>
        <w:t>Chicanel</w:t>
      </w:r>
      <w:proofErr w:type="spellEnd"/>
      <w:r>
        <w:t xml:space="preserve"> waxy wares. Juan Pedro Laporte (</w:t>
      </w:r>
      <w:r>
        <w:rPr>
          <w:noProof/>
        </w:rPr>
        <w:t>1995</w:t>
      </w:r>
      <w:r>
        <w:t xml:space="preserve">:610) found that </w:t>
      </w:r>
      <w:proofErr w:type="spellStart"/>
      <w:r>
        <w:t>Chicanel</w:t>
      </w:r>
      <w:proofErr w:type="spellEnd"/>
      <w:r>
        <w:t xml:space="preserve"> types and modes continued into the Early Classic in the southwestern Peten. He suggests that the abrupt transition from waxy to glossy wares occurred only in the central lowlands or that it only applies to elite contexts. This raises the possibility that residential groups with a waxy ceramic assemblage date to the Early Classic. </w:t>
      </w:r>
    </w:p>
    <w:p w14:paraId="55B3D307" w14:textId="77777777" w:rsidR="003F7416" w:rsidRDefault="003F7416" w:rsidP="00C866C4">
      <w:r>
        <w:t xml:space="preserve">In the </w:t>
      </w:r>
      <w:proofErr w:type="spellStart"/>
      <w:r>
        <w:t>Petexbatun</w:t>
      </w:r>
      <w:proofErr w:type="spellEnd"/>
      <w:r>
        <w:t xml:space="preserve"> region, waxy and glossy wares overlap for roughly two centuries. </w:t>
      </w:r>
      <w:proofErr w:type="spellStart"/>
      <w:r>
        <w:t>Faisan</w:t>
      </w:r>
      <w:proofErr w:type="spellEnd"/>
      <w:r>
        <w:t xml:space="preserve"> </w:t>
      </w:r>
      <w:proofErr w:type="spellStart"/>
      <w:r>
        <w:t>Chicanel</w:t>
      </w:r>
      <w:proofErr w:type="spellEnd"/>
      <w:r>
        <w:t xml:space="preserve"> is assumed to continue until the fourth century AD with glossy </w:t>
      </w:r>
      <w:proofErr w:type="spellStart"/>
      <w:r>
        <w:t>Tzakol</w:t>
      </w:r>
      <w:proofErr w:type="spellEnd"/>
      <w:r>
        <w:t xml:space="preserve"> wares starting to appear after AD 150 next to waxy wares (</w:t>
      </w:r>
      <w:proofErr w:type="spellStart"/>
      <w:r>
        <w:rPr>
          <w:noProof/>
        </w:rPr>
        <w:t>Bachand</w:t>
      </w:r>
      <w:proofErr w:type="spellEnd"/>
      <w:r>
        <w:rPr>
          <w:noProof/>
        </w:rPr>
        <w:t xml:space="preserve"> 2010; Foias and Bishop 2013:81</w:t>
      </w:r>
      <w:r>
        <w:t xml:space="preserve">). </w:t>
      </w:r>
      <w:proofErr w:type="spellStart"/>
      <w:r>
        <w:rPr>
          <w:lang w:val="it-IT"/>
        </w:rPr>
        <w:t>Protoclassic</w:t>
      </w:r>
      <w:proofErr w:type="spellEnd"/>
      <w:r>
        <w:rPr>
          <w:lang w:val="it-IT"/>
        </w:rPr>
        <w:t xml:space="preserve"> </w:t>
      </w:r>
      <w:r>
        <w:t>markers like pseudo-</w:t>
      </w:r>
      <w:proofErr w:type="spellStart"/>
      <w:r>
        <w:t>Usulutan</w:t>
      </w:r>
      <w:proofErr w:type="spellEnd"/>
      <w:r>
        <w:t xml:space="preserve"> decoration and mammiform supports appear seldom in the </w:t>
      </w:r>
      <w:proofErr w:type="spellStart"/>
      <w:r>
        <w:t>Petexbatun</w:t>
      </w:r>
      <w:proofErr w:type="spellEnd"/>
      <w:r>
        <w:t xml:space="preserve"> region (</w:t>
      </w:r>
      <w:proofErr w:type="spellStart"/>
      <w:r>
        <w:rPr>
          <w:noProof/>
        </w:rPr>
        <w:t>Foias</w:t>
      </w:r>
      <w:proofErr w:type="spellEnd"/>
      <w:r>
        <w:rPr>
          <w:noProof/>
        </w:rPr>
        <w:t xml:space="preserve"> and Bishop 2013</w:t>
      </w:r>
      <w:r>
        <w:t xml:space="preserve">:79–81). Their prevalence in caves and caches indicates a primarily ritual nature. </w:t>
      </w:r>
    </w:p>
    <w:p w14:paraId="6EB3A655" w14:textId="77777777" w:rsidR="003F7416" w:rsidRDefault="003F7416" w:rsidP="00C866C4">
      <w:r>
        <w:t xml:space="preserve">At </w:t>
      </w:r>
      <w:proofErr w:type="spellStart"/>
      <w:r>
        <w:t>Tamarindito</w:t>
      </w:r>
      <w:proofErr w:type="spellEnd"/>
      <w:r>
        <w:t xml:space="preserve">, </w:t>
      </w:r>
      <w:proofErr w:type="spellStart"/>
      <w:r>
        <w:t>Faisan</w:t>
      </w:r>
      <w:proofErr w:type="spellEnd"/>
      <w:r>
        <w:t xml:space="preserve"> </w:t>
      </w:r>
      <w:proofErr w:type="spellStart"/>
      <w:r>
        <w:t>Chicanel</w:t>
      </w:r>
      <w:proofErr w:type="spellEnd"/>
      <w:r>
        <w:t xml:space="preserve"> ceramics are rare (Table 1). We encountered no unequivocal </w:t>
      </w:r>
      <w:proofErr w:type="spellStart"/>
      <w:r>
        <w:t>Faisan</w:t>
      </w:r>
      <w:proofErr w:type="spellEnd"/>
      <w:r>
        <w:t xml:space="preserve"> </w:t>
      </w:r>
      <w:proofErr w:type="spellStart"/>
      <w:r>
        <w:t>Chicanel</w:t>
      </w:r>
      <w:proofErr w:type="spellEnd"/>
      <w:r>
        <w:t xml:space="preserve"> construction activity in </w:t>
      </w:r>
      <w:proofErr w:type="spellStart"/>
      <w:r>
        <w:t>Tamarindito’s</w:t>
      </w:r>
      <w:proofErr w:type="spellEnd"/>
      <w:r>
        <w:rPr>
          <w:lang w:val="fr-FR"/>
        </w:rPr>
        <w:t xml:space="preserve"> non-</w:t>
      </w:r>
      <w:proofErr w:type="spellStart"/>
      <w:r>
        <w:rPr>
          <w:lang w:val="fr-FR"/>
        </w:rPr>
        <w:t>elite</w:t>
      </w:r>
      <w:proofErr w:type="spellEnd"/>
      <w:r>
        <w:rPr>
          <w:lang w:val="fr-FR"/>
        </w:rPr>
        <w:t xml:space="preserve"> groups (</w:t>
      </w:r>
      <w:proofErr w:type="spellStart"/>
      <w:r>
        <w:rPr>
          <w:noProof/>
          <w:lang w:val="fr-FR"/>
        </w:rPr>
        <w:t>Eberl</w:t>
      </w:r>
      <w:proofErr w:type="spellEnd"/>
      <w:r>
        <w:rPr>
          <w:noProof/>
          <w:lang w:val="fr-FR"/>
        </w:rPr>
        <w:t xml:space="preserve"> and Vela González 2016</w:t>
      </w:r>
      <w:r>
        <w:rPr>
          <w:lang w:val="fr-FR"/>
        </w:rPr>
        <w:t>:162</w:t>
      </w:r>
      <w:r>
        <w:t xml:space="preserve">–163). The evidence for early constructions remains limited to Plaza A as well as Groups 6BO-b and 6BP-a. The first construction phase of </w:t>
      </w:r>
      <w:proofErr w:type="spellStart"/>
      <w:r>
        <w:t>Tamarindito</w:t>
      </w:r>
      <w:proofErr w:type="spellEnd"/>
      <w:r>
        <w:t xml:space="preserve"> Structure 6BP-5 is the only sealed context in which </w:t>
      </w:r>
      <w:proofErr w:type="spellStart"/>
      <w:r>
        <w:t>Faisan</w:t>
      </w:r>
      <w:proofErr w:type="spellEnd"/>
      <w:r>
        <w:t xml:space="preserve"> </w:t>
      </w:r>
      <w:proofErr w:type="spellStart"/>
      <w:proofErr w:type="gramStart"/>
      <w:r>
        <w:t>Chicanel</w:t>
      </w:r>
      <w:proofErr w:type="spellEnd"/>
      <w:proofErr w:type="gramEnd"/>
      <w:r>
        <w:t xml:space="preserve"> and Jordan </w:t>
      </w:r>
      <w:proofErr w:type="spellStart"/>
      <w:r>
        <w:t>Tzakol</w:t>
      </w:r>
      <w:proofErr w:type="spellEnd"/>
      <w:r>
        <w:t xml:space="preserve"> ceramics mix (Supplemental Table 1). </w:t>
      </w:r>
      <w:proofErr w:type="spellStart"/>
      <w:r>
        <w:t>Flor</w:t>
      </w:r>
      <w:proofErr w:type="spellEnd"/>
      <w:r>
        <w:t xml:space="preserve"> Cream and Iberia Orange sherds occur together with </w:t>
      </w:r>
      <w:proofErr w:type="spellStart"/>
      <w:r>
        <w:t>Triunfo</w:t>
      </w:r>
      <w:proofErr w:type="spellEnd"/>
      <w:r>
        <w:t xml:space="preserve"> Striated, </w:t>
      </w:r>
      <w:proofErr w:type="spellStart"/>
      <w:r>
        <w:t>Balanza</w:t>
      </w:r>
      <w:proofErr w:type="spellEnd"/>
      <w:r>
        <w:t xml:space="preserve"> Black, and Dos Arroyos Orange Polychrome ones. The presence of Dos Arroyos is noteworthy because the definition of the </w:t>
      </w:r>
      <w:proofErr w:type="spellStart"/>
      <w:r>
        <w:t>Protoclassic</w:t>
      </w:r>
      <w:proofErr w:type="spellEnd"/>
      <w:r>
        <w:t xml:space="preserve"> calls for orange wares from the </w:t>
      </w:r>
      <w:proofErr w:type="spellStart"/>
      <w:r>
        <w:t>Aguacate</w:t>
      </w:r>
      <w:proofErr w:type="spellEnd"/>
      <w:r>
        <w:t xml:space="preserve"> and </w:t>
      </w:r>
      <w:proofErr w:type="spellStart"/>
      <w:r>
        <w:t>Águila</w:t>
      </w:r>
      <w:proofErr w:type="spellEnd"/>
      <w:r>
        <w:t xml:space="preserve"> ceramic groups (</w:t>
      </w:r>
      <w:r>
        <w:rPr>
          <w:noProof/>
        </w:rPr>
        <w:t>Brady et al. 1998</w:t>
      </w:r>
      <w:r>
        <w:t xml:space="preserve">:24–28). If </w:t>
      </w:r>
      <w:r>
        <w:lastRenderedPageBreak/>
        <w:t xml:space="preserve">Dos Arroyos continued at </w:t>
      </w:r>
      <w:proofErr w:type="spellStart"/>
      <w:r>
        <w:t>Tamarindito</w:t>
      </w:r>
      <w:proofErr w:type="spellEnd"/>
      <w:r>
        <w:t xml:space="preserve"> into </w:t>
      </w:r>
      <w:proofErr w:type="spellStart"/>
      <w:r>
        <w:t>Tzakol</w:t>
      </w:r>
      <w:proofErr w:type="spellEnd"/>
      <w:r>
        <w:t xml:space="preserve"> 2–3 times as elsewhere (</w:t>
      </w:r>
      <w:r>
        <w:rPr>
          <w:noProof/>
        </w:rPr>
        <w:t>Smith and Gifford 1966</w:t>
      </w:r>
      <w:r>
        <w:t xml:space="preserve">:157), </w:t>
      </w:r>
      <w:proofErr w:type="spellStart"/>
      <w:r>
        <w:t>Faisan</w:t>
      </w:r>
      <w:proofErr w:type="spellEnd"/>
      <w:r>
        <w:t xml:space="preserve"> </w:t>
      </w:r>
      <w:proofErr w:type="spellStart"/>
      <w:r>
        <w:t>Chicanel</w:t>
      </w:r>
      <w:proofErr w:type="spellEnd"/>
      <w:r>
        <w:t xml:space="preserve"> markers may have persisted even into the fifth century AD.</w:t>
      </w:r>
    </w:p>
    <w:p w14:paraId="7D00EF34" w14:textId="77777777" w:rsidR="003F7416" w:rsidRDefault="003F7416"/>
    <w:p w14:paraId="27E5A67D" w14:textId="77777777" w:rsidR="003F7416" w:rsidRPr="00C866C4" w:rsidRDefault="003F7416">
      <w:pPr>
        <w:rPr>
          <w:b/>
          <w:bCs/>
        </w:rPr>
      </w:pPr>
      <w:r w:rsidRPr="00C866C4">
        <w:rPr>
          <w:b/>
          <w:bCs/>
        </w:rPr>
        <w:t>References</w:t>
      </w:r>
    </w:p>
    <w:p w14:paraId="3030C1FB" w14:textId="77777777" w:rsidR="003F7416" w:rsidRPr="00C866C4" w:rsidRDefault="003F7416" w:rsidP="00C866C4">
      <w:pPr>
        <w:pStyle w:val="EndNoteBibliography"/>
        <w:rPr>
          <w:noProof/>
        </w:rPr>
      </w:pPr>
      <w:r w:rsidRPr="00C866C4">
        <w:rPr>
          <w:noProof/>
        </w:rPr>
        <w:t>Bachand, Bruce R.</w:t>
      </w:r>
    </w:p>
    <w:p w14:paraId="598E9957" w14:textId="77777777" w:rsidR="003F7416" w:rsidRPr="00C866C4" w:rsidRDefault="003F7416" w:rsidP="00C866C4">
      <w:pPr>
        <w:pStyle w:val="EndNoteBibliography"/>
        <w:ind w:left="720" w:hanging="720"/>
        <w:rPr>
          <w:noProof/>
        </w:rPr>
      </w:pPr>
      <w:r w:rsidRPr="00C866C4">
        <w:rPr>
          <w:noProof/>
        </w:rPr>
        <w:tab/>
        <w:t>2010</w:t>
      </w:r>
      <w:r w:rsidRPr="00C866C4">
        <w:rPr>
          <w:noProof/>
        </w:rPr>
        <w:tab/>
        <w:t xml:space="preserve">Onset of the Early Classic Period in the Southern Maya Lowlands: New Evidence from Punta De Chimino, Guatemala. </w:t>
      </w:r>
      <w:r w:rsidRPr="00C866C4">
        <w:rPr>
          <w:i/>
          <w:noProof/>
        </w:rPr>
        <w:t>Ancient Mesoamerica</w:t>
      </w:r>
      <w:r w:rsidRPr="00C866C4">
        <w:rPr>
          <w:noProof/>
        </w:rPr>
        <w:t xml:space="preserve"> 21(1):21–44.</w:t>
      </w:r>
    </w:p>
    <w:p w14:paraId="4E9D92AB" w14:textId="77777777" w:rsidR="003F7416" w:rsidRPr="00C866C4" w:rsidRDefault="003F7416" w:rsidP="00C866C4">
      <w:pPr>
        <w:pStyle w:val="EndNoteBibliography"/>
        <w:spacing w:after="0"/>
        <w:rPr>
          <w:noProof/>
        </w:rPr>
      </w:pPr>
    </w:p>
    <w:p w14:paraId="0E1091D3" w14:textId="77777777" w:rsidR="003F7416" w:rsidRPr="00C866C4" w:rsidRDefault="003F7416" w:rsidP="00C866C4">
      <w:pPr>
        <w:pStyle w:val="EndNoteBibliography"/>
        <w:rPr>
          <w:noProof/>
        </w:rPr>
      </w:pPr>
      <w:r w:rsidRPr="00C866C4">
        <w:rPr>
          <w:noProof/>
        </w:rPr>
        <w:t>Brady, James E., Joseph W. Ball, Ronald L. Bishop, Duncan C. Pring, Norman Hammond, and Rupert A. Housley</w:t>
      </w:r>
    </w:p>
    <w:p w14:paraId="2CB70E1E" w14:textId="77777777" w:rsidR="003F7416" w:rsidRPr="00C866C4" w:rsidRDefault="003F7416" w:rsidP="00C866C4">
      <w:pPr>
        <w:pStyle w:val="EndNoteBibliography"/>
        <w:ind w:left="720" w:hanging="720"/>
        <w:rPr>
          <w:noProof/>
        </w:rPr>
      </w:pPr>
      <w:r w:rsidRPr="00C866C4">
        <w:rPr>
          <w:noProof/>
        </w:rPr>
        <w:tab/>
        <w:t>1998</w:t>
      </w:r>
      <w:r w:rsidRPr="00C866C4">
        <w:rPr>
          <w:noProof/>
        </w:rPr>
        <w:tab/>
        <w:t xml:space="preserve">The Lowland Maya “Protoclassic”: A Reconsideration of Its Nature and Significance. </w:t>
      </w:r>
      <w:r w:rsidRPr="00C866C4">
        <w:rPr>
          <w:i/>
          <w:noProof/>
        </w:rPr>
        <w:t>Ancient Mesoamerica</w:t>
      </w:r>
      <w:r w:rsidRPr="00C866C4">
        <w:rPr>
          <w:noProof/>
        </w:rPr>
        <w:t xml:space="preserve"> 9(1):17–38.</w:t>
      </w:r>
    </w:p>
    <w:p w14:paraId="05A54CCD" w14:textId="77777777" w:rsidR="003F7416" w:rsidRPr="00C866C4" w:rsidRDefault="003F7416" w:rsidP="00C866C4">
      <w:pPr>
        <w:pStyle w:val="EndNoteBibliography"/>
        <w:spacing w:after="0"/>
        <w:rPr>
          <w:noProof/>
        </w:rPr>
      </w:pPr>
    </w:p>
    <w:p w14:paraId="317FF4EB" w14:textId="77777777" w:rsidR="003F7416" w:rsidRPr="00C866C4" w:rsidRDefault="003F7416" w:rsidP="00C866C4">
      <w:pPr>
        <w:pStyle w:val="EndNoteBibliography"/>
        <w:rPr>
          <w:noProof/>
        </w:rPr>
      </w:pPr>
      <w:r w:rsidRPr="00C866C4">
        <w:rPr>
          <w:noProof/>
        </w:rPr>
        <w:t xml:space="preserve">Eberl, Markus, and Claudia Marie Vela González (editors) </w:t>
      </w:r>
    </w:p>
    <w:p w14:paraId="14E3A7CD" w14:textId="6531ACDD" w:rsidR="003F7416" w:rsidRPr="00C866C4" w:rsidRDefault="003F7416" w:rsidP="00C866C4">
      <w:pPr>
        <w:pStyle w:val="EndNoteBibliography"/>
        <w:ind w:left="720" w:hanging="720"/>
        <w:rPr>
          <w:noProof/>
        </w:rPr>
      </w:pPr>
      <w:r w:rsidRPr="00C866C4">
        <w:rPr>
          <w:noProof/>
        </w:rPr>
        <w:tab/>
        <w:t>2016</w:t>
      </w:r>
      <w:r w:rsidRPr="00C866C4">
        <w:rPr>
          <w:noProof/>
        </w:rPr>
        <w:tab/>
      </w:r>
      <w:r w:rsidR="009963AA" w:rsidRPr="00CC6D77">
        <w:rPr>
          <w:i/>
          <w:noProof/>
        </w:rPr>
        <w:t xml:space="preserve">Entre </w:t>
      </w:r>
      <w:r w:rsidR="009963AA">
        <w:rPr>
          <w:i/>
          <w:noProof/>
        </w:rPr>
        <w:t>r</w:t>
      </w:r>
      <w:r w:rsidR="009963AA" w:rsidRPr="00CC6D77">
        <w:rPr>
          <w:i/>
          <w:noProof/>
        </w:rPr>
        <w:t xml:space="preserve">eyes </w:t>
      </w:r>
      <w:r w:rsidR="009963AA">
        <w:rPr>
          <w:i/>
          <w:noProof/>
        </w:rPr>
        <w:t>y c</w:t>
      </w:r>
      <w:r w:rsidR="009963AA" w:rsidRPr="00CC6D77">
        <w:rPr>
          <w:i/>
          <w:noProof/>
        </w:rPr>
        <w:t xml:space="preserve">ampesinos. Investigaciones </w:t>
      </w:r>
      <w:r w:rsidR="009963AA">
        <w:rPr>
          <w:i/>
          <w:noProof/>
        </w:rPr>
        <w:t>a</w:t>
      </w:r>
      <w:r w:rsidR="009963AA" w:rsidRPr="00CC6D77">
        <w:rPr>
          <w:i/>
          <w:noProof/>
        </w:rPr>
        <w:t xml:space="preserve">rqueológicas </w:t>
      </w:r>
      <w:r w:rsidR="009963AA">
        <w:rPr>
          <w:i/>
          <w:noProof/>
        </w:rPr>
        <w:t>e</w:t>
      </w:r>
      <w:r w:rsidR="009963AA" w:rsidRPr="00CC6D77">
        <w:rPr>
          <w:i/>
          <w:noProof/>
        </w:rPr>
        <w:t xml:space="preserve">n </w:t>
      </w:r>
      <w:r w:rsidR="009963AA">
        <w:rPr>
          <w:i/>
          <w:noProof/>
        </w:rPr>
        <w:t>l</w:t>
      </w:r>
      <w:r w:rsidR="009963AA" w:rsidRPr="00CC6D77">
        <w:rPr>
          <w:i/>
          <w:noProof/>
        </w:rPr>
        <w:t xml:space="preserve">a </w:t>
      </w:r>
      <w:r w:rsidR="009963AA">
        <w:rPr>
          <w:i/>
          <w:noProof/>
        </w:rPr>
        <w:t>a</w:t>
      </w:r>
      <w:r w:rsidR="009963AA" w:rsidRPr="00CC6D77">
        <w:rPr>
          <w:i/>
          <w:noProof/>
        </w:rPr>
        <w:t xml:space="preserve">ntigua </w:t>
      </w:r>
      <w:r w:rsidR="009963AA">
        <w:rPr>
          <w:i/>
          <w:noProof/>
        </w:rPr>
        <w:t>c</w:t>
      </w:r>
      <w:r w:rsidR="009963AA" w:rsidRPr="00CC6D77">
        <w:rPr>
          <w:i/>
          <w:noProof/>
        </w:rPr>
        <w:t xml:space="preserve">apital Maya </w:t>
      </w:r>
      <w:r w:rsidR="009963AA">
        <w:rPr>
          <w:i/>
          <w:noProof/>
        </w:rPr>
        <w:t>d</w:t>
      </w:r>
      <w:r w:rsidR="009963AA" w:rsidRPr="00CC6D77">
        <w:rPr>
          <w:i/>
          <w:noProof/>
        </w:rPr>
        <w:t>e Tamarindito</w:t>
      </w:r>
      <w:r w:rsidR="009963AA" w:rsidRPr="00CC6D77">
        <w:rPr>
          <w:noProof/>
        </w:rPr>
        <w:t>. Archaeopress, Oxford</w:t>
      </w:r>
      <w:r w:rsidRPr="00C866C4">
        <w:rPr>
          <w:noProof/>
        </w:rPr>
        <w:t>.</w:t>
      </w:r>
    </w:p>
    <w:p w14:paraId="7CA9216F" w14:textId="77777777" w:rsidR="003F7416" w:rsidRPr="00C866C4" w:rsidRDefault="003F7416" w:rsidP="00C866C4">
      <w:pPr>
        <w:pStyle w:val="EndNoteBibliography"/>
        <w:spacing w:after="0"/>
        <w:rPr>
          <w:noProof/>
        </w:rPr>
      </w:pPr>
    </w:p>
    <w:p w14:paraId="7F74A7D7" w14:textId="77777777" w:rsidR="003F7416" w:rsidRPr="00C866C4" w:rsidRDefault="003F7416" w:rsidP="00C866C4">
      <w:pPr>
        <w:pStyle w:val="EndNoteBibliography"/>
        <w:rPr>
          <w:noProof/>
        </w:rPr>
      </w:pPr>
      <w:r w:rsidRPr="00C866C4">
        <w:rPr>
          <w:noProof/>
        </w:rPr>
        <w:t>Eberl, Markus, Claudia Marie Vela González, and Laura Velásquez</w:t>
      </w:r>
    </w:p>
    <w:p w14:paraId="3957E183" w14:textId="476B4117" w:rsidR="003F7416" w:rsidRPr="00C866C4" w:rsidRDefault="003F7416" w:rsidP="00C866C4">
      <w:pPr>
        <w:pStyle w:val="EndNoteBibliography"/>
        <w:ind w:left="720" w:hanging="720"/>
        <w:rPr>
          <w:noProof/>
        </w:rPr>
      </w:pPr>
      <w:r w:rsidRPr="00C866C4">
        <w:rPr>
          <w:noProof/>
        </w:rPr>
        <w:tab/>
        <w:t>2016</w:t>
      </w:r>
      <w:r w:rsidRPr="00C866C4">
        <w:rPr>
          <w:noProof/>
        </w:rPr>
        <w:tab/>
        <w:t xml:space="preserve">Recursos </w:t>
      </w:r>
      <w:r w:rsidR="009963AA">
        <w:rPr>
          <w:noProof/>
        </w:rPr>
        <w:t>n</w:t>
      </w:r>
      <w:r w:rsidRPr="00C866C4">
        <w:rPr>
          <w:noProof/>
        </w:rPr>
        <w:t xml:space="preserve">aturales </w:t>
      </w:r>
      <w:r w:rsidR="009963AA">
        <w:rPr>
          <w:noProof/>
        </w:rPr>
        <w:t>y</w:t>
      </w:r>
      <w:r w:rsidRPr="00C866C4">
        <w:rPr>
          <w:noProof/>
        </w:rPr>
        <w:t xml:space="preserve"> </w:t>
      </w:r>
      <w:r w:rsidR="009963AA">
        <w:rPr>
          <w:noProof/>
        </w:rPr>
        <w:t>s</w:t>
      </w:r>
      <w:r w:rsidRPr="00C866C4">
        <w:rPr>
          <w:noProof/>
        </w:rPr>
        <w:t>ubsistencia</w:t>
      </w:r>
      <w:r w:rsidRPr="00C866C4">
        <w:rPr>
          <w:i/>
          <w:noProof/>
        </w:rPr>
        <w:t>.</w:t>
      </w:r>
      <w:r w:rsidRPr="00C866C4">
        <w:rPr>
          <w:noProof/>
        </w:rPr>
        <w:t xml:space="preserve"> In </w:t>
      </w:r>
      <w:r w:rsidR="009963AA" w:rsidRPr="00CC6D77">
        <w:rPr>
          <w:i/>
          <w:noProof/>
        </w:rPr>
        <w:t xml:space="preserve">Entre </w:t>
      </w:r>
      <w:r w:rsidR="009963AA">
        <w:rPr>
          <w:i/>
          <w:noProof/>
        </w:rPr>
        <w:t>r</w:t>
      </w:r>
      <w:r w:rsidR="009963AA" w:rsidRPr="00CC6D77">
        <w:rPr>
          <w:i/>
          <w:noProof/>
        </w:rPr>
        <w:t xml:space="preserve">eyes </w:t>
      </w:r>
      <w:r w:rsidR="009963AA">
        <w:rPr>
          <w:i/>
          <w:noProof/>
        </w:rPr>
        <w:t>y c</w:t>
      </w:r>
      <w:r w:rsidR="009963AA" w:rsidRPr="00CC6D77">
        <w:rPr>
          <w:i/>
          <w:noProof/>
        </w:rPr>
        <w:t xml:space="preserve">ampesinos. Investigaciones </w:t>
      </w:r>
      <w:r w:rsidR="009963AA">
        <w:rPr>
          <w:i/>
          <w:noProof/>
        </w:rPr>
        <w:t>a</w:t>
      </w:r>
      <w:r w:rsidR="009963AA" w:rsidRPr="00CC6D77">
        <w:rPr>
          <w:i/>
          <w:noProof/>
        </w:rPr>
        <w:t xml:space="preserve">rqueológicas </w:t>
      </w:r>
      <w:r w:rsidR="009963AA">
        <w:rPr>
          <w:i/>
          <w:noProof/>
        </w:rPr>
        <w:t>e</w:t>
      </w:r>
      <w:r w:rsidR="009963AA" w:rsidRPr="00CC6D77">
        <w:rPr>
          <w:i/>
          <w:noProof/>
        </w:rPr>
        <w:t xml:space="preserve">n </w:t>
      </w:r>
      <w:r w:rsidR="009963AA">
        <w:rPr>
          <w:i/>
          <w:noProof/>
        </w:rPr>
        <w:t>l</w:t>
      </w:r>
      <w:r w:rsidR="009963AA" w:rsidRPr="00CC6D77">
        <w:rPr>
          <w:i/>
          <w:noProof/>
        </w:rPr>
        <w:t xml:space="preserve">a </w:t>
      </w:r>
      <w:r w:rsidR="009963AA">
        <w:rPr>
          <w:i/>
          <w:noProof/>
        </w:rPr>
        <w:t>a</w:t>
      </w:r>
      <w:r w:rsidR="009963AA" w:rsidRPr="00CC6D77">
        <w:rPr>
          <w:i/>
          <w:noProof/>
        </w:rPr>
        <w:t xml:space="preserve">ntigua </w:t>
      </w:r>
      <w:r w:rsidR="009963AA">
        <w:rPr>
          <w:i/>
          <w:noProof/>
        </w:rPr>
        <w:t>c</w:t>
      </w:r>
      <w:r w:rsidR="009963AA" w:rsidRPr="00CC6D77">
        <w:rPr>
          <w:i/>
          <w:noProof/>
        </w:rPr>
        <w:t xml:space="preserve">apital Maya </w:t>
      </w:r>
      <w:r w:rsidR="009963AA">
        <w:rPr>
          <w:i/>
          <w:noProof/>
        </w:rPr>
        <w:t>d</w:t>
      </w:r>
      <w:r w:rsidR="009963AA" w:rsidRPr="00CC6D77">
        <w:rPr>
          <w:i/>
          <w:noProof/>
        </w:rPr>
        <w:t>e Tamarindito</w:t>
      </w:r>
      <w:r w:rsidRPr="00C866C4">
        <w:rPr>
          <w:noProof/>
        </w:rPr>
        <w:t>, edited by Markus Eberl, and Claudia Marie Vela González, pp. 123–135. Paris Monographs in American Archaeology 45, Oxford.</w:t>
      </w:r>
    </w:p>
    <w:p w14:paraId="7B73228C" w14:textId="77777777" w:rsidR="003F7416" w:rsidRPr="00C866C4" w:rsidRDefault="003F7416" w:rsidP="00C866C4">
      <w:pPr>
        <w:pStyle w:val="EndNoteBibliography"/>
        <w:spacing w:after="0"/>
        <w:rPr>
          <w:noProof/>
        </w:rPr>
      </w:pPr>
    </w:p>
    <w:p w14:paraId="0B014B66" w14:textId="77777777" w:rsidR="003F7416" w:rsidRPr="00C866C4" w:rsidRDefault="003F7416" w:rsidP="00C866C4">
      <w:pPr>
        <w:pStyle w:val="EndNoteBibliography"/>
        <w:rPr>
          <w:noProof/>
        </w:rPr>
      </w:pPr>
      <w:r w:rsidRPr="00C866C4">
        <w:rPr>
          <w:noProof/>
        </w:rPr>
        <w:t>Foias, Antonia E., and Ronald L. Bishop</w:t>
      </w:r>
    </w:p>
    <w:p w14:paraId="4BB64951" w14:textId="77777777" w:rsidR="003F7416" w:rsidRPr="00C866C4" w:rsidRDefault="003F7416" w:rsidP="00C866C4">
      <w:pPr>
        <w:pStyle w:val="EndNoteBibliography"/>
        <w:ind w:left="720" w:hanging="720"/>
        <w:rPr>
          <w:noProof/>
        </w:rPr>
      </w:pPr>
      <w:r w:rsidRPr="00C866C4">
        <w:rPr>
          <w:noProof/>
        </w:rPr>
        <w:tab/>
        <w:t>2013</w:t>
      </w:r>
      <w:r w:rsidRPr="00C866C4">
        <w:rPr>
          <w:noProof/>
        </w:rPr>
        <w:tab/>
      </w:r>
      <w:r w:rsidRPr="00C866C4">
        <w:rPr>
          <w:i/>
          <w:noProof/>
        </w:rPr>
        <w:t>Ceramics, Production, and Exchange in the Petexbatun Region: The Economic Parameters of the Classic Maya Collapse</w:t>
      </w:r>
      <w:r w:rsidRPr="00C866C4">
        <w:rPr>
          <w:noProof/>
        </w:rPr>
        <w:t>. Vanderbilt Institute of Mesoamerican Archaeology Series 7. Vanderbilt University Press, Nashville.</w:t>
      </w:r>
    </w:p>
    <w:p w14:paraId="2B278A49" w14:textId="77777777" w:rsidR="003F7416" w:rsidRPr="00C866C4" w:rsidRDefault="003F7416" w:rsidP="00C866C4">
      <w:pPr>
        <w:pStyle w:val="EndNoteBibliography"/>
        <w:spacing w:after="0"/>
        <w:rPr>
          <w:noProof/>
        </w:rPr>
      </w:pPr>
    </w:p>
    <w:p w14:paraId="26F0CE8A" w14:textId="77777777" w:rsidR="003F7416" w:rsidRPr="00C866C4" w:rsidRDefault="003F7416" w:rsidP="00C866C4">
      <w:pPr>
        <w:pStyle w:val="EndNoteBibliography"/>
        <w:rPr>
          <w:noProof/>
        </w:rPr>
      </w:pPr>
      <w:r w:rsidRPr="00C866C4">
        <w:rPr>
          <w:noProof/>
        </w:rPr>
        <w:t>Inomata, Takeshi, Raúl Ortiz, Bárbara Arroyo, and Eugenia J. Robinson</w:t>
      </w:r>
    </w:p>
    <w:p w14:paraId="7F304A90" w14:textId="77777777" w:rsidR="003F7416" w:rsidRPr="00C866C4" w:rsidRDefault="003F7416" w:rsidP="00C866C4">
      <w:pPr>
        <w:pStyle w:val="EndNoteBibliography"/>
        <w:ind w:left="720" w:hanging="720"/>
        <w:rPr>
          <w:noProof/>
        </w:rPr>
      </w:pPr>
      <w:r w:rsidRPr="00C866C4">
        <w:rPr>
          <w:noProof/>
        </w:rPr>
        <w:lastRenderedPageBreak/>
        <w:tab/>
        <w:t>2014</w:t>
      </w:r>
      <w:r w:rsidRPr="00C866C4">
        <w:rPr>
          <w:noProof/>
        </w:rPr>
        <w:tab/>
        <w:t xml:space="preserve">Chronological Revision of Preclassic Kaminaljuyú, Guatemala: Implications for Social Processes in the Southern Maya Area. </w:t>
      </w:r>
      <w:r w:rsidRPr="00C866C4">
        <w:rPr>
          <w:i/>
          <w:noProof/>
        </w:rPr>
        <w:t>Latin American Antiquity</w:t>
      </w:r>
      <w:r w:rsidRPr="00C866C4">
        <w:rPr>
          <w:noProof/>
        </w:rPr>
        <w:t xml:space="preserve"> 25(4):377–408.</w:t>
      </w:r>
    </w:p>
    <w:p w14:paraId="7AA96C9F" w14:textId="77777777" w:rsidR="003F7416" w:rsidRPr="00C866C4" w:rsidRDefault="003F7416" w:rsidP="00C866C4">
      <w:pPr>
        <w:pStyle w:val="EndNoteBibliography"/>
        <w:spacing w:after="0"/>
        <w:rPr>
          <w:noProof/>
        </w:rPr>
      </w:pPr>
    </w:p>
    <w:p w14:paraId="50B908C5" w14:textId="77777777" w:rsidR="003F7416" w:rsidRPr="00C866C4" w:rsidRDefault="003F7416" w:rsidP="00C866C4">
      <w:pPr>
        <w:pStyle w:val="EndNoteBibliography"/>
        <w:rPr>
          <w:noProof/>
        </w:rPr>
      </w:pPr>
      <w:r w:rsidRPr="00C866C4">
        <w:rPr>
          <w:noProof/>
        </w:rPr>
        <w:t>Johnston, Kevin J.</w:t>
      </w:r>
    </w:p>
    <w:p w14:paraId="39CF9B2D" w14:textId="78ACE243" w:rsidR="003F7416" w:rsidRPr="00C866C4" w:rsidRDefault="003F7416" w:rsidP="009963AA">
      <w:pPr>
        <w:pStyle w:val="EndNoteBibliography"/>
        <w:ind w:left="720" w:hanging="720"/>
        <w:rPr>
          <w:noProof/>
        </w:rPr>
      </w:pPr>
      <w:r w:rsidRPr="00C866C4">
        <w:rPr>
          <w:noProof/>
        </w:rPr>
        <w:tab/>
        <w:t>2002</w:t>
      </w:r>
      <w:r w:rsidRPr="00C866C4">
        <w:rPr>
          <w:noProof/>
        </w:rPr>
        <w:tab/>
        <w:t xml:space="preserve">Protrusion, Bioturbation, and Settlement Detection During Surface Survey: The Lowland Maya Case. </w:t>
      </w:r>
      <w:r w:rsidRPr="00C866C4">
        <w:rPr>
          <w:i/>
          <w:noProof/>
        </w:rPr>
        <w:t>Journal of Archaeological Method and Theory</w:t>
      </w:r>
      <w:r w:rsidRPr="00C866C4">
        <w:rPr>
          <w:noProof/>
        </w:rPr>
        <w:t xml:space="preserve"> 9(1):1–67.</w:t>
      </w:r>
    </w:p>
    <w:p w14:paraId="6C80D9D9" w14:textId="77777777" w:rsidR="003F7416" w:rsidRPr="00C866C4" w:rsidRDefault="003F7416" w:rsidP="00C866C4">
      <w:pPr>
        <w:pStyle w:val="EndNoteBibliography"/>
        <w:rPr>
          <w:noProof/>
        </w:rPr>
      </w:pPr>
      <w:r w:rsidRPr="00C866C4">
        <w:rPr>
          <w:noProof/>
        </w:rPr>
        <w:tab/>
        <w:t>2004</w:t>
      </w:r>
      <w:r w:rsidRPr="00C866C4">
        <w:rPr>
          <w:noProof/>
        </w:rPr>
        <w:tab/>
        <w:t xml:space="preserve">The “Invisible” Maya: Minimally Mounded Residential Settlement at Itzán, Petén, Guatemala. </w:t>
      </w:r>
      <w:r w:rsidRPr="00C866C4">
        <w:rPr>
          <w:i/>
          <w:noProof/>
        </w:rPr>
        <w:t>Latin American Antiquity</w:t>
      </w:r>
      <w:r w:rsidRPr="00C866C4">
        <w:rPr>
          <w:noProof/>
        </w:rPr>
        <w:t xml:space="preserve"> 15(2):145–175.</w:t>
      </w:r>
    </w:p>
    <w:p w14:paraId="26324522" w14:textId="77777777" w:rsidR="003F7416" w:rsidRPr="00C866C4" w:rsidRDefault="003F7416" w:rsidP="00C866C4">
      <w:pPr>
        <w:pStyle w:val="EndNoteBibliography"/>
        <w:spacing w:after="0"/>
        <w:rPr>
          <w:noProof/>
        </w:rPr>
      </w:pPr>
    </w:p>
    <w:p w14:paraId="7192E105" w14:textId="77777777" w:rsidR="003F7416" w:rsidRPr="00C866C4" w:rsidRDefault="003F7416" w:rsidP="00C866C4">
      <w:pPr>
        <w:pStyle w:val="EndNoteBibliography"/>
        <w:rPr>
          <w:noProof/>
        </w:rPr>
      </w:pPr>
      <w:r w:rsidRPr="00C866C4">
        <w:rPr>
          <w:noProof/>
        </w:rPr>
        <w:t>Laporte, Juan Pedro</w:t>
      </w:r>
    </w:p>
    <w:p w14:paraId="2ACF7B72" w14:textId="2576FAC5" w:rsidR="003F7416" w:rsidRPr="00C866C4" w:rsidRDefault="003F7416" w:rsidP="00C866C4">
      <w:pPr>
        <w:pStyle w:val="EndNoteBibliography"/>
        <w:ind w:left="720" w:hanging="720"/>
        <w:rPr>
          <w:noProof/>
        </w:rPr>
      </w:pPr>
      <w:r w:rsidRPr="00C866C4">
        <w:rPr>
          <w:noProof/>
        </w:rPr>
        <w:tab/>
        <w:t>1995</w:t>
      </w:r>
      <w:r w:rsidRPr="00C866C4">
        <w:rPr>
          <w:noProof/>
        </w:rPr>
        <w:tab/>
        <w:t xml:space="preserve">¿Despoblamiento </w:t>
      </w:r>
      <w:r w:rsidR="009963AA">
        <w:rPr>
          <w:noProof/>
        </w:rPr>
        <w:t>o</w:t>
      </w:r>
      <w:r w:rsidRPr="00C866C4">
        <w:rPr>
          <w:noProof/>
        </w:rPr>
        <w:t xml:space="preserve"> </w:t>
      </w:r>
      <w:r w:rsidR="009963AA">
        <w:rPr>
          <w:noProof/>
        </w:rPr>
        <w:t>p</w:t>
      </w:r>
      <w:r w:rsidRPr="00C866C4">
        <w:rPr>
          <w:noProof/>
        </w:rPr>
        <w:t xml:space="preserve">roblema </w:t>
      </w:r>
      <w:r w:rsidR="009963AA">
        <w:rPr>
          <w:noProof/>
        </w:rPr>
        <w:t>a</w:t>
      </w:r>
      <w:r w:rsidRPr="00C866C4">
        <w:rPr>
          <w:noProof/>
        </w:rPr>
        <w:t xml:space="preserve">nalítico? El Clásico Temprano </w:t>
      </w:r>
      <w:r w:rsidR="009963AA">
        <w:rPr>
          <w:noProof/>
        </w:rPr>
        <w:t>e</w:t>
      </w:r>
      <w:r w:rsidRPr="00C866C4">
        <w:rPr>
          <w:noProof/>
        </w:rPr>
        <w:t xml:space="preserve">n </w:t>
      </w:r>
      <w:r w:rsidR="009963AA">
        <w:rPr>
          <w:noProof/>
        </w:rPr>
        <w:t>e</w:t>
      </w:r>
      <w:r w:rsidRPr="00C866C4">
        <w:rPr>
          <w:noProof/>
        </w:rPr>
        <w:t xml:space="preserve">l </w:t>
      </w:r>
      <w:r w:rsidR="009963AA">
        <w:rPr>
          <w:noProof/>
        </w:rPr>
        <w:t>s</w:t>
      </w:r>
      <w:r w:rsidRPr="00C866C4">
        <w:rPr>
          <w:noProof/>
        </w:rPr>
        <w:t xml:space="preserve">ureste </w:t>
      </w:r>
      <w:r w:rsidR="009963AA">
        <w:rPr>
          <w:noProof/>
        </w:rPr>
        <w:t>d</w:t>
      </w:r>
      <w:r w:rsidRPr="00C866C4">
        <w:rPr>
          <w:noProof/>
        </w:rPr>
        <w:t>e Petén</w:t>
      </w:r>
      <w:r w:rsidRPr="00C866C4">
        <w:rPr>
          <w:i/>
          <w:noProof/>
        </w:rPr>
        <w:t>.</w:t>
      </w:r>
      <w:r w:rsidRPr="00C866C4">
        <w:rPr>
          <w:noProof/>
        </w:rPr>
        <w:t xml:space="preserve"> In </w:t>
      </w:r>
      <w:r w:rsidRPr="00C866C4">
        <w:rPr>
          <w:i/>
          <w:noProof/>
        </w:rPr>
        <w:t>V</w:t>
      </w:r>
      <w:r w:rsidR="009963AA">
        <w:rPr>
          <w:i/>
          <w:noProof/>
        </w:rPr>
        <w:t>III</w:t>
      </w:r>
      <w:r w:rsidRPr="00C866C4">
        <w:rPr>
          <w:i/>
          <w:noProof/>
        </w:rPr>
        <w:t xml:space="preserve"> Simposio </w:t>
      </w:r>
      <w:r w:rsidR="009963AA">
        <w:rPr>
          <w:i/>
          <w:noProof/>
        </w:rPr>
        <w:t>d</w:t>
      </w:r>
      <w:r w:rsidRPr="00C866C4">
        <w:rPr>
          <w:i/>
          <w:noProof/>
        </w:rPr>
        <w:t xml:space="preserve">e </w:t>
      </w:r>
      <w:r w:rsidR="009963AA">
        <w:rPr>
          <w:i/>
          <w:noProof/>
        </w:rPr>
        <w:t>i</w:t>
      </w:r>
      <w:r w:rsidRPr="00C866C4">
        <w:rPr>
          <w:i/>
          <w:noProof/>
        </w:rPr>
        <w:t xml:space="preserve">nvestigaciones </w:t>
      </w:r>
      <w:r w:rsidR="009963AA">
        <w:rPr>
          <w:i/>
          <w:noProof/>
        </w:rPr>
        <w:t>a</w:t>
      </w:r>
      <w:r w:rsidRPr="00C866C4">
        <w:rPr>
          <w:i/>
          <w:noProof/>
        </w:rPr>
        <w:t>rqueoló</w:t>
      </w:r>
      <w:r w:rsidR="009963AA">
        <w:rPr>
          <w:i/>
          <w:noProof/>
        </w:rPr>
        <w:t>g</w:t>
      </w:r>
      <w:r w:rsidRPr="00C866C4">
        <w:rPr>
          <w:i/>
          <w:noProof/>
        </w:rPr>
        <w:t xml:space="preserve">icas </w:t>
      </w:r>
      <w:r w:rsidR="009963AA">
        <w:rPr>
          <w:i/>
          <w:noProof/>
        </w:rPr>
        <w:t>e</w:t>
      </w:r>
      <w:r w:rsidRPr="00C866C4">
        <w:rPr>
          <w:i/>
          <w:noProof/>
        </w:rPr>
        <w:t>n Guatemala, 1994</w:t>
      </w:r>
      <w:r w:rsidRPr="00C866C4">
        <w:rPr>
          <w:noProof/>
        </w:rPr>
        <w:t>, edited by Juan Pedro Laporte, and Héctor L. Escobedo Ayala, pp. 609–639. Museo Nacional de Arqueología y Etnología, Guatemala.</w:t>
      </w:r>
    </w:p>
    <w:p w14:paraId="74BF9D5A" w14:textId="77777777" w:rsidR="003F7416" w:rsidRPr="00C866C4" w:rsidRDefault="003F7416" w:rsidP="00C866C4">
      <w:pPr>
        <w:pStyle w:val="EndNoteBibliography"/>
        <w:spacing w:after="0"/>
        <w:rPr>
          <w:noProof/>
        </w:rPr>
      </w:pPr>
    </w:p>
    <w:p w14:paraId="760476D6" w14:textId="77777777" w:rsidR="003F7416" w:rsidRPr="00C866C4" w:rsidRDefault="003F7416" w:rsidP="00C866C4">
      <w:pPr>
        <w:pStyle w:val="EndNoteBibliography"/>
        <w:rPr>
          <w:noProof/>
        </w:rPr>
      </w:pPr>
      <w:r w:rsidRPr="00C866C4">
        <w:rPr>
          <w:noProof/>
        </w:rPr>
        <w:t>LeCount, Lisa J., Chester P. Walker, John H. Blitz, and Ted C. Nelson</w:t>
      </w:r>
    </w:p>
    <w:p w14:paraId="244FD45F" w14:textId="77777777" w:rsidR="003F7416" w:rsidRPr="00C866C4" w:rsidRDefault="003F7416" w:rsidP="00C866C4">
      <w:pPr>
        <w:pStyle w:val="EndNoteBibliography"/>
        <w:ind w:left="720" w:hanging="720"/>
        <w:rPr>
          <w:noProof/>
        </w:rPr>
      </w:pPr>
      <w:r w:rsidRPr="00C866C4">
        <w:rPr>
          <w:noProof/>
        </w:rPr>
        <w:tab/>
        <w:t>2019</w:t>
      </w:r>
      <w:r w:rsidRPr="00C866C4">
        <w:rPr>
          <w:noProof/>
        </w:rPr>
        <w:tab/>
        <w:t xml:space="preserve">Land Tenure Systems at the Ancient Maya Site of Actuncan, Belize. </w:t>
      </w:r>
      <w:r w:rsidRPr="00C866C4">
        <w:rPr>
          <w:i/>
          <w:noProof/>
        </w:rPr>
        <w:t>Latin American Antiquity</w:t>
      </w:r>
      <w:r w:rsidRPr="00C866C4">
        <w:rPr>
          <w:noProof/>
        </w:rPr>
        <w:t xml:space="preserve"> 30(2):245–265.</w:t>
      </w:r>
    </w:p>
    <w:p w14:paraId="25931841" w14:textId="77777777" w:rsidR="003F7416" w:rsidRPr="00C866C4" w:rsidRDefault="003F7416" w:rsidP="00C866C4">
      <w:pPr>
        <w:pStyle w:val="EndNoteBibliography"/>
        <w:spacing w:after="0"/>
        <w:rPr>
          <w:noProof/>
        </w:rPr>
      </w:pPr>
    </w:p>
    <w:p w14:paraId="171643FE" w14:textId="77777777" w:rsidR="003F7416" w:rsidRPr="00C866C4" w:rsidRDefault="003F7416" w:rsidP="00C866C4">
      <w:pPr>
        <w:pStyle w:val="EndNoteBibliography"/>
        <w:rPr>
          <w:noProof/>
        </w:rPr>
      </w:pPr>
      <w:r w:rsidRPr="00C866C4">
        <w:rPr>
          <w:noProof/>
        </w:rPr>
        <w:t>Lincoln, Charles E.</w:t>
      </w:r>
    </w:p>
    <w:p w14:paraId="4C3B1A99" w14:textId="77777777" w:rsidR="003F7416" w:rsidRPr="00C866C4" w:rsidRDefault="003F7416" w:rsidP="00C866C4">
      <w:pPr>
        <w:pStyle w:val="EndNoteBibliography"/>
        <w:ind w:left="720" w:hanging="720"/>
        <w:rPr>
          <w:noProof/>
        </w:rPr>
      </w:pPr>
      <w:r w:rsidRPr="00C866C4">
        <w:rPr>
          <w:noProof/>
        </w:rPr>
        <w:tab/>
        <w:t>1985</w:t>
      </w:r>
      <w:r w:rsidRPr="00C866C4">
        <w:rPr>
          <w:noProof/>
        </w:rPr>
        <w:tab/>
        <w:t>Ceramics and Ceramic Chronology</w:t>
      </w:r>
      <w:r w:rsidRPr="00C866C4">
        <w:rPr>
          <w:i/>
          <w:noProof/>
        </w:rPr>
        <w:t>.</w:t>
      </w:r>
      <w:r w:rsidRPr="00C866C4">
        <w:rPr>
          <w:noProof/>
        </w:rPr>
        <w:t xml:space="preserve"> In </w:t>
      </w:r>
      <w:r w:rsidRPr="00C866C4">
        <w:rPr>
          <w:i/>
          <w:noProof/>
        </w:rPr>
        <w:t>A Consideration of the Early Classic Period in the Maya Lowlands</w:t>
      </w:r>
      <w:r w:rsidRPr="00C866C4">
        <w:rPr>
          <w:noProof/>
        </w:rPr>
        <w:t>, edited by Gordon R. Willey, and Peter L. Mathews, pp. 55–94. Institute for Mesoamerican Studies Publication 10. Institute for Mesoamerican Studies, State University of New York at Albany, Albany.</w:t>
      </w:r>
    </w:p>
    <w:p w14:paraId="127849AF" w14:textId="77777777" w:rsidR="003F7416" w:rsidRPr="00C866C4" w:rsidRDefault="003F7416" w:rsidP="00C866C4">
      <w:pPr>
        <w:pStyle w:val="EndNoteBibliography"/>
        <w:spacing w:after="0"/>
        <w:rPr>
          <w:noProof/>
        </w:rPr>
      </w:pPr>
    </w:p>
    <w:p w14:paraId="2BAF79D8" w14:textId="77777777" w:rsidR="003F7416" w:rsidRPr="00C866C4" w:rsidRDefault="003F7416" w:rsidP="00C866C4">
      <w:pPr>
        <w:pStyle w:val="EndNoteBibliography"/>
        <w:rPr>
          <w:noProof/>
        </w:rPr>
      </w:pPr>
      <w:r w:rsidRPr="00C866C4">
        <w:rPr>
          <w:noProof/>
        </w:rPr>
        <w:t>Pyburn, K. Anne, Boyd Dixon, Patricia Cook, and Anna McNair</w:t>
      </w:r>
    </w:p>
    <w:p w14:paraId="05E220F3" w14:textId="77777777" w:rsidR="003F7416" w:rsidRPr="00C866C4" w:rsidRDefault="003F7416" w:rsidP="00C866C4">
      <w:pPr>
        <w:pStyle w:val="EndNoteBibliography"/>
        <w:ind w:left="720" w:hanging="720"/>
        <w:rPr>
          <w:noProof/>
        </w:rPr>
      </w:pPr>
      <w:r w:rsidRPr="00C866C4">
        <w:rPr>
          <w:noProof/>
        </w:rPr>
        <w:tab/>
        <w:t>1998</w:t>
      </w:r>
      <w:r w:rsidRPr="00C866C4">
        <w:rPr>
          <w:noProof/>
        </w:rPr>
        <w:tab/>
        <w:t xml:space="preserve">The Albion Island Settlement Pattern Project: Domination and Resistance in Early Classic Northern Belize. </w:t>
      </w:r>
      <w:r w:rsidRPr="00C866C4">
        <w:rPr>
          <w:i/>
          <w:noProof/>
        </w:rPr>
        <w:t>Journal of Field Archaeology</w:t>
      </w:r>
      <w:r w:rsidRPr="00C866C4">
        <w:rPr>
          <w:noProof/>
        </w:rPr>
        <w:t xml:space="preserve"> 25(1):37–62.</w:t>
      </w:r>
    </w:p>
    <w:p w14:paraId="4F16B6B6" w14:textId="77777777" w:rsidR="003F7416" w:rsidRPr="00C866C4" w:rsidRDefault="003F7416" w:rsidP="00C866C4">
      <w:pPr>
        <w:pStyle w:val="EndNoteBibliography"/>
        <w:spacing w:after="0"/>
        <w:rPr>
          <w:noProof/>
        </w:rPr>
      </w:pPr>
    </w:p>
    <w:p w14:paraId="356C32F1" w14:textId="77777777" w:rsidR="003F7416" w:rsidRPr="00C866C4" w:rsidRDefault="003F7416" w:rsidP="00C866C4">
      <w:pPr>
        <w:pStyle w:val="EndNoteBibliography"/>
        <w:rPr>
          <w:noProof/>
        </w:rPr>
      </w:pPr>
      <w:r w:rsidRPr="00C866C4">
        <w:rPr>
          <w:noProof/>
        </w:rPr>
        <w:t>Smith, Robert E., and James C. Gifford</w:t>
      </w:r>
    </w:p>
    <w:p w14:paraId="12EB24B1" w14:textId="0624E7AC" w:rsidR="003F7416" w:rsidRPr="00C866C4" w:rsidRDefault="003F7416" w:rsidP="00C866C4">
      <w:pPr>
        <w:pStyle w:val="EndNoteBibliography"/>
        <w:ind w:left="720" w:hanging="720"/>
        <w:rPr>
          <w:noProof/>
        </w:rPr>
      </w:pPr>
      <w:r w:rsidRPr="00C866C4">
        <w:rPr>
          <w:noProof/>
        </w:rPr>
        <w:tab/>
        <w:t>1966</w:t>
      </w:r>
      <w:r w:rsidRPr="00C866C4">
        <w:rPr>
          <w:noProof/>
        </w:rPr>
        <w:tab/>
      </w:r>
      <w:r w:rsidRPr="00C866C4">
        <w:rPr>
          <w:i/>
          <w:noProof/>
        </w:rPr>
        <w:t>Maya Ceramic Varieties, Types, and Wares at Uaxactun: Supplement to “Ceramic Sequence at Uaxactun, Guatemala</w:t>
      </w:r>
      <w:r w:rsidR="009963AA">
        <w:rPr>
          <w:i/>
          <w:noProof/>
        </w:rPr>
        <w:t>.</w:t>
      </w:r>
      <w:r w:rsidRPr="00C866C4">
        <w:rPr>
          <w:i/>
          <w:noProof/>
        </w:rPr>
        <w:t>”</w:t>
      </w:r>
      <w:r w:rsidRPr="00C866C4">
        <w:rPr>
          <w:noProof/>
        </w:rPr>
        <w:t xml:space="preserve"> Middle American Research Institute Publication 28. Tulane University, New Orleans.</w:t>
      </w:r>
    </w:p>
    <w:p w14:paraId="61EB454F" w14:textId="77777777" w:rsidR="003F7416" w:rsidRPr="00C866C4" w:rsidRDefault="003F7416" w:rsidP="00C866C4">
      <w:pPr>
        <w:pStyle w:val="EndNoteBibliography"/>
        <w:spacing w:after="0"/>
        <w:rPr>
          <w:noProof/>
        </w:rPr>
      </w:pPr>
    </w:p>
    <w:p w14:paraId="19CECB95" w14:textId="77777777" w:rsidR="003F7416" w:rsidRPr="00C866C4" w:rsidRDefault="003F7416" w:rsidP="00C866C4">
      <w:pPr>
        <w:pStyle w:val="EndNoteBibliography"/>
        <w:rPr>
          <w:noProof/>
        </w:rPr>
      </w:pPr>
      <w:r w:rsidRPr="00C866C4">
        <w:rPr>
          <w:noProof/>
        </w:rPr>
        <w:t>Źrałka, Jarosław, Bernard Hermes, and Wiesław Koszkul</w:t>
      </w:r>
    </w:p>
    <w:p w14:paraId="406F91CF" w14:textId="50D852D4" w:rsidR="00C57886" w:rsidRDefault="003F7416" w:rsidP="009963AA">
      <w:pPr>
        <w:pStyle w:val="EndNoteBibliography"/>
        <w:ind w:left="720" w:hanging="720"/>
        <w:rPr>
          <w:noProof/>
        </w:rPr>
      </w:pPr>
      <w:r w:rsidRPr="00C866C4">
        <w:rPr>
          <w:noProof/>
        </w:rPr>
        <w:tab/>
        <w:t>2018</w:t>
      </w:r>
      <w:r w:rsidRPr="00C866C4">
        <w:rPr>
          <w:noProof/>
        </w:rPr>
        <w:tab/>
        <w:t xml:space="preserve">Protoclassic: The Maya “Protoclassic” from the Perspective of Recent Research at Nakum, Peten, Guatemala. </w:t>
      </w:r>
      <w:r w:rsidRPr="00C866C4">
        <w:rPr>
          <w:i/>
          <w:noProof/>
        </w:rPr>
        <w:t>Journal of Field Archaeology</w:t>
      </w:r>
      <w:r w:rsidRPr="00C866C4">
        <w:rPr>
          <w:noProof/>
        </w:rPr>
        <w:t xml:space="preserve"> 43(3):236–256.</w:t>
      </w:r>
    </w:p>
    <w:sectPr w:rsidR="00C57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Headings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3F7416"/>
    <w:rsid w:val="0009414C"/>
    <w:rsid w:val="001122E3"/>
    <w:rsid w:val="00217C86"/>
    <w:rsid w:val="002E22DE"/>
    <w:rsid w:val="003B2AAF"/>
    <w:rsid w:val="003F7416"/>
    <w:rsid w:val="00503ACE"/>
    <w:rsid w:val="00597B72"/>
    <w:rsid w:val="007047D4"/>
    <w:rsid w:val="00781B20"/>
    <w:rsid w:val="007A0A6C"/>
    <w:rsid w:val="00975833"/>
    <w:rsid w:val="0098281C"/>
    <w:rsid w:val="009963AA"/>
    <w:rsid w:val="00B15C93"/>
    <w:rsid w:val="00C5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F49F28"/>
  <w15:chartTrackingRefBased/>
  <w15:docId w15:val="{70764C7E-E7F2-0446-904F-6823B277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416"/>
    <w:pPr>
      <w:pBdr>
        <w:top w:val="nil"/>
        <w:left w:val="nil"/>
        <w:bottom w:val="nil"/>
        <w:right w:val="nil"/>
        <w:between w:val="nil"/>
        <w:bar w:val="nil"/>
      </w:pBdr>
      <w:spacing w:after="240" w:line="360" w:lineRule="auto"/>
    </w:pPr>
    <w:rPr>
      <w:rFonts w:ascii="Cambria" w:eastAsia="Arial Unicode MS" w:hAnsi="Cambria" w:cs="Times New Roman"/>
      <w:bdr w:val="nil"/>
    </w:rPr>
  </w:style>
  <w:style w:type="paragraph" w:styleId="Heading3">
    <w:name w:val="heading 3"/>
    <w:basedOn w:val="Normal"/>
    <w:next w:val="Normal"/>
    <w:link w:val="Heading3Char"/>
    <w:uiPriority w:val="9"/>
    <w:unhideWhenUsed/>
    <w:qFormat/>
    <w:rsid w:val="003F7416"/>
    <w:pPr>
      <w:keepNext/>
      <w:keepLines/>
      <w:spacing w:before="240" w:after="0" w:line="480" w:lineRule="auto"/>
      <w:outlineLvl w:val="2"/>
    </w:pPr>
    <w:rPr>
      <w:rFonts w:ascii="Calibri" w:eastAsiaTheme="majorEastAsia" w:hAnsi="Calibri" w:cs="Times New Roman (Headings CS)"/>
      <w:i/>
      <w:color w:val="000000" w:themeColor="text1"/>
    </w:rPr>
  </w:style>
  <w:style w:type="character" w:default="1" w:styleId="DefaultParagraphFont">
    <w:name w:val="Default Paragraph Font"/>
    <w:uiPriority w:val="1"/>
    <w:unhideWhenUsed/>
    <w:rsid w:val="003F74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7416"/>
  </w:style>
  <w:style w:type="character" w:customStyle="1" w:styleId="Heading3Char">
    <w:name w:val="Heading 3 Char"/>
    <w:basedOn w:val="DefaultParagraphFont"/>
    <w:link w:val="Heading3"/>
    <w:uiPriority w:val="9"/>
    <w:rsid w:val="003F7416"/>
    <w:rPr>
      <w:rFonts w:ascii="Calibri" w:eastAsiaTheme="majorEastAsia" w:hAnsi="Calibri" w:cs="Times New Roman (Headings CS)"/>
      <w:i/>
      <w:color w:val="000000" w:themeColor="text1"/>
      <w:bdr w:val="nil"/>
    </w:rPr>
  </w:style>
  <w:style w:type="paragraph" w:customStyle="1" w:styleId="EndNoteBibliographyTitle">
    <w:name w:val="EndNote Bibliography Title"/>
    <w:basedOn w:val="Normal"/>
    <w:link w:val="EndNoteBibliographyTitleChar"/>
    <w:rsid w:val="003F7416"/>
    <w:pPr>
      <w:spacing w:after="0"/>
      <w:jc w:val="center"/>
    </w:pPr>
  </w:style>
  <w:style w:type="character" w:customStyle="1" w:styleId="EndNoteBibliographyTitleChar">
    <w:name w:val="EndNote Bibliography Title Char"/>
    <w:basedOn w:val="DefaultParagraphFont"/>
    <w:link w:val="EndNoteBibliographyTitle"/>
    <w:rsid w:val="003F7416"/>
    <w:rPr>
      <w:rFonts w:ascii="Cambria" w:eastAsia="Arial Unicode MS" w:hAnsi="Cambria" w:cs="Times New Roman"/>
      <w:bdr w:val="nil"/>
    </w:rPr>
  </w:style>
  <w:style w:type="paragraph" w:customStyle="1" w:styleId="EndNoteBibliography">
    <w:name w:val="EndNote Bibliography"/>
    <w:basedOn w:val="Normal"/>
    <w:link w:val="EndNoteBibliographyChar"/>
    <w:rsid w:val="003F7416"/>
    <w:pPr>
      <w:spacing w:line="240" w:lineRule="auto"/>
    </w:pPr>
  </w:style>
  <w:style w:type="character" w:customStyle="1" w:styleId="EndNoteBibliographyChar">
    <w:name w:val="EndNote Bibliography Char"/>
    <w:basedOn w:val="DefaultParagraphFont"/>
    <w:link w:val="EndNoteBibliography"/>
    <w:rsid w:val="003F7416"/>
    <w:rPr>
      <w:rFonts w:ascii="Cambria" w:eastAsia="Arial Unicode MS" w:hAnsi="Cambria"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1214</Words>
  <Characters>6926</Characters>
  <Application>Microsoft Office Word</Application>
  <DocSecurity>0</DocSecurity>
  <Lines>57</Lines>
  <Paragraphs>16</Paragraphs>
  <ScaleCrop>false</ScaleCrop>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Eberl, Markus</dc:creator>
  <cp:keywords/>
  <dc:description/>
  <cp:lastModifiedBy>Eberl, Markus</cp:lastModifiedBy>
  <cp:revision>2</cp:revision>
  <dcterms:created xsi:type="dcterms:W3CDTF">2022-06-29T21:44:00Z</dcterms:created>
  <dcterms:modified xsi:type="dcterms:W3CDTF">2022-06-29T21:46:00Z</dcterms:modified>
</cp:coreProperties>
</file>