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E0A" w14:textId="77777777" w:rsidR="00B74230" w:rsidRDefault="00B74230" w:rsidP="00C14D27">
      <w:pPr>
        <w:pStyle w:val="Heading3"/>
      </w:pPr>
      <w:proofErr w:type="spellStart"/>
      <w:r>
        <w:rPr>
          <w:lang w:val="fr-FR"/>
        </w:rPr>
        <w:t>Supplemental</w:t>
      </w:r>
      <w:proofErr w:type="spellEnd"/>
      <w:r>
        <w:rPr>
          <w:lang w:val="fr-FR"/>
        </w:rPr>
        <w:t xml:space="preserve"> Table 1.</w:t>
      </w:r>
    </w:p>
    <w:p w14:paraId="66B52D68" w14:textId="77777777" w:rsidR="00B74230" w:rsidRDefault="00B74230" w:rsidP="00C14D27">
      <w:r>
        <w:t xml:space="preserve">Supplemental Table 1. Ceramic assemblage from </w:t>
      </w:r>
      <w:proofErr w:type="spellStart"/>
      <w:r>
        <w:t>Tamarindito</w:t>
      </w:r>
      <w:proofErr w:type="spellEnd"/>
      <w:r>
        <w:t xml:space="preserve"> Structure 6BP-5 (TM28A, Unit 1).</w:t>
      </w:r>
    </w:p>
    <w:tbl>
      <w:tblPr>
        <w:tblW w:w="86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4"/>
        <w:gridCol w:w="753"/>
        <w:gridCol w:w="822"/>
        <w:gridCol w:w="850"/>
        <w:gridCol w:w="732"/>
        <w:gridCol w:w="803"/>
        <w:gridCol w:w="843"/>
        <w:gridCol w:w="863"/>
        <w:gridCol w:w="626"/>
        <w:gridCol w:w="714"/>
        <w:gridCol w:w="800"/>
      </w:tblGrid>
      <w:tr w:rsidR="00B74230" w:rsidRPr="00952261" w14:paraId="5265BD07" w14:textId="77777777" w:rsidTr="00E30317">
        <w:trPr>
          <w:trHeight w:val="6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DE93" w14:textId="77777777" w:rsidR="00B74230" w:rsidRPr="00952261" w:rsidRDefault="00B74230" w:rsidP="00E30317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878B" w14:textId="77777777" w:rsidR="00B74230" w:rsidRPr="00952261" w:rsidRDefault="00B74230" w:rsidP="00E30317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A6AD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Late Classic ceramic groups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A1E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Early Classic ceramic groups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90A0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 xml:space="preserve">Late </w:t>
            </w:r>
            <w:proofErr w:type="spellStart"/>
            <w:r w:rsidRPr="00952261">
              <w:rPr>
                <w:sz w:val="16"/>
                <w:szCs w:val="16"/>
              </w:rPr>
              <w:t>Preclassic</w:t>
            </w:r>
            <w:proofErr w:type="spellEnd"/>
            <w:r w:rsidRPr="00952261">
              <w:rPr>
                <w:sz w:val="16"/>
                <w:szCs w:val="16"/>
              </w:rPr>
              <w:t xml:space="preserve"> ceramic groups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07CB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Eroded</w:t>
            </w:r>
          </w:p>
        </w:tc>
      </w:tr>
      <w:tr w:rsidR="00B74230" w:rsidRPr="00952261" w14:paraId="77053BF4" w14:textId="77777777" w:rsidTr="00E30317">
        <w:trPr>
          <w:trHeight w:val="4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DEC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Context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1B2F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 xml:space="preserve"># </w:t>
            </w:r>
            <w:proofErr w:type="gramStart"/>
            <w:r w:rsidRPr="00952261">
              <w:rPr>
                <w:sz w:val="16"/>
                <w:szCs w:val="16"/>
              </w:rPr>
              <w:t>of</w:t>
            </w:r>
            <w:proofErr w:type="gramEnd"/>
            <w:r w:rsidRPr="00952261">
              <w:rPr>
                <w:sz w:val="16"/>
                <w:szCs w:val="16"/>
              </w:rPr>
              <w:t xml:space="preserve"> sherds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B99C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Cambio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5FDB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Palmar-</w:t>
            </w:r>
            <w:proofErr w:type="spellStart"/>
            <w:r w:rsidRPr="00952261">
              <w:rPr>
                <w:sz w:val="16"/>
                <w:szCs w:val="16"/>
              </w:rPr>
              <w:t>Zacatal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014A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Tinaja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5E94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Quintal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46C8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proofErr w:type="spellStart"/>
            <w:r w:rsidRPr="00952261">
              <w:rPr>
                <w:sz w:val="16"/>
                <w:szCs w:val="16"/>
              </w:rPr>
              <w:t>Balanza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3986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Dos Arroyos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C5D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proofErr w:type="spellStart"/>
            <w:r w:rsidRPr="00952261">
              <w:rPr>
                <w:sz w:val="16"/>
                <w:szCs w:val="16"/>
              </w:rPr>
              <w:t>Flor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BD4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proofErr w:type="spellStart"/>
            <w:r w:rsidRPr="00952261">
              <w:rPr>
                <w:sz w:val="16"/>
                <w:szCs w:val="16"/>
              </w:rPr>
              <w:t>Iberia</w:t>
            </w:r>
            <w:r w:rsidRPr="00952261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7318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</w:p>
        </w:tc>
      </w:tr>
      <w:tr w:rsidR="00B74230" w:rsidRPr="00952261" w14:paraId="68288969" w14:textId="77777777" w:rsidTr="00E30317">
        <w:trPr>
          <w:trHeight w:val="4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F07C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Topsoil (1-1)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8DCE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D99F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47.1%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9508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5.9%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3FCD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11.8%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8AE4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2A7D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D93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408E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8F49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953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17.7%</w:t>
            </w:r>
          </w:p>
        </w:tc>
      </w:tr>
      <w:tr w:rsidR="00B74230" w:rsidRPr="00952261" w14:paraId="772B8BC7" w14:textId="77777777" w:rsidTr="00E30317">
        <w:trPr>
          <w:trHeight w:val="46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70B6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proofErr w:type="spellStart"/>
            <w:r w:rsidRPr="00952261">
              <w:rPr>
                <w:sz w:val="16"/>
                <w:szCs w:val="16"/>
              </w:rPr>
              <w:t>Wallfall</w:t>
            </w:r>
            <w:proofErr w:type="spellEnd"/>
            <w:r w:rsidRPr="00952261">
              <w:rPr>
                <w:sz w:val="16"/>
                <w:szCs w:val="16"/>
              </w:rPr>
              <w:t xml:space="preserve"> (2-1)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E1B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FD0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45.0%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BD5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5.0%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F370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20.0%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0B2C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57A6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4BC8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EE4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0398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A3FB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27.5%</w:t>
            </w:r>
          </w:p>
        </w:tc>
      </w:tr>
      <w:tr w:rsidR="00B74230" w:rsidRPr="00952261" w14:paraId="549DFF95" w14:textId="77777777" w:rsidTr="00E30317">
        <w:trPr>
          <w:trHeight w:val="112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48F4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Floor 1 and fill (3-1, 4-1, and 4-2)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A12A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10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31.4%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7105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19.2%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97BE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25.3%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4670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1E89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648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8B81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7C1A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B9AC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20.5%</w:t>
            </w:r>
          </w:p>
        </w:tc>
      </w:tr>
      <w:tr w:rsidR="00B74230" w:rsidRPr="00952261" w14:paraId="5199AD4B" w14:textId="77777777" w:rsidTr="00E30317">
        <w:trPr>
          <w:trHeight w:val="11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D9F5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Floor 2 and fill (3-2 and 4-3)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7C40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5A79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34.9%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A8C6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24.2%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A572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19.7%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E77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E2DF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5269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7855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4E30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6447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19.7%</w:t>
            </w:r>
          </w:p>
        </w:tc>
      </w:tr>
      <w:tr w:rsidR="00B74230" w:rsidRPr="00952261" w14:paraId="3B541E20" w14:textId="77777777" w:rsidTr="00E30317">
        <w:trPr>
          <w:trHeight w:val="11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E440" w14:textId="77777777" w:rsidR="00B74230" w:rsidRPr="00952261" w:rsidRDefault="00B74230" w:rsidP="00E30317">
            <w:pPr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Floor 3 and fill (4-4 and 4-</w:t>
            </w:r>
            <w:proofErr w:type="gramStart"/>
            <w:r w:rsidRPr="00952261">
              <w:rPr>
                <w:sz w:val="16"/>
                <w:szCs w:val="16"/>
              </w:rPr>
              <w:t>5)</w:t>
            </w:r>
            <w:r w:rsidRPr="00952261">
              <w:rPr>
                <w:sz w:val="16"/>
                <w:szCs w:val="16"/>
                <w:vertAlign w:val="superscript"/>
              </w:rPr>
              <w:t>b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2D90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BDA3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E544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2D61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CD9C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4.9%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BEAD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2.4%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C6FD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2.4%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D771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7.3%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C385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4.9%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AB5E" w14:textId="77777777" w:rsidR="00B74230" w:rsidRPr="00952261" w:rsidRDefault="00B74230" w:rsidP="00E30317">
            <w:pPr>
              <w:jc w:val="right"/>
              <w:rPr>
                <w:sz w:val="16"/>
                <w:szCs w:val="16"/>
              </w:rPr>
            </w:pPr>
            <w:r w:rsidRPr="00952261">
              <w:rPr>
                <w:sz w:val="16"/>
                <w:szCs w:val="16"/>
              </w:rPr>
              <w:t>75.6%</w:t>
            </w:r>
          </w:p>
        </w:tc>
      </w:tr>
    </w:tbl>
    <w:p w14:paraId="25147776" w14:textId="77777777" w:rsidR="00B74230" w:rsidRDefault="00B74230" w:rsidP="00C14D27">
      <w:r>
        <w:t>a. The Iberia ceramic group may alternatively date to the Early Classic (</w:t>
      </w:r>
      <w:proofErr w:type="spellStart"/>
      <w:r>
        <w:rPr>
          <w:noProof/>
        </w:rPr>
        <w:t>Foias</w:t>
      </w:r>
      <w:proofErr w:type="spellEnd"/>
      <w:r>
        <w:rPr>
          <w:noProof/>
        </w:rPr>
        <w:t xml:space="preserve"> and Bishop 2013</w:t>
      </w:r>
      <w:r>
        <w:t>:108).</w:t>
      </w:r>
    </w:p>
    <w:p w14:paraId="1D37A86F" w14:textId="77777777" w:rsidR="00B74230" w:rsidRDefault="00B74230" w:rsidP="00C14D27">
      <w:r>
        <w:t xml:space="preserve">b. </w:t>
      </w:r>
      <w:r w:rsidRPr="00181C65">
        <w:t>The bottom of the looter</w:t>
      </w:r>
      <w:r>
        <w:t>’</w:t>
      </w:r>
      <w:r w:rsidRPr="00181C65">
        <w:t xml:space="preserve">s pit reached a few centimeters below Floor 3. While cleaning it, the excavators bagged six loose Late Classic sherds. The adhering </w:t>
      </w:r>
      <w:r>
        <w:t xml:space="preserve">soil </w:t>
      </w:r>
      <w:r w:rsidRPr="00181C65">
        <w:t>indicates that they fell from the upper floors. These sherds are omitted from this table.</w:t>
      </w:r>
    </w:p>
    <w:p w14:paraId="7B45777F" w14:textId="77777777" w:rsidR="00B74230" w:rsidRDefault="00B74230"/>
    <w:p w14:paraId="330646C9" w14:textId="77777777" w:rsidR="00B74230" w:rsidRPr="006E087C" w:rsidRDefault="00B74230">
      <w:pPr>
        <w:rPr>
          <w:b/>
          <w:bCs/>
        </w:rPr>
      </w:pPr>
      <w:r w:rsidRPr="006E087C">
        <w:rPr>
          <w:b/>
          <w:bCs/>
        </w:rPr>
        <w:t>Reference</w:t>
      </w:r>
    </w:p>
    <w:p w14:paraId="12D66C68" w14:textId="77777777" w:rsidR="00B74230" w:rsidRPr="006E087C" w:rsidRDefault="00B74230" w:rsidP="006E087C">
      <w:pPr>
        <w:pStyle w:val="EndNoteBibliography"/>
        <w:rPr>
          <w:noProof/>
        </w:rPr>
      </w:pPr>
      <w:r w:rsidRPr="006E087C">
        <w:rPr>
          <w:noProof/>
        </w:rPr>
        <w:t>Foias, Antonia E., and Ronald L. Bishop</w:t>
      </w:r>
    </w:p>
    <w:p w14:paraId="18BF0D9E" w14:textId="5895AC39" w:rsidR="00C57886" w:rsidRDefault="00B74230" w:rsidP="00B74230">
      <w:pPr>
        <w:pStyle w:val="EndNoteBibliography"/>
        <w:ind w:left="720" w:hanging="720"/>
        <w:rPr>
          <w:noProof/>
        </w:rPr>
      </w:pPr>
      <w:r w:rsidRPr="006E087C">
        <w:rPr>
          <w:noProof/>
        </w:rPr>
        <w:tab/>
        <w:t>2013</w:t>
      </w:r>
      <w:r w:rsidRPr="006E087C">
        <w:rPr>
          <w:noProof/>
        </w:rPr>
        <w:tab/>
      </w:r>
      <w:r w:rsidRPr="006E087C">
        <w:rPr>
          <w:i/>
          <w:noProof/>
        </w:rPr>
        <w:t>Ceramics, Production, and Exchange in the Petexbatun Region: The Economic Parameters of the Classic Maya Collapse</w:t>
      </w:r>
      <w:r w:rsidRPr="006E087C">
        <w:rPr>
          <w:noProof/>
        </w:rPr>
        <w:t>. Vanderbilt Institute of Mesoamerican Archaeology Series 7. Vanderbilt University Press, Nashville.</w:t>
      </w:r>
    </w:p>
    <w:sectPr w:rsidR="00C5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74230"/>
    <w:rsid w:val="0009414C"/>
    <w:rsid w:val="001122E3"/>
    <w:rsid w:val="00217C86"/>
    <w:rsid w:val="002E22DE"/>
    <w:rsid w:val="003B2AAF"/>
    <w:rsid w:val="00503ACE"/>
    <w:rsid w:val="00597B72"/>
    <w:rsid w:val="007047D4"/>
    <w:rsid w:val="00781B20"/>
    <w:rsid w:val="007A0A6C"/>
    <w:rsid w:val="00975833"/>
    <w:rsid w:val="0098281C"/>
    <w:rsid w:val="00B15C93"/>
    <w:rsid w:val="00B74230"/>
    <w:rsid w:val="00C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F1E99"/>
  <w15:chartTrackingRefBased/>
  <w15:docId w15:val="{F932E12A-713C-A042-B3A4-B106CE1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30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</w:pPr>
    <w:rPr>
      <w:rFonts w:ascii="Cambria" w:eastAsia="Arial Unicode MS" w:hAnsi="Cambria" w:cs="Times New Roman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230"/>
    <w:pPr>
      <w:keepNext/>
      <w:keepLines/>
      <w:spacing w:before="240" w:after="0" w:line="480" w:lineRule="auto"/>
      <w:outlineLvl w:val="2"/>
    </w:pPr>
    <w:rPr>
      <w:rFonts w:ascii="Calibri" w:eastAsiaTheme="majorEastAsia" w:hAnsi="Calibri" w:cs="Times New Roman (Headings CS)"/>
      <w:i/>
      <w:color w:val="000000" w:themeColor="text1"/>
    </w:rPr>
  </w:style>
  <w:style w:type="character" w:default="1" w:styleId="DefaultParagraphFont">
    <w:name w:val="Default Paragraph Font"/>
    <w:uiPriority w:val="1"/>
    <w:unhideWhenUsed/>
    <w:rsid w:val="00B742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4230"/>
  </w:style>
  <w:style w:type="character" w:customStyle="1" w:styleId="Heading3Char">
    <w:name w:val="Heading 3 Char"/>
    <w:basedOn w:val="DefaultParagraphFont"/>
    <w:link w:val="Heading3"/>
    <w:uiPriority w:val="9"/>
    <w:rsid w:val="00B74230"/>
    <w:rPr>
      <w:rFonts w:ascii="Calibri" w:eastAsiaTheme="majorEastAsia" w:hAnsi="Calibri" w:cs="Times New Roman (Headings CS)"/>
      <w:i/>
      <w:color w:val="000000" w:themeColor="text1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B74230"/>
    <w:pPr>
      <w:spacing w:after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B74230"/>
    <w:rPr>
      <w:rFonts w:ascii="Cambria" w:eastAsia="Arial Unicode MS" w:hAnsi="Cambria" w:cs="Times New Roman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B74230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B74230"/>
    <w:rPr>
      <w:rFonts w:ascii="Cambria" w:eastAsia="Arial Unicode MS" w:hAnsi="Cambria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Markus</dc:creator>
  <cp:keywords/>
  <dc:description/>
  <cp:lastModifiedBy>Eberl, Markus</cp:lastModifiedBy>
  <cp:revision>1</cp:revision>
  <dcterms:created xsi:type="dcterms:W3CDTF">2022-06-29T21:47:00Z</dcterms:created>
  <dcterms:modified xsi:type="dcterms:W3CDTF">2022-06-29T21:48:00Z</dcterms:modified>
</cp:coreProperties>
</file>