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FA42" w14:textId="69B5E785" w:rsidR="004303B1" w:rsidRPr="00656D5A" w:rsidRDefault="004303B1" w:rsidP="005A69E6">
      <w:pPr>
        <w:pStyle w:val="NoSpacing"/>
        <w:spacing w:line="480" w:lineRule="auto"/>
        <w:jc w:val="center"/>
        <w:rPr>
          <w:rFonts w:ascii="Arial" w:hAnsi="Arial" w:cs="Arial"/>
          <w:b/>
          <w:bCs/>
        </w:rPr>
      </w:pPr>
      <w:r w:rsidRPr="00656D5A">
        <w:rPr>
          <w:rFonts w:ascii="Arial" w:hAnsi="Arial" w:cs="Arial"/>
          <w:b/>
          <w:bCs/>
        </w:rPr>
        <w:t xml:space="preserve">Supplemental Text 1. </w:t>
      </w:r>
      <w:proofErr w:type="spellStart"/>
      <w:r w:rsidRPr="00656D5A">
        <w:rPr>
          <w:rFonts w:ascii="Arial" w:hAnsi="Arial" w:cs="Arial"/>
          <w:b/>
          <w:bCs/>
        </w:rPr>
        <w:t>pXRF</w:t>
      </w:r>
      <w:proofErr w:type="spellEnd"/>
      <w:r w:rsidRPr="00656D5A">
        <w:rPr>
          <w:rFonts w:ascii="Arial" w:hAnsi="Arial" w:cs="Arial"/>
          <w:b/>
          <w:bCs/>
        </w:rPr>
        <w:t xml:space="preserve"> </w:t>
      </w:r>
      <w:r w:rsidR="00282F20">
        <w:rPr>
          <w:rFonts w:ascii="Arial" w:hAnsi="Arial" w:cs="Arial"/>
          <w:b/>
          <w:bCs/>
        </w:rPr>
        <w:t>Reference</w:t>
      </w:r>
      <w:r w:rsidRPr="00656D5A">
        <w:rPr>
          <w:rFonts w:ascii="Arial" w:hAnsi="Arial" w:cs="Arial"/>
          <w:b/>
          <w:bCs/>
        </w:rPr>
        <w:t xml:space="preserve"> and Obsidian Sampling</w:t>
      </w:r>
    </w:p>
    <w:p w14:paraId="51BFFD18" w14:textId="4D5D679F" w:rsidR="004303B1" w:rsidRDefault="004303B1" w:rsidP="005A69E6">
      <w:pPr>
        <w:pStyle w:val="NoSpacing"/>
        <w:spacing w:line="480" w:lineRule="auto"/>
        <w:jc w:val="center"/>
        <w:rPr>
          <w:rFonts w:ascii="Arial" w:hAnsi="Arial" w:cs="Arial"/>
        </w:rPr>
      </w:pPr>
    </w:p>
    <w:p w14:paraId="2EE4AE7F" w14:textId="77777777" w:rsidR="00916AE7" w:rsidRDefault="00916AE7" w:rsidP="00916AE7">
      <w:pPr>
        <w:pStyle w:val="NoSpacing"/>
        <w:spacing w:line="480" w:lineRule="auto"/>
        <w:rPr>
          <w:rFonts w:ascii="Arial" w:hAnsi="Arial" w:cs="Arial"/>
        </w:rPr>
      </w:pPr>
      <w:r w:rsidRPr="004303B1">
        <w:rPr>
          <w:rFonts w:ascii="Arial" w:hAnsi="Arial" w:cs="Arial"/>
        </w:rPr>
        <w:t>Obsidian Sampling and Green O</w:t>
      </w:r>
      <w:r>
        <w:rPr>
          <w:rFonts w:ascii="Arial" w:hAnsi="Arial" w:cs="Arial"/>
        </w:rPr>
        <w:t>bsidian Sourcing</w:t>
      </w:r>
    </w:p>
    <w:p w14:paraId="1FF14725" w14:textId="0E164258" w:rsidR="00916AE7" w:rsidRDefault="00916AE7" w:rsidP="00916AE7">
      <w:pPr>
        <w:pStyle w:val="NoSpacing"/>
        <w:spacing w:line="480" w:lineRule="auto"/>
        <w:rPr>
          <w:rFonts w:ascii="Arial" w:hAnsi="Arial" w:cs="Arial"/>
        </w:rPr>
      </w:pPr>
      <w:r>
        <w:rPr>
          <w:rFonts w:ascii="Arial" w:hAnsi="Arial" w:cs="Arial"/>
        </w:rPr>
        <w:tab/>
        <w:t xml:space="preserve">Obsidian samples from both Tepeticpac and CSII had to fit two criteria: from sealed contexts (e.g. rooms, </w:t>
      </w:r>
      <w:r w:rsidRPr="005A69E6">
        <w:rPr>
          <w:rFonts w:ascii="Arial" w:hAnsi="Arial" w:cs="Arial"/>
          <w:i/>
          <w:iCs/>
        </w:rPr>
        <w:t>in situ</w:t>
      </w:r>
      <w:r>
        <w:rPr>
          <w:rFonts w:ascii="Arial" w:hAnsi="Arial" w:cs="Arial"/>
        </w:rPr>
        <w:t xml:space="preserve"> deposits) and longer than 2cm. Otherwise, samples were chosen randomly attempting to include all technological production stages. Two samples of green obsidian were sourced to confirm visual identification of green obsidian provided a Sierra de las </w:t>
      </w:r>
      <w:proofErr w:type="spellStart"/>
      <w:r>
        <w:rPr>
          <w:rFonts w:ascii="Arial" w:hAnsi="Arial" w:cs="Arial"/>
        </w:rPr>
        <w:t>Navajas</w:t>
      </w:r>
      <w:proofErr w:type="spellEnd"/>
      <w:r>
        <w:rPr>
          <w:rFonts w:ascii="Arial" w:hAnsi="Arial" w:cs="Arial"/>
        </w:rPr>
        <w:t xml:space="preserve"> chemical signature. Both samples are highlighted in the supplemental table. The same methodology was applied to the material from Tepeticpac discussed in the article (</w:t>
      </w:r>
      <w:proofErr w:type="spellStart"/>
      <w:r>
        <w:rPr>
          <w:rFonts w:ascii="Arial" w:hAnsi="Arial" w:cs="Arial"/>
        </w:rPr>
        <w:t>Vicencio</w:t>
      </w:r>
      <w:proofErr w:type="spellEnd"/>
      <w:r>
        <w:rPr>
          <w:rFonts w:ascii="Arial" w:hAnsi="Arial" w:cs="Arial"/>
        </w:rPr>
        <w:t xml:space="preserve"> 2015). Pared</w:t>
      </w:r>
      <w:r>
        <w:rPr>
          <w:rFonts w:ascii="Arial" w:hAnsi="Arial" w:cs="Arial"/>
        </w:rPr>
        <w:t xml:space="preserve">ón b is one of the Paredón sub-sources identified by </w:t>
      </w:r>
      <w:proofErr w:type="spellStart"/>
      <w:r>
        <w:rPr>
          <w:rFonts w:ascii="Arial" w:hAnsi="Arial" w:cs="Arial"/>
        </w:rPr>
        <w:t>Vicencio</w:t>
      </w:r>
      <w:proofErr w:type="spellEnd"/>
      <w:r>
        <w:rPr>
          <w:rFonts w:ascii="Arial" w:hAnsi="Arial" w:cs="Arial"/>
        </w:rPr>
        <w:t xml:space="preserve"> (2019). </w:t>
      </w:r>
    </w:p>
    <w:p w14:paraId="06FBD941" w14:textId="77777777" w:rsidR="00916AE7" w:rsidRDefault="00916AE7" w:rsidP="00916AE7">
      <w:pPr>
        <w:pStyle w:val="NoSpacing"/>
        <w:spacing w:line="480" w:lineRule="auto"/>
        <w:rPr>
          <w:rFonts w:ascii="Arial" w:hAnsi="Arial" w:cs="Arial"/>
        </w:rPr>
      </w:pPr>
    </w:p>
    <w:p w14:paraId="135D19CD" w14:textId="07C8345B" w:rsidR="004303B1" w:rsidRPr="005A69E6" w:rsidRDefault="004303B1" w:rsidP="00656D5A">
      <w:pPr>
        <w:pStyle w:val="NoSpacing"/>
        <w:spacing w:line="480" w:lineRule="auto"/>
        <w:rPr>
          <w:rFonts w:ascii="Arial" w:hAnsi="Arial" w:cs="Arial"/>
        </w:rPr>
      </w:pPr>
      <w:proofErr w:type="spellStart"/>
      <w:r w:rsidRPr="005A69E6">
        <w:rPr>
          <w:rFonts w:ascii="Arial" w:hAnsi="Arial" w:cs="Arial"/>
        </w:rPr>
        <w:t>pXRF</w:t>
      </w:r>
      <w:proofErr w:type="spellEnd"/>
      <w:r w:rsidRPr="005A69E6">
        <w:rPr>
          <w:rFonts w:ascii="Arial" w:hAnsi="Arial" w:cs="Arial"/>
        </w:rPr>
        <w:t xml:space="preserve"> </w:t>
      </w:r>
      <w:r w:rsidR="007016E1">
        <w:rPr>
          <w:rFonts w:ascii="Arial" w:hAnsi="Arial" w:cs="Arial"/>
        </w:rPr>
        <w:t>Reference</w:t>
      </w:r>
    </w:p>
    <w:p w14:paraId="30FBB2BE" w14:textId="30E10E02" w:rsidR="005A69E6" w:rsidRPr="005A69E6" w:rsidRDefault="004303B1" w:rsidP="005A69E6">
      <w:pPr>
        <w:spacing w:line="480" w:lineRule="auto"/>
        <w:rPr>
          <w:rFonts w:ascii="Arial" w:eastAsia="Times New Roman" w:hAnsi="Arial" w:cs="Arial"/>
          <w:color w:val="000000"/>
        </w:rPr>
      </w:pPr>
      <w:r w:rsidRPr="005A69E6">
        <w:rPr>
          <w:rFonts w:ascii="Arial" w:hAnsi="Arial" w:cs="Arial"/>
        </w:rPr>
        <w:tab/>
        <w:t xml:space="preserve">For </w:t>
      </w:r>
      <w:proofErr w:type="spellStart"/>
      <w:r w:rsidRPr="005A69E6">
        <w:rPr>
          <w:rFonts w:ascii="Arial" w:hAnsi="Arial" w:cs="Arial"/>
        </w:rPr>
        <w:t>pXRF</w:t>
      </w:r>
      <w:proofErr w:type="spellEnd"/>
      <w:r w:rsidRPr="005A69E6">
        <w:rPr>
          <w:rFonts w:ascii="Arial" w:hAnsi="Arial" w:cs="Arial"/>
        </w:rPr>
        <w:t xml:space="preserve"> </w:t>
      </w:r>
      <w:r w:rsidR="00656D5A">
        <w:rPr>
          <w:rFonts w:ascii="Arial" w:hAnsi="Arial" w:cs="Arial"/>
        </w:rPr>
        <w:t>reference</w:t>
      </w:r>
      <w:r w:rsidR="005A69E6" w:rsidRPr="005A69E6">
        <w:rPr>
          <w:rFonts w:ascii="Arial" w:hAnsi="Arial" w:cs="Arial"/>
        </w:rPr>
        <w:t>,</w:t>
      </w:r>
      <w:r w:rsidRPr="005A69E6">
        <w:rPr>
          <w:rFonts w:ascii="Arial" w:hAnsi="Arial" w:cs="Arial"/>
        </w:rPr>
        <w:t xml:space="preserve"> material from Sierra de las </w:t>
      </w:r>
      <w:proofErr w:type="spellStart"/>
      <w:r w:rsidRPr="005A69E6">
        <w:rPr>
          <w:rFonts w:ascii="Arial" w:hAnsi="Arial" w:cs="Arial"/>
        </w:rPr>
        <w:t>Navajas</w:t>
      </w:r>
      <w:proofErr w:type="spellEnd"/>
      <w:r w:rsidRPr="005A69E6">
        <w:rPr>
          <w:rFonts w:ascii="Arial" w:hAnsi="Arial" w:cs="Arial"/>
        </w:rPr>
        <w:t xml:space="preserve"> was used (supplemental </w:t>
      </w:r>
      <w:r w:rsidR="00916AE7">
        <w:rPr>
          <w:rFonts w:ascii="Arial" w:hAnsi="Arial" w:cs="Arial"/>
        </w:rPr>
        <w:t xml:space="preserve">materials </w:t>
      </w:r>
      <w:r w:rsidR="007016E1">
        <w:rPr>
          <w:rFonts w:ascii="Arial" w:hAnsi="Arial" w:cs="Arial"/>
        </w:rPr>
        <w:t>t</w:t>
      </w:r>
      <w:r w:rsidRPr="005A69E6">
        <w:rPr>
          <w:rFonts w:ascii="Arial" w:hAnsi="Arial" w:cs="Arial"/>
        </w:rPr>
        <w:t>able</w:t>
      </w:r>
      <w:r w:rsidR="00916AE7">
        <w:rPr>
          <w:rFonts w:ascii="Arial" w:hAnsi="Arial" w:cs="Arial"/>
        </w:rPr>
        <w:t xml:space="preserve"> 1</w:t>
      </w:r>
      <w:r w:rsidRPr="005A69E6">
        <w:rPr>
          <w:rFonts w:ascii="Arial" w:hAnsi="Arial" w:cs="Arial"/>
        </w:rPr>
        <w:t xml:space="preserve">) in </w:t>
      </w:r>
      <w:r w:rsidR="005A69E6" w:rsidRPr="005A69E6">
        <w:rPr>
          <w:rFonts w:ascii="Arial" w:hAnsi="Arial" w:cs="Arial"/>
        </w:rPr>
        <w:t>conjunction</w:t>
      </w:r>
      <w:r w:rsidRPr="005A69E6">
        <w:rPr>
          <w:rFonts w:ascii="Arial" w:hAnsi="Arial" w:cs="Arial"/>
        </w:rPr>
        <w:t xml:space="preserve"> with provenience collections for major obsidian sources in Central Mexico. López and </w:t>
      </w:r>
      <w:proofErr w:type="spellStart"/>
      <w:r w:rsidRPr="005A69E6">
        <w:rPr>
          <w:rFonts w:ascii="Arial" w:hAnsi="Arial" w:cs="Arial"/>
        </w:rPr>
        <w:t>Vicencio</w:t>
      </w:r>
      <w:proofErr w:type="spellEnd"/>
      <w:r w:rsidRPr="005A69E6">
        <w:rPr>
          <w:rFonts w:ascii="Arial" w:hAnsi="Arial" w:cs="Arial"/>
        </w:rPr>
        <w:t xml:space="preserve"> are developing their own set of </w:t>
      </w:r>
      <w:r w:rsidR="00AE644D">
        <w:rPr>
          <w:rFonts w:ascii="Arial" w:hAnsi="Arial" w:cs="Arial"/>
        </w:rPr>
        <w:t>standards</w:t>
      </w:r>
      <w:r w:rsidRPr="005A69E6">
        <w:rPr>
          <w:rFonts w:ascii="Arial" w:hAnsi="Arial" w:cs="Arial"/>
        </w:rPr>
        <w:t xml:space="preserve"> for known obsidian sources</w:t>
      </w:r>
      <w:r w:rsidR="006703F1">
        <w:rPr>
          <w:rFonts w:ascii="Arial" w:hAnsi="Arial" w:cs="Arial"/>
        </w:rPr>
        <w:t>, including sub-source signatures</w:t>
      </w:r>
      <w:r w:rsidRPr="005A69E6">
        <w:rPr>
          <w:rFonts w:ascii="Arial" w:hAnsi="Arial" w:cs="Arial"/>
        </w:rPr>
        <w:t xml:space="preserve"> (López personal communication; </w:t>
      </w:r>
      <w:proofErr w:type="spellStart"/>
      <w:r w:rsidRPr="005A69E6">
        <w:rPr>
          <w:rFonts w:ascii="Arial" w:hAnsi="Arial" w:cs="Arial"/>
        </w:rPr>
        <w:t>Vicencio</w:t>
      </w:r>
      <w:proofErr w:type="spellEnd"/>
      <w:r w:rsidRPr="005A69E6">
        <w:rPr>
          <w:rFonts w:ascii="Arial" w:hAnsi="Arial" w:cs="Arial"/>
        </w:rPr>
        <w:t xml:space="preserve"> 2019).</w:t>
      </w:r>
    </w:p>
    <w:p w14:paraId="23E87B19" w14:textId="06CA3755" w:rsidR="00916AE7" w:rsidRDefault="005A69E6" w:rsidP="007016E1">
      <w:pPr>
        <w:pStyle w:val="NoSpacing"/>
        <w:spacing w:line="480" w:lineRule="auto"/>
        <w:rPr>
          <w:rFonts w:ascii="Arial" w:hAnsi="Arial" w:cs="Arial"/>
        </w:rPr>
      </w:pPr>
      <w:r>
        <w:rPr>
          <w:rFonts w:ascii="Arial" w:hAnsi="Arial" w:cs="Arial"/>
        </w:rPr>
        <w:t xml:space="preserve"> </w:t>
      </w:r>
    </w:p>
    <w:p w14:paraId="7C114917" w14:textId="16B96B82" w:rsidR="00916AE7" w:rsidRDefault="00916AE7" w:rsidP="007016E1">
      <w:pPr>
        <w:pStyle w:val="NoSpacing"/>
        <w:spacing w:line="480" w:lineRule="auto"/>
        <w:rPr>
          <w:rFonts w:ascii="Arial" w:hAnsi="Arial" w:cs="Arial"/>
        </w:rPr>
      </w:pPr>
      <w:r>
        <w:rPr>
          <w:rFonts w:ascii="Arial" w:hAnsi="Arial" w:cs="Arial"/>
        </w:rPr>
        <w:t>Formative Period Obsidian Source Exploitation</w:t>
      </w:r>
    </w:p>
    <w:p w14:paraId="625E1378" w14:textId="66DA9FEE" w:rsidR="00916AE7" w:rsidRDefault="00916AE7" w:rsidP="007016E1">
      <w:pPr>
        <w:pStyle w:val="NoSpacing"/>
        <w:spacing w:line="480" w:lineRule="auto"/>
        <w:rPr>
          <w:rFonts w:ascii="Arial" w:hAnsi="Arial" w:cs="Arial"/>
        </w:rPr>
      </w:pPr>
      <w:r>
        <w:rPr>
          <w:rFonts w:ascii="Arial" w:hAnsi="Arial" w:cs="Arial"/>
        </w:rPr>
        <w:tab/>
        <w:t xml:space="preserve">Table 2 in the supplemental materials shows continued exploitation of Paredón obsidian in Puebla-Tlaxcala since the Formative period. This means it Puebla-Tlaxcala sites’ dependence of Paredón obsidian was long-standing and not a result of a successful implementation of an Aztec embargo on the region. </w:t>
      </w:r>
    </w:p>
    <w:p w14:paraId="5C4BAC6E" w14:textId="77777777" w:rsidR="00916AE7" w:rsidRPr="004303B1" w:rsidRDefault="00916AE7" w:rsidP="007016E1">
      <w:pPr>
        <w:pStyle w:val="NoSpacing"/>
        <w:spacing w:line="480" w:lineRule="auto"/>
        <w:rPr>
          <w:rFonts w:ascii="Arial" w:hAnsi="Arial" w:cs="Arial"/>
        </w:rPr>
      </w:pPr>
    </w:p>
    <w:sectPr w:rsidR="00916AE7" w:rsidRPr="0043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51"/>
    <w:rsid w:val="00282F20"/>
    <w:rsid w:val="003109D6"/>
    <w:rsid w:val="004303B1"/>
    <w:rsid w:val="005A69E6"/>
    <w:rsid w:val="00656D5A"/>
    <w:rsid w:val="006703F1"/>
    <w:rsid w:val="007016E1"/>
    <w:rsid w:val="00916AE7"/>
    <w:rsid w:val="00AE644D"/>
    <w:rsid w:val="00DC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5F91"/>
  <w15:chartTrackingRefBased/>
  <w15:docId w15:val="{9DD322AD-0771-4408-87EA-5B724DCE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6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Gentil</dc:creator>
  <cp:keywords/>
  <dc:description/>
  <cp:lastModifiedBy>Bianca Gentil</cp:lastModifiedBy>
  <cp:revision>5</cp:revision>
  <dcterms:created xsi:type="dcterms:W3CDTF">2020-07-10T02:44:00Z</dcterms:created>
  <dcterms:modified xsi:type="dcterms:W3CDTF">2020-07-10T19:37:00Z</dcterms:modified>
</cp:coreProperties>
</file>