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3897" w14:textId="741B1D9D" w:rsidR="00126F16" w:rsidRDefault="03ACEE0B" w:rsidP="0092080B">
      <w:pPr>
        <w:spacing w:after="120"/>
        <w:rPr>
          <w:rFonts w:asciiTheme="majorHAnsi" w:hAnsiTheme="majorHAnsi" w:cstheme="majorBidi"/>
          <w:b/>
          <w:bCs/>
          <w:sz w:val="20"/>
          <w:szCs w:val="20"/>
        </w:rPr>
      </w:pPr>
      <w:r w:rsidRPr="03ACEE0B">
        <w:rPr>
          <w:rFonts w:asciiTheme="majorHAnsi" w:hAnsiTheme="majorHAnsi" w:cstheme="majorBidi"/>
          <w:b/>
          <w:bCs/>
          <w:sz w:val="20"/>
          <w:szCs w:val="20"/>
        </w:rPr>
        <w:t>Material Suplementario 2</w:t>
      </w:r>
    </w:p>
    <w:p w14:paraId="0CF48530" w14:textId="3D266F3B" w:rsidR="00AF7B2A" w:rsidRPr="00126F16" w:rsidRDefault="03ACEE0B" w:rsidP="0092080B">
      <w:pPr>
        <w:spacing w:after="120"/>
        <w:rPr>
          <w:rStyle w:val="eop"/>
          <w:rFonts w:asciiTheme="majorHAnsi" w:hAnsiTheme="majorHAnsi" w:cstheme="majorBidi"/>
          <w:i/>
          <w:iCs/>
          <w:sz w:val="20"/>
          <w:szCs w:val="20"/>
        </w:rPr>
      </w:pPr>
      <w:r w:rsidRPr="03ACEE0B">
        <w:rPr>
          <w:rStyle w:val="normaltextrun"/>
          <w:rFonts w:asciiTheme="majorHAnsi" w:hAnsiTheme="majorHAnsi" w:cstheme="majorBidi"/>
          <w:i/>
          <w:iCs/>
          <w:sz w:val="20"/>
          <w:szCs w:val="20"/>
          <w:lang w:val="es-419"/>
        </w:rPr>
        <w:t>Protocolos técnicos</w:t>
      </w:r>
      <w:r w:rsidR="0015011A">
        <w:rPr>
          <w:rStyle w:val="normaltextrun"/>
          <w:rFonts w:asciiTheme="majorHAnsi" w:hAnsiTheme="majorHAnsi" w:cstheme="majorBidi"/>
          <w:i/>
          <w:iCs/>
          <w:sz w:val="20"/>
          <w:szCs w:val="20"/>
          <w:lang w:val="es-419"/>
        </w:rPr>
        <w:t xml:space="preserve"> de registro y análisis del palimpsesto vial de los valles de Arica</w:t>
      </w:r>
    </w:p>
    <w:p w14:paraId="2D347549" w14:textId="546D0FAE" w:rsidR="00126F16" w:rsidRDefault="00126F16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</w:p>
    <w:p w14:paraId="13E9B2DB" w14:textId="6CB572D2" w:rsidR="004C21C8" w:rsidRPr="004C21C8" w:rsidRDefault="006F3EF5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</w:pPr>
      <w:r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 xml:space="preserve">1) </w:t>
      </w:r>
      <w:r w:rsidR="004C21C8" w:rsidRPr="004C21C8"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>Registro del palimpsesto vial:</w:t>
      </w:r>
    </w:p>
    <w:p w14:paraId="09BD392A" w14:textId="57897FE8" w:rsidR="003E2BB3" w:rsidRDefault="00A3404C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El protocolo de registro por fotointerpretación del palimpsesto vial es </w:t>
      </w:r>
      <w:r w:rsidR="0015011A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descrito por Mendez-Quiros y García (2018) y Saintenoy et al (2017).</w:t>
      </w:r>
    </w:p>
    <w:p w14:paraId="3DBD0898" w14:textId="01C133CE" w:rsidR="000D5FA2" w:rsidRDefault="000D5FA2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</w:p>
    <w:p w14:paraId="6BED1EEE" w14:textId="6FC963C3" w:rsidR="004C21C8" w:rsidRPr="004C21C8" w:rsidRDefault="006F3EF5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</w:pPr>
      <w:r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 xml:space="preserve">2) </w:t>
      </w:r>
      <w:r w:rsidR="004C21C8" w:rsidRPr="004C21C8"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>Configuración del juego de datos de redes:</w:t>
      </w:r>
    </w:p>
    <w:p w14:paraId="75911087" w14:textId="6FC3EEA9" w:rsidR="005C0366" w:rsidRDefault="00A14806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El juego de datos de redes</w:t>
      </w:r>
      <w:r w:rsidR="001B62C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,</w:t>
      </w: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1D69EF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que combina 160 sitios arqueológicos </w:t>
      </w:r>
      <w:r w:rsidR="00747783">
        <w:rPr>
          <w:rStyle w:val="eop"/>
          <w:rFonts w:asciiTheme="majorHAnsi" w:hAnsiTheme="majorHAnsi" w:cstheme="majorHAnsi"/>
          <w:sz w:val="20"/>
          <w:szCs w:val="20"/>
        </w:rPr>
        <w:t>(entidades puntuales)</w:t>
      </w:r>
      <w:r w:rsidR="00747783">
        <w:rPr>
          <w:rStyle w:val="eop"/>
          <w:rFonts w:asciiTheme="majorHAnsi" w:hAnsiTheme="majorHAnsi" w:cstheme="majorHAnsi"/>
          <w:sz w:val="20"/>
          <w:szCs w:val="20"/>
        </w:rPr>
        <w:t xml:space="preserve"> </w:t>
      </w:r>
      <w:r w:rsidR="000C7454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y </w:t>
      </w:r>
      <w:r w:rsidR="003E1038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14602 tramos de vías</w:t>
      </w:r>
      <w:r w:rsidR="0074778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747783">
        <w:rPr>
          <w:rStyle w:val="eop"/>
          <w:rFonts w:asciiTheme="majorHAnsi" w:hAnsiTheme="majorHAnsi" w:cstheme="majorHAnsi"/>
          <w:sz w:val="20"/>
          <w:szCs w:val="20"/>
        </w:rPr>
        <w:t xml:space="preserve">(entidades </w:t>
      </w:r>
      <w:proofErr w:type="spellStart"/>
      <w:r w:rsidR="00747783">
        <w:rPr>
          <w:rStyle w:val="eop"/>
          <w:rFonts w:asciiTheme="majorHAnsi" w:hAnsiTheme="majorHAnsi" w:cstheme="majorHAnsi"/>
          <w:sz w:val="20"/>
          <w:szCs w:val="20"/>
        </w:rPr>
        <w:t>polilinéales</w:t>
      </w:r>
      <w:proofErr w:type="spellEnd"/>
      <w:r w:rsidR="00747783">
        <w:rPr>
          <w:rStyle w:val="eop"/>
          <w:rFonts w:asciiTheme="majorHAnsi" w:hAnsiTheme="majorHAnsi" w:cstheme="majorHAnsi"/>
          <w:sz w:val="20"/>
          <w:szCs w:val="20"/>
        </w:rPr>
        <w:t>)</w:t>
      </w:r>
      <w:r w:rsidR="001B62C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,</w:t>
      </w:r>
      <w:r w:rsidR="003E1038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8E719D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se estructuró con </w:t>
      </w:r>
      <w:r w:rsidR="00E52E95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la </w:t>
      </w:r>
      <w:r w:rsidR="006474FF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caja de herramientas </w:t>
      </w:r>
      <w:proofErr w:type="spellStart"/>
      <w:r w:rsidR="002D2618"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ESRi</w:t>
      </w:r>
      <w:proofErr w:type="spellEnd"/>
      <w:r w:rsidR="002D2618"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</w:t>
      </w:r>
      <w:r w:rsidR="006474FF"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Network </w:t>
      </w:r>
      <w:proofErr w:type="spellStart"/>
      <w:r w:rsidR="006474FF"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analyst</w:t>
      </w:r>
      <w:proofErr w:type="spellEnd"/>
      <w:r w:rsidR="006474FF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EA4E6B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en </w:t>
      </w:r>
      <w:r w:rsidR="00170C4B"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ArcMap</w:t>
      </w:r>
      <w:r w:rsidR="006474FF"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</w:t>
      </w:r>
      <w:r w:rsidR="00C07552"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10.7</w:t>
      </w:r>
      <w:r w:rsidR="00C07552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(licenciado al Consejo Superior de Investigaciones Científicas, Incipit-CSiC).</w:t>
      </w:r>
      <w:r w:rsidR="00C51E4D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5C036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La definición de reglas de topología permiti</w:t>
      </w:r>
      <w:r w:rsidR="001B62C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ó</w:t>
      </w:r>
      <w:r w:rsidR="005C036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1B62C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configurar</w:t>
      </w:r>
      <w:r w:rsidR="00BF759D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la validez topológica de este juego de datos</w:t>
      </w:r>
      <w:r w:rsidR="00C15BBF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: s</w:t>
      </w:r>
      <w:r w:rsidR="00C15BBF" w:rsidRPr="00C15BBF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e individualizó cada tramo en función de los cruces de polilíneas y se conectaron los tramos discontinuos por cursos hídricos. Los sitios arqueológicos desconectados </w:t>
      </w:r>
      <w:r w:rsidR="003A61FA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del palimpsesto vial </w:t>
      </w:r>
      <w:r w:rsidR="00C15BBF" w:rsidRPr="00C15BBF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fueron conectados mediante la proyección del camino más próximo.</w:t>
      </w:r>
      <w:r w:rsidR="00C30FCC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La herramienta </w:t>
      </w:r>
      <w:proofErr w:type="spellStart"/>
      <w:r w:rsidR="00123D84" w:rsidRPr="003B470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Space</w:t>
      </w:r>
      <w:proofErr w:type="spellEnd"/>
      <w:r w:rsidR="00123D84" w:rsidRPr="003B470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</w:t>
      </w:r>
      <w:proofErr w:type="spellStart"/>
      <w:r w:rsidR="00123D84" w:rsidRPr="003B470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Syntax</w:t>
      </w:r>
      <w:proofErr w:type="spellEnd"/>
      <w:r w:rsidR="00123D84" w:rsidRPr="003B470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</w:t>
      </w:r>
      <w:proofErr w:type="spellStart"/>
      <w:r w:rsidR="00123D84" w:rsidRPr="003B470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Toolkit</w:t>
      </w:r>
      <w:proofErr w:type="spellEnd"/>
      <w:r w:rsidR="00123D84" w:rsidRPr="009B0437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(</w:t>
      </w:r>
      <w:r w:rsidR="009B0437" w:rsidRPr="009B0437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Gil </w:t>
      </w:r>
      <w:r w:rsidR="009B0437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et al</w:t>
      </w:r>
      <w:r w:rsidR="009B0437" w:rsidRPr="009B0437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2015</w:t>
      </w:r>
      <w:r w:rsidR="00123D84" w:rsidRPr="00123D84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)</w:t>
      </w:r>
      <w:r w:rsidR="004F4A0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, </w:t>
      </w:r>
      <w:r w:rsidR="00123D84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implementa</w:t>
      </w:r>
      <w:r w:rsidR="009767B0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da </w:t>
      </w:r>
      <w:r w:rsidR="00123D84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en el entorno QGiS, </w:t>
      </w:r>
      <w:r w:rsidR="00645B9C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y el software </w:t>
      </w:r>
      <w:proofErr w:type="spellStart"/>
      <w:r w:rsidR="009B0437" w:rsidRPr="009B0437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GeoGraphLab</w:t>
      </w:r>
      <w:proofErr w:type="spellEnd"/>
      <w:r w:rsidR="009B0437" w:rsidRPr="009B0437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6820B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(</w:t>
      </w:r>
      <w:proofErr w:type="spellStart"/>
      <w:r w:rsidR="006820B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Mermet</w:t>
      </w:r>
      <w:proofErr w:type="spellEnd"/>
      <w:r w:rsidR="006820B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2011) </w:t>
      </w:r>
      <w:r w:rsidR="009767B0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permitió correcciones </w:t>
      </w:r>
      <w:r w:rsidR="00C844C8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de topología complementarias.</w:t>
      </w:r>
    </w:p>
    <w:p w14:paraId="2CAE7486" w14:textId="513418C8" w:rsidR="00747783" w:rsidRDefault="00747783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</w:p>
    <w:p w14:paraId="56A79ECD" w14:textId="41D1460B" w:rsidR="004C21C8" w:rsidRPr="00F6475F" w:rsidRDefault="006F3EF5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</w:pPr>
      <w:r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 xml:space="preserve">3) </w:t>
      </w:r>
      <w:r w:rsidR="00577B2D"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>M</w:t>
      </w:r>
      <w:r w:rsidR="00577B2D" w:rsidRPr="00F6475F"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>odelización</w:t>
      </w:r>
      <w:r w:rsidR="004C21C8" w:rsidRPr="00F6475F"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 xml:space="preserve"> de flujos</w:t>
      </w:r>
      <w:r w:rsidR="00F6475F" w:rsidRPr="00F6475F"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>:</w:t>
      </w:r>
    </w:p>
    <w:p w14:paraId="185F58FF" w14:textId="26EC9B37" w:rsidR="002D2618" w:rsidRDefault="002D2618" w:rsidP="00C5577E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  <w:r>
        <w:rPr>
          <w:rStyle w:val="normaltextrun"/>
          <w:rFonts w:asciiTheme="majorHAnsi" w:hAnsiTheme="majorHAnsi" w:cstheme="majorBidi"/>
          <w:sz w:val="20"/>
          <w:szCs w:val="20"/>
          <w:lang w:val="es-419"/>
        </w:rPr>
        <w:t xml:space="preserve">La modelización de flujos se implementó con </w:t>
      </w: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la </w:t>
      </w: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misma </w:t>
      </w: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caja de herramientas </w:t>
      </w:r>
      <w:proofErr w:type="spellStart"/>
      <w:r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ESRi</w:t>
      </w:r>
      <w:proofErr w:type="spellEnd"/>
      <w:r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</w:t>
      </w:r>
      <w:r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Network </w:t>
      </w:r>
      <w:proofErr w:type="spellStart"/>
      <w:r w:rsidRPr="00170C4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analyst</w:t>
      </w:r>
      <w:proofErr w:type="spellEnd"/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.</w:t>
      </w:r>
    </w:p>
    <w:p w14:paraId="5E0B5728" w14:textId="260F74F3" w:rsidR="006C6011" w:rsidRDefault="00A8355A" w:rsidP="00C5577E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El juego de datos descrito en la sección anterior fue configurado </w:t>
      </w:r>
      <w:r w:rsidR="004452D7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en </w:t>
      </w:r>
      <w:r w:rsidR="0072714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un </w:t>
      </w:r>
      <w:r w:rsidR="00727146" w:rsidRPr="00443AC4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N</w:t>
      </w:r>
      <w:r w:rsidR="004452D7" w:rsidRPr="00443AC4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etwork </w:t>
      </w:r>
      <w:proofErr w:type="spellStart"/>
      <w:r w:rsidR="004452D7" w:rsidRPr="00443AC4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datasets</w:t>
      </w:r>
      <w:proofErr w:type="spellEnd"/>
      <w:r w:rsidR="0072714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. Se definió la distancia de pendiente de las entidades de polilíneas 3D </w:t>
      </w:r>
      <w:r w:rsidR="0044653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(derivadas del modelo digital de elevación SRTM v4) </w:t>
      </w:r>
      <w:r w:rsidR="0072714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como valor </w:t>
      </w:r>
      <w:r w:rsidR="0044653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de impedancia.</w:t>
      </w:r>
    </w:p>
    <w:p w14:paraId="3A06663E" w14:textId="75FEE186" w:rsidR="00443AC4" w:rsidRDefault="00443AC4" w:rsidP="00C5577E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Los itinerarios mas cortos entre </w:t>
      </w:r>
      <w:r w:rsidR="008C39C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conjuntos</w:t>
      </w: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de sitios</w:t>
      </w:r>
      <w:r w:rsidR="00595ADB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8C39C6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orígenes</w:t>
      </w:r>
      <w:r w:rsidR="00595ADB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-destino se calcularon con la herramienta </w:t>
      </w:r>
      <w:proofErr w:type="spellStart"/>
      <w:r w:rsidR="00595ADB" w:rsidRPr="003A25C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Closest</w:t>
      </w:r>
      <w:proofErr w:type="spellEnd"/>
      <w:r w:rsidR="00595ADB" w:rsidRPr="003A25C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</w:t>
      </w:r>
      <w:proofErr w:type="spellStart"/>
      <w:r w:rsidR="00595ADB" w:rsidRPr="003A25CB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Facility</w:t>
      </w:r>
      <w:proofErr w:type="spellEnd"/>
      <w:r w:rsidR="003A25CB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, considerando </w:t>
      </w:r>
      <w:r w:rsidR="00A80BB1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esta </w:t>
      </w:r>
      <w:r w:rsidR="00C42369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impedancia</w:t>
      </w:r>
      <w:r w:rsidR="00A80BB1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como valor de distancia.</w:t>
      </w:r>
    </w:p>
    <w:p w14:paraId="37D89CA1" w14:textId="2438B9F7" w:rsidR="00C53534" w:rsidRDefault="00E8487B" w:rsidP="00C5577E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Los itinerarios </w:t>
      </w:r>
      <w:r w:rsidR="007F5768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más</w:t>
      </w: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cortos </w:t>
      </w:r>
      <w:r w:rsidR="007F5768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generados </w:t>
      </w: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fueron </w:t>
      </w:r>
      <w:r w:rsidR="000E4521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fusionado</w:t>
      </w:r>
      <w:r w:rsidR="00ED1620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s, subdivi</w:t>
      </w:r>
      <w:r w:rsidR="00F35261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di</w:t>
      </w:r>
      <w:r w:rsidR="00ED1620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dos por tramos individuales y sumados para determinar el valor de acumulación de flujos </w:t>
      </w:r>
      <w:r w:rsidR="00F35261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de cada</w:t>
      </w:r>
      <w:r w:rsidR="00ED1620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tramo</w:t>
      </w:r>
      <w:r w:rsidR="00875DF5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, con herramientas de ediciones de </w:t>
      </w:r>
      <w:r w:rsidR="004839E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datos vectoriales de </w:t>
      </w:r>
      <w:r w:rsidR="004839E3" w:rsidRPr="004839E3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ArcMap 10.7</w:t>
      </w:r>
      <w:r w:rsidR="004839E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.</w:t>
      </w:r>
    </w:p>
    <w:p w14:paraId="60F9B597" w14:textId="77777777" w:rsidR="000E7D6E" w:rsidRDefault="000E7D6E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</w:p>
    <w:p w14:paraId="41C11B43" w14:textId="6CC7A07B" w:rsidR="00747783" w:rsidRPr="005F679A" w:rsidRDefault="006F3EF5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u w:val="single"/>
          <w:lang w:val="en-US"/>
        </w:rPr>
      </w:pPr>
      <w:r w:rsidRPr="005F679A">
        <w:rPr>
          <w:rStyle w:val="normaltextrun"/>
          <w:rFonts w:asciiTheme="majorHAnsi" w:hAnsiTheme="majorHAnsi" w:cstheme="majorHAnsi"/>
          <w:sz w:val="20"/>
          <w:szCs w:val="20"/>
          <w:u w:val="single"/>
          <w:lang w:val="en-US"/>
        </w:rPr>
        <w:t xml:space="preserve">4) </w:t>
      </w:r>
      <w:proofErr w:type="spellStart"/>
      <w:r w:rsidR="00F6475F" w:rsidRPr="005F679A">
        <w:rPr>
          <w:rStyle w:val="normaltextrun"/>
          <w:rFonts w:asciiTheme="majorHAnsi" w:hAnsiTheme="majorHAnsi" w:cstheme="majorHAnsi"/>
          <w:sz w:val="20"/>
          <w:szCs w:val="20"/>
          <w:u w:val="single"/>
          <w:lang w:val="en-US"/>
        </w:rPr>
        <w:t>Estadísticas</w:t>
      </w:r>
      <w:proofErr w:type="spellEnd"/>
      <w:r w:rsidR="00F6475F" w:rsidRPr="005F679A">
        <w:rPr>
          <w:rStyle w:val="normaltextrun"/>
          <w:rFonts w:asciiTheme="majorHAnsi" w:hAnsiTheme="majorHAnsi" w:cstheme="majorHAnsi"/>
          <w:sz w:val="20"/>
          <w:szCs w:val="20"/>
          <w:u w:val="single"/>
          <w:lang w:val="en-US"/>
        </w:rPr>
        <w:t xml:space="preserve"> </w:t>
      </w:r>
      <w:proofErr w:type="spellStart"/>
      <w:r w:rsidR="00F6475F" w:rsidRPr="005F679A">
        <w:rPr>
          <w:rStyle w:val="normaltextrun"/>
          <w:rFonts w:asciiTheme="majorHAnsi" w:hAnsiTheme="majorHAnsi" w:cstheme="majorHAnsi"/>
          <w:sz w:val="20"/>
          <w:szCs w:val="20"/>
          <w:u w:val="single"/>
          <w:lang w:val="en-US"/>
        </w:rPr>
        <w:t>topológicas</w:t>
      </w:r>
      <w:proofErr w:type="spellEnd"/>
      <w:r w:rsidR="00F6475F" w:rsidRPr="005F679A">
        <w:rPr>
          <w:rStyle w:val="normaltextrun"/>
          <w:rFonts w:asciiTheme="majorHAnsi" w:hAnsiTheme="majorHAnsi" w:cstheme="majorHAnsi"/>
          <w:sz w:val="20"/>
          <w:szCs w:val="20"/>
          <w:u w:val="single"/>
          <w:lang w:val="en-US"/>
        </w:rPr>
        <w:t>:</w:t>
      </w:r>
    </w:p>
    <w:p w14:paraId="4AFEC01B" w14:textId="2ACA6047" w:rsidR="00AF6493" w:rsidRPr="007879F5" w:rsidRDefault="00452380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  <w:r w:rsidRPr="00452380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Las </w:t>
      </w:r>
      <w:r w:rsidR="00AF6493" w:rsidRPr="00452380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estadísticas</w:t>
      </w:r>
      <w:r w:rsidRPr="00452380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de centralidades </w:t>
      </w:r>
      <w:r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fueron calculadas con </w:t>
      </w:r>
      <w:r w:rsidR="00AF649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la</w:t>
      </w:r>
      <w:r w:rsidR="00DF3607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s</w:t>
      </w:r>
      <w:r w:rsidR="00AF649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herramientas </w:t>
      </w:r>
      <w:r w:rsidR="00AF6493" w:rsidRPr="0016558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U</w:t>
      </w:r>
      <w:r w:rsidR="00C06904" w:rsidRPr="0016558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rban Network </w:t>
      </w:r>
      <w:proofErr w:type="spellStart"/>
      <w:r w:rsidR="00C06904" w:rsidRPr="0016558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Analysis</w:t>
      </w:r>
      <w:proofErr w:type="spellEnd"/>
      <w:r w:rsidR="00C06904" w:rsidRPr="00AF649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AF649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(</w:t>
      </w:r>
      <w:proofErr w:type="spellStart"/>
      <w:r w:rsidR="00AF6493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Sevt</w:t>
      </w:r>
      <w:r w:rsidR="007879F5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suk</w:t>
      </w:r>
      <w:proofErr w:type="spellEnd"/>
      <w:r w:rsidR="007879F5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y </w:t>
      </w:r>
      <w:proofErr w:type="spellStart"/>
      <w:r w:rsidR="007879F5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Mekonnen</w:t>
      </w:r>
      <w:proofErr w:type="spellEnd"/>
      <w:r w:rsidR="007879F5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2012) y </w:t>
      </w:r>
      <w:proofErr w:type="spellStart"/>
      <w:r w:rsidR="007879F5" w:rsidRPr="0016558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Spatial</w:t>
      </w:r>
      <w:proofErr w:type="spellEnd"/>
      <w:r w:rsidR="007879F5" w:rsidRPr="0016558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</w:t>
      </w:r>
      <w:proofErr w:type="spellStart"/>
      <w:r w:rsidR="007879F5" w:rsidRPr="0016558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Design</w:t>
      </w:r>
      <w:proofErr w:type="spellEnd"/>
      <w:r w:rsidR="007879F5" w:rsidRPr="0016558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Network </w:t>
      </w:r>
      <w:proofErr w:type="spellStart"/>
      <w:r w:rsidR="007879F5" w:rsidRPr="00165587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Analysis</w:t>
      </w:r>
      <w:proofErr w:type="spellEnd"/>
      <w:r w:rsidR="007879F5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(Cooper </w:t>
      </w:r>
      <w:r w:rsidR="007040CF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y </w:t>
      </w:r>
      <w:proofErr w:type="spellStart"/>
      <w:r w:rsidR="007040CF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Chiarada</w:t>
      </w:r>
      <w:proofErr w:type="spellEnd"/>
      <w:r w:rsidR="007879F5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2020).</w:t>
      </w:r>
    </w:p>
    <w:p w14:paraId="5F275521" w14:textId="09C5262D" w:rsidR="00AF6493" w:rsidRDefault="00AF6493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</w:p>
    <w:p w14:paraId="6B563016" w14:textId="037A9164" w:rsidR="005E566E" w:rsidRPr="005E5180" w:rsidRDefault="005E566E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</w:pPr>
      <w:r w:rsidRPr="005E5180">
        <w:rPr>
          <w:rStyle w:val="normaltextrun"/>
          <w:rFonts w:asciiTheme="majorHAnsi" w:hAnsiTheme="majorHAnsi" w:cstheme="majorHAnsi"/>
          <w:sz w:val="20"/>
          <w:szCs w:val="20"/>
          <w:u w:val="single"/>
          <w:lang w:val="es-419"/>
        </w:rPr>
        <w:t>Referencias citadas:</w:t>
      </w:r>
    </w:p>
    <w:p w14:paraId="1CD32D93" w14:textId="0C7842E0" w:rsidR="00FC0DB5" w:rsidRPr="002129DA" w:rsidRDefault="008B3A1E" w:rsidP="00AA6389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n-US"/>
        </w:rPr>
      </w:pPr>
      <w:r w:rsidRPr="008B3A1E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Cooper, C.H.V. y A.J.F. </w:t>
      </w:r>
      <w:proofErr w:type="spellStart"/>
      <w:r w:rsidRPr="008B3A1E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>Chiaradia</w:t>
      </w:r>
      <w:proofErr w:type="spellEnd"/>
      <w:r w:rsidRPr="008B3A1E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 2020. </w:t>
      </w:r>
      <w:proofErr w:type="spellStart"/>
      <w:r w:rsidRPr="008B3A1E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>sDNA</w:t>
      </w:r>
      <w:proofErr w:type="spellEnd"/>
      <w:r w:rsidRPr="008B3A1E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: 3-d spatial network analysis for GIS, CAD, Command Line &amp; Python. </w:t>
      </w:r>
      <w:proofErr w:type="spellStart"/>
      <w:r w:rsidRPr="002129DA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n-US"/>
        </w:rPr>
        <w:t>SoftwareX</w:t>
      </w:r>
      <w:proofErr w:type="spellEnd"/>
      <w:r w:rsidRPr="002129DA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 12:100525.</w:t>
      </w:r>
    </w:p>
    <w:p w14:paraId="7CAA3E19" w14:textId="2AE7DA38" w:rsidR="002129DA" w:rsidRDefault="002129DA" w:rsidP="00AA6389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  <w:r w:rsidRPr="002129DA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Gil, J., T. </w:t>
      </w:r>
      <w:proofErr w:type="spellStart"/>
      <w:r w:rsidRPr="002129DA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Varoudis</w:t>
      </w:r>
      <w:proofErr w:type="spellEnd"/>
      <w:r w:rsidRPr="002129DA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, K. </w:t>
      </w:r>
      <w:proofErr w:type="spellStart"/>
      <w:r w:rsidRPr="002129DA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Karimi</w:t>
      </w:r>
      <w:proofErr w:type="spellEnd"/>
      <w:r w:rsidRPr="002129DA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y A. Penn 2015. </w:t>
      </w:r>
      <w:r w:rsidRPr="002129DA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The space syntax toolkit: Integrating </w:t>
      </w:r>
      <w:proofErr w:type="spellStart"/>
      <w:r w:rsidRPr="002129DA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>depthmapX</w:t>
      </w:r>
      <w:proofErr w:type="spellEnd"/>
      <w:r w:rsidRPr="002129DA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 and exploratory spatial analysis workflows in QGIS. </w:t>
      </w:r>
      <w:r w:rsidRPr="002129DA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En </w:t>
      </w:r>
      <w:r w:rsidRPr="002129DA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10th International </w:t>
      </w:r>
      <w:proofErr w:type="spellStart"/>
      <w:r w:rsidRPr="002129DA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Space</w:t>
      </w:r>
      <w:proofErr w:type="spellEnd"/>
      <w:r w:rsidRPr="002129DA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</w:t>
      </w:r>
      <w:proofErr w:type="spellStart"/>
      <w:r w:rsidRPr="002129DA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Syntax</w:t>
      </w:r>
      <w:proofErr w:type="spellEnd"/>
      <w:r w:rsidRPr="002129DA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</w:t>
      </w:r>
      <w:proofErr w:type="spellStart"/>
      <w:r w:rsidRPr="002129DA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Symposium</w:t>
      </w:r>
      <w:proofErr w:type="spellEnd"/>
      <w:r w:rsidRPr="002129DA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 xml:space="preserve"> (SSS10)</w:t>
      </w:r>
      <w:r w:rsidRPr="002129DA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>, pp. 148:141-148:112.</w:t>
      </w:r>
    </w:p>
    <w:p w14:paraId="56798693" w14:textId="77777777" w:rsidR="00EC6E30" w:rsidRDefault="00EC6E30" w:rsidP="002129DA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fr-FR"/>
        </w:rPr>
      </w:pPr>
      <w:proofErr w:type="spellStart"/>
      <w:r w:rsidRPr="00EC6E3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>Mermet</w:t>
      </w:r>
      <w:proofErr w:type="spellEnd"/>
      <w:r w:rsidRPr="00EC6E3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, E. 2011. </w:t>
      </w:r>
      <w:proofErr w:type="spellStart"/>
      <w:r w:rsidRPr="00EC6E3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>GeoGraphLab</w:t>
      </w:r>
      <w:proofErr w:type="spellEnd"/>
      <w:r w:rsidRPr="00EC6E3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: A tool for exploring structural properties of a transportation network. </w:t>
      </w:r>
      <w:r w:rsidRPr="00EC6E30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fr-FR"/>
        </w:rPr>
        <w:t>Information Interaction Intelligence</w:t>
      </w:r>
      <w:r w:rsidRPr="00EC6E30">
        <w:rPr>
          <w:rStyle w:val="normaltextrun"/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gramStart"/>
      <w:r w:rsidRPr="00EC6E30">
        <w:rPr>
          <w:rStyle w:val="normaltextrun"/>
          <w:rFonts w:asciiTheme="majorHAnsi" w:hAnsiTheme="majorHAnsi" w:cstheme="majorHAnsi"/>
          <w:sz w:val="20"/>
          <w:szCs w:val="20"/>
          <w:lang w:val="fr-FR"/>
        </w:rPr>
        <w:t>11:</w:t>
      </w:r>
      <w:proofErr w:type="gramEnd"/>
      <w:r w:rsidRPr="00EC6E30">
        <w:rPr>
          <w:rStyle w:val="normaltextrun"/>
          <w:rFonts w:asciiTheme="majorHAnsi" w:hAnsiTheme="majorHAnsi" w:cstheme="majorHAnsi"/>
          <w:sz w:val="20"/>
          <w:szCs w:val="20"/>
          <w:lang w:val="fr-FR"/>
        </w:rPr>
        <w:t>133-148.</w:t>
      </w:r>
      <w:r w:rsidRPr="00EC6E30">
        <w:rPr>
          <w:rStyle w:val="normaltextrun"/>
          <w:rFonts w:asciiTheme="majorHAnsi" w:hAnsiTheme="majorHAnsi" w:cstheme="majorHAnsi"/>
          <w:sz w:val="20"/>
          <w:szCs w:val="20"/>
          <w:lang w:val="fr-FR"/>
        </w:rPr>
        <w:t xml:space="preserve"> </w:t>
      </w:r>
    </w:p>
    <w:p w14:paraId="26653B8A" w14:textId="33015DD5" w:rsidR="002129DA" w:rsidRPr="00AA6389" w:rsidRDefault="002129DA" w:rsidP="002129DA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s-419"/>
        </w:rPr>
      </w:pPr>
      <w:proofErr w:type="spellStart"/>
      <w:r w:rsidRPr="00AA6389">
        <w:rPr>
          <w:rStyle w:val="normaltextrun"/>
          <w:rFonts w:asciiTheme="majorHAnsi" w:hAnsiTheme="majorHAnsi" w:cstheme="majorHAnsi"/>
          <w:sz w:val="20"/>
          <w:szCs w:val="20"/>
        </w:rPr>
        <w:t>Sevtsuk</w:t>
      </w:r>
      <w:proofErr w:type="spellEnd"/>
      <w:r w:rsidRPr="00AA6389">
        <w:rPr>
          <w:rStyle w:val="normaltextrun"/>
          <w:rFonts w:asciiTheme="majorHAnsi" w:hAnsiTheme="majorHAnsi" w:cstheme="majorHAnsi"/>
          <w:sz w:val="20"/>
          <w:szCs w:val="20"/>
        </w:rPr>
        <w:t xml:space="preserve">, A. y M. </w:t>
      </w:r>
      <w:proofErr w:type="spellStart"/>
      <w:r w:rsidRPr="00AA6389">
        <w:rPr>
          <w:rStyle w:val="normaltextrun"/>
          <w:rFonts w:asciiTheme="majorHAnsi" w:hAnsiTheme="majorHAnsi" w:cstheme="majorHAnsi"/>
          <w:sz w:val="20"/>
          <w:szCs w:val="20"/>
        </w:rPr>
        <w:t>Mekonnen</w:t>
      </w:r>
      <w:proofErr w:type="spellEnd"/>
      <w:r w:rsidRPr="00AA6389">
        <w:rPr>
          <w:rStyle w:val="normaltextrun"/>
          <w:rFonts w:asciiTheme="majorHAnsi" w:hAnsiTheme="majorHAnsi" w:cstheme="majorHAnsi"/>
          <w:sz w:val="20"/>
          <w:szCs w:val="20"/>
        </w:rPr>
        <w:t xml:space="preserve"> 2012. </w:t>
      </w:r>
      <w:r w:rsidRPr="00AA6389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Urban Network Analysis Toolbox. </w:t>
      </w:r>
      <w:r w:rsidRPr="00AA6389">
        <w:rPr>
          <w:rStyle w:val="normaltextrun"/>
          <w:rFonts w:asciiTheme="majorHAnsi" w:hAnsiTheme="majorHAnsi" w:cstheme="majorHAnsi"/>
          <w:i/>
          <w:iCs/>
          <w:sz w:val="20"/>
          <w:szCs w:val="20"/>
          <w:lang w:val="es-419"/>
        </w:rPr>
        <w:t>International Journal of Geomatics and Spatial Analysis</w:t>
      </w:r>
      <w:r w:rsidRPr="00AA6389">
        <w:rPr>
          <w:rStyle w:val="normaltextrun"/>
          <w:rFonts w:asciiTheme="majorHAnsi" w:hAnsiTheme="majorHAnsi" w:cstheme="majorHAnsi"/>
          <w:sz w:val="20"/>
          <w:szCs w:val="20"/>
          <w:lang w:val="es-419"/>
        </w:rPr>
        <w:t xml:space="preserve"> 22:287-305. </w:t>
      </w:r>
    </w:p>
    <w:p w14:paraId="23805F78" w14:textId="77777777" w:rsidR="00126F16" w:rsidRPr="00E26F4A" w:rsidRDefault="00126F16" w:rsidP="0092080B">
      <w:pPr>
        <w:spacing w:after="120"/>
        <w:rPr>
          <w:rStyle w:val="normaltextrun"/>
          <w:rFonts w:asciiTheme="majorHAnsi" w:hAnsiTheme="majorHAnsi" w:cstheme="majorHAnsi"/>
          <w:sz w:val="20"/>
          <w:szCs w:val="20"/>
          <w:lang w:val="en-US"/>
        </w:rPr>
      </w:pPr>
    </w:p>
    <w:sectPr w:rsidR="00126F16" w:rsidRPr="00E26F4A" w:rsidSect="00952B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ítulos en alf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1437"/>
    <w:multiLevelType w:val="multilevel"/>
    <w:tmpl w:val="7564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F7"/>
    <w:rsid w:val="00003167"/>
    <w:rsid w:val="00013922"/>
    <w:rsid w:val="000C7454"/>
    <w:rsid w:val="000D5FA2"/>
    <w:rsid w:val="000E4521"/>
    <w:rsid w:val="000E7D6E"/>
    <w:rsid w:val="00123D84"/>
    <w:rsid w:val="00126F16"/>
    <w:rsid w:val="0015011A"/>
    <w:rsid w:val="00165587"/>
    <w:rsid w:val="00170C4B"/>
    <w:rsid w:val="001A330D"/>
    <w:rsid w:val="001B62C6"/>
    <w:rsid w:val="001D69EF"/>
    <w:rsid w:val="002129DA"/>
    <w:rsid w:val="0025664D"/>
    <w:rsid w:val="002D2618"/>
    <w:rsid w:val="00366450"/>
    <w:rsid w:val="0039080B"/>
    <w:rsid w:val="003A25CB"/>
    <w:rsid w:val="003A61FA"/>
    <w:rsid w:val="003B4707"/>
    <w:rsid w:val="003B7188"/>
    <w:rsid w:val="003E1038"/>
    <w:rsid w:val="003E2BB3"/>
    <w:rsid w:val="00443AC4"/>
    <w:rsid w:val="004452D7"/>
    <w:rsid w:val="00446533"/>
    <w:rsid w:val="00452380"/>
    <w:rsid w:val="004839E3"/>
    <w:rsid w:val="004C21C8"/>
    <w:rsid w:val="004F3DC9"/>
    <w:rsid w:val="004F4A06"/>
    <w:rsid w:val="00577B2D"/>
    <w:rsid w:val="00595ADB"/>
    <w:rsid w:val="005B47B3"/>
    <w:rsid w:val="005C0366"/>
    <w:rsid w:val="005C5DFD"/>
    <w:rsid w:val="005E5180"/>
    <w:rsid w:val="005E566E"/>
    <w:rsid w:val="005F679A"/>
    <w:rsid w:val="00602D23"/>
    <w:rsid w:val="00615AC4"/>
    <w:rsid w:val="00645B9C"/>
    <w:rsid w:val="006474FF"/>
    <w:rsid w:val="006820B3"/>
    <w:rsid w:val="00694CF7"/>
    <w:rsid w:val="006C6011"/>
    <w:rsid w:val="006F3EF5"/>
    <w:rsid w:val="007040CF"/>
    <w:rsid w:val="00707475"/>
    <w:rsid w:val="00727146"/>
    <w:rsid w:val="00747783"/>
    <w:rsid w:val="007879F5"/>
    <w:rsid w:val="007E2DD2"/>
    <w:rsid w:val="007F5768"/>
    <w:rsid w:val="00805ED4"/>
    <w:rsid w:val="00825D61"/>
    <w:rsid w:val="00836987"/>
    <w:rsid w:val="00857231"/>
    <w:rsid w:val="00867853"/>
    <w:rsid w:val="00873854"/>
    <w:rsid w:val="00875DF5"/>
    <w:rsid w:val="008B3A1E"/>
    <w:rsid w:val="008B6B58"/>
    <w:rsid w:val="008C39C6"/>
    <w:rsid w:val="008E719D"/>
    <w:rsid w:val="00916B21"/>
    <w:rsid w:val="0092080B"/>
    <w:rsid w:val="00946B47"/>
    <w:rsid w:val="00947926"/>
    <w:rsid w:val="00952BB8"/>
    <w:rsid w:val="009767B0"/>
    <w:rsid w:val="00997297"/>
    <w:rsid w:val="009A27A8"/>
    <w:rsid w:val="009B0437"/>
    <w:rsid w:val="00A14806"/>
    <w:rsid w:val="00A3404C"/>
    <w:rsid w:val="00A439F0"/>
    <w:rsid w:val="00A80BB1"/>
    <w:rsid w:val="00A8355A"/>
    <w:rsid w:val="00AA0C2B"/>
    <w:rsid w:val="00AA6389"/>
    <w:rsid w:val="00AF6493"/>
    <w:rsid w:val="00AF7B2A"/>
    <w:rsid w:val="00B31BFC"/>
    <w:rsid w:val="00B72F68"/>
    <w:rsid w:val="00BB178E"/>
    <w:rsid w:val="00BF759D"/>
    <w:rsid w:val="00C06904"/>
    <w:rsid w:val="00C07552"/>
    <w:rsid w:val="00C15BBF"/>
    <w:rsid w:val="00C30FCC"/>
    <w:rsid w:val="00C42369"/>
    <w:rsid w:val="00C51E4D"/>
    <w:rsid w:val="00C53534"/>
    <w:rsid w:val="00C5577E"/>
    <w:rsid w:val="00C57CF3"/>
    <w:rsid w:val="00C844C8"/>
    <w:rsid w:val="00D31182"/>
    <w:rsid w:val="00DC1598"/>
    <w:rsid w:val="00DF3607"/>
    <w:rsid w:val="00E26F4A"/>
    <w:rsid w:val="00E45293"/>
    <w:rsid w:val="00E52E95"/>
    <w:rsid w:val="00E83AF6"/>
    <w:rsid w:val="00E8487B"/>
    <w:rsid w:val="00E97483"/>
    <w:rsid w:val="00EA4E6B"/>
    <w:rsid w:val="00EC6E30"/>
    <w:rsid w:val="00ED1620"/>
    <w:rsid w:val="00EF3120"/>
    <w:rsid w:val="00F35261"/>
    <w:rsid w:val="00F6475F"/>
    <w:rsid w:val="00FC0DB5"/>
    <w:rsid w:val="03ACE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04EB"/>
  <w15:chartTrackingRefBased/>
  <w15:docId w15:val="{48B89ED0-6755-ED4C-953A-BE6C870E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PM"/>
    <w:qFormat/>
    <w:rsid w:val="009A27A8"/>
    <w:rPr>
      <w:rFonts w:ascii="Times New Roman" w:hAnsi="Times New Roman" w:cs="Times New Roman"/>
      <w:lang w:eastAsia="es-ES_tradnl"/>
    </w:rPr>
  </w:style>
  <w:style w:type="paragraph" w:styleId="Titre1">
    <w:name w:val="heading 1"/>
    <w:basedOn w:val="Normal"/>
    <w:next w:val="Normal"/>
    <w:link w:val="Titre1Car"/>
    <w:uiPriority w:val="9"/>
    <w:qFormat/>
    <w:rsid w:val="00013922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="Times New Roman (Títulos en alf"/>
      <w:b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0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A0C2B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013922"/>
    <w:rPr>
      <w:rFonts w:asciiTheme="majorHAnsi" w:eastAsiaTheme="majorEastAsia" w:hAnsiTheme="majorHAnsi" w:cs="Times New Roman (Títulos en alf"/>
      <w:b/>
      <w:szCs w:val="32"/>
      <w:lang w:eastAsia="es-ES_tradnl"/>
    </w:rPr>
  </w:style>
  <w:style w:type="paragraph" w:customStyle="1" w:styleId="paragraph">
    <w:name w:val="paragraph"/>
    <w:basedOn w:val="Normal"/>
    <w:rsid w:val="00AF7B2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AF7B2A"/>
  </w:style>
  <w:style w:type="character" w:customStyle="1" w:styleId="apple-converted-space">
    <w:name w:val="apple-converted-space"/>
    <w:basedOn w:val="Policepardfaut"/>
    <w:rsid w:val="00AF7B2A"/>
  </w:style>
  <w:style w:type="character" w:customStyle="1" w:styleId="eop">
    <w:name w:val="eop"/>
    <w:basedOn w:val="Policepardfaut"/>
    <w:rsid w:val="00AF7B2A"/>
  </w:style>
  <w:style w:type="paragraph" w:styleId="Textedebulles">
    <w:name w:val="Balloon Text"/>
    <w:basedOn w:val="Normal"/>
    <w:link w:val="TextedebullesCar"/>
    <w:uiPriority w:val="99"/>
    <w:semiHidden/>
    <w:unhideWhenUsed/>
    <w:rsid w:val="00AF7B2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2A"/>
    <w:rPr>
      <w:rFonts w:ascii="Times New Roman" w:hAnsi="Times New Roman" w:cs="Times New Roman"/>
      <w:sz w:val="18"/>
      <w:szCs w:val="18"/>
      <w:lang w:eastAsia="es-ES_tradnl"/>
    </w:rPr>
  </w:style>
  <w:style w:type="character" w:styleId="Lienhypertexte">
    <w:name w:val="Hyperlink"/>
    <w:basedOn w:val="Policepardfaut"/>
    <w:uiPriority w:val="99"/>
    <w:semiHidden/>
    <w:unhideWhenUsed/>
    <w:rsid w:val="009A27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432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Mendez-Quiros Aranda</dc:creator>
  <cp:keywords/>
  <dc:description/>
  <cp:lastModifiedBy>Thi Sai</cp:lastModifiedBy>
  <cp:revision>97</cp:revision>
  <dcterms:created xsi:type="dcterms:W3CDTF">2020-10-07T13:23:00Z</dcterms:created>
  <dcterms:modified xsi:type="dcterms:W3CDTF">2020-10-31T22:10:00Z</dcterms:modified>
</cp:coreProperties>
</file>