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1F" w:rsidRPr="00362B59" w:rsidRDefault="0086581F" w:rsidP="006F22F7">
      <w:pPr>
        <w:pStyle w:val="Ttulo1"/>
        <w:spacing w:before="0" w:after="0" w:line="480" w:lineRule="auto"/>
        <w:jc w:val="center"/>
        <w:rPr>
          <w:sz w:val="24"/>
          <w:szCs w:val="24"/>
        </w:rPr>
      </w:pPr>
      <w:r w:rsidRPr="00362B59">
        <w:rPr>
          <w:sz w:val="24"/>
          <w:szCs w:val="24"/>
        </w:rPr>
        <w:t xml:space="preserve">Supplemental </w:t>
      </w:r>
      <w:r w:rsidR="009420A4" w:rsidRPr="00362B59">
        <w:rPr>
          <w:sz w:val="24"/>
          <w:szCs w:val="24"/>
        </w:rPr>
        <w:t xml:space="preserve">Text </w:t>
      </w:r>
      <w:r w:rsidRPr="00362B59">
        <w:rPr>
          <w:sz w:val="24"/>
          <w:szCs w:val="24"/>
        </w:rPr>
        <w:t>1</w:t>
      </w:r>
    </w:p>
    <w:p w:rsidR="00B2658A" w:rsidRPr="00362B59" w:rsidRDefault="00B2658A" w:rsidP="006F22F7">
      <w:pPr>
        <w:spacing w:line="480" w:lineRule="auto"/>
        <w:jc w:val="both"/>
        <w:rPr>
          <w:rFonts w:ascii="Times New Roman" w:hAnsi="Times New Roman"/>
          <w:i/>
        </w:rPr>
      </w:pPr>
      <w:r w:rsidRPr="00362B59">
        <w:rPr>
          <w:rFonts w:ascii="Times New Roman" w:hAnsi="Times New Roman"/>
          <w:i/>
        </w:rPr>
        <w:t>Huanchaquito-Las Llamas</w:t>
      </w:r>
    </w:p>
    <w:p w:rsidR="00B2658A" w:rsidRPr="006F22F7" w:rsidRDefault="00B2658A" w:rsidP="006F22F7">
      <w:pPr>
        <w:spacing w:line="480" w:lineRule="auto"/>
        <w:ind w:firstLine="720"/>
        <w:jc w:val="both"/>
        <w:rPr>
          <w:rFonts w:ascii="Times New Roman" w:hAnsi="Times New Roman"/>
        </w:rPr>
      </w:pPr>
      <w:r w:rsidRPr="00362B59">
        <w:rPr>
          <w:rFonts w:ascii="Times New Roman" w:hAnsi="Times New Roman"/>
        </w:rPr>
        <w:t xml:space="preserve">Prieto </w:t>
      </w:r>
      <w:r w:rsidR="00A46A2B" w:rsidRPr="00362B59">
        <w:rPr>
          <w:rFonts w:ascii="Times New Roman" w:hAnsi="Times New Roman"/>
        </w:rPr>
        <w:t>and colleagues</w:t>
      </w:r>
      <w:r w:rsidRPr="00362B59">
        <w:rPr>
          <w:rFonts w:ascii="Times New Roman" w:hAnsi="Times New Roman"/>
        </w:rPr>
        <w:t xml:space="preserve"> </w:t>
      </w:r>
      <w:r w:rsidRPr="006F22F7">
        <w:rPr>
          <w:rFonts w:ascii="Times New Roman" w:hAnsi="Times New Roman"/>
        </w:rPr>
        <w:t xml:space="preserve">(2014) discovered the remains of 43 human children and 74 </w:t>
      </w:r>
      <w:proofErr w:type="spellStart"/>
      <w:r w:rsidRPr="006F22F7">
        <w:rPr>
          <w:rFonts w:ascii="Times New Roman" w:hAnsi="Times New Roman"/>
        </w:rPr>
        <w:t>camelids</w:t>
      </w:r>
      <w:proofErr w:type="spellEnd"/>
      <w:r w:rsidRPr="006F22F7">
        <w:rPr>
          <w:rFonts w:ascii="Times New Roman" w:hAnsi="Times New Roman"/>
        </w:rPr>
        <w:t xml:space="preserve"> at </w:t>
      </w:r>
      <w:proofErr w:type="spellStart"/>
      <w:r w:rsidRPr="006F22F7">
        <w:rPr>
          <w:rFonts w:ascii="Times New Roman" w:hAnsi="Times New Roman"/>
        </w:rPr>
        <w:t>Huanchaquito</w:t>
      </w:r>
      <w:proofErr w:type="spellEnd"/>
      <w:r w:rsidRPr="006F22F7">
        <w:rPr>
          <w:rFonts w:ascii="Times New Roman" w:hAnsi="Times New Roman"/>
        </w:rPr>
        <w:t>-Las Llamas (</w:t>
      </w:r>
      <w:proofErr w:type="spellStart"/>
      <w:r w:rsidRPr="006F22F7">
        <w:rPr>
          <w:rFonts w:ascii="Times New Roman" w:hAnsi="Times New Roman"/>
        </w:rPr>
        <w:t>Moche</w:t>
      </w:r>
      <w:proofErr w:type="spellEnd"/>
      <w:r w:rsidRPr="006F22F7">
        <w:rPr>
          <w:rFonts w:ascii="Times New Roman" w:hAnsi="Times New Roman"/>
        </w:rPr>
        <w:t xml:space="preserve"> Valley). All the camelids were less than a year old based on their dentition. These articulated remains were extremely well preserved; some of the camelids still had fur, and several had ropes tied around their necks and extremities. The only cut marks identified were on the ribs and sternum. </w:t>
      </w:r>
      <w:r w:rsidR="00A46A2B">
        <w:rPr>
          <w:rFonts w:ascii="Times New Roman" w:hAnsi="Times New Roman"/>
        </w:rPr>
        <w:t>The authors did not observe any</w:t>
      </w:r>
      <w:r w:rsidRPr="006F22F7">
        <w:rPr>
          <w:rFonts w:ascii="Times New Roman" w:hAnsi="Times New Roman"/>
        </w:rPr>
        <w:t xml:space="preserve"> thermal modification or gnawing. The investigators concluded that these children and camelids were sacrificial victims in a massive </w:t>
      </w:r>
      <w:proofErr w:type="spellStart"/>
      <w:r w:rsidRPr="006F22F7">
        <w:rPr>
          <w:rFonts w:ascii="Times New Roman" w:hAnsi="Times New Roman"/>
        </w:rPr>
        <w:t>Chimú</w:t>
      </w:r>
      <w:proofErr w:type="spellEnd"/>
      <w:r w:rsidRPr="006F22F7">
        <w:rPr>
          <w:rFonts w:ascii="Times New Roman" w:hAnsi="Times New Roman"/>
        </w:rPr>
        <w:t>-sponsored ritual.</w:t>
      </w:r>
      <w:bookmarkStart w:id="0" w:name="_Toc368913975"/>
    </w:p>
    <w:p w:rsidR="003B6BDE" w:rsidRPr="006F22F7" w:rsidRDefault="00B2658A" w:rsidP="006F22F7">
      <w:pPr>
        <w:spacing w:line="480" w:lineRule="auto"/>
        <w:jc w:val="both"/>
        <w:rPr>
          <w:rFonts w:ascii="Times New Roman" w:hAnsi="Times New Roman"/>
        </w:rPr>
      </w:pPr>
      <w:r w:rsidRPr="006F22F7">
        <w:rPr>
          <w:rFonts w:ascii="Times New Roman" w:hAnsi="Times New Roman"/>
          <w:i/>
        </w:rPr>
        <w:t xml:space="preserve">Lo </w:t>
      </w:r>
      <w:proofErr w:type="spellStart"/>
      <w:r w:rsidRPr="006F22F7">
        <w:rPr>
          <w:rFonts w:ascii="Times New Roman" w:hAnsi="Times New Roman"/>
          <w:i/>
        </w:rPr>
        <w:t>Demás</w:t>
      </w:r>
      <w:bookmarkEnd w:id="0"/>
      <w:proofErr w:type="spellEnd"/>
    </w:p>
    <w:p w:rsidR="00B2658A" w:rsidRPr="006F22F7" w:rsidRDefault="00B2658A" w:rsidP="006F22F7">
      <w:pPr>
        <w:spacing w:line="480" w:lineRule="auto"/>
        <w:ind w:firstLine="720"/>
        <w:jc w:val="both"/>
        <w:rPr>
          <w:rFonts w:ascii="Times New Roman" w:hAnsi="Times New Roman"/>
        </w:rPr>
      </w:pPr>
      <w:r w:rsidRPr="006F22F7">
        <w:rPr>
          <w:rFonts w:ascii="Times New Roman" w:hAnsi="Times New Roman"/>
        </w:rPr>
        <w:t xml:space="preserve">The case from </w:t>
      </w:r>
      <w:proofErr w:type="spellStart"/>
      <w:r w:rsidRPr="006F22F7">
        <w:rPr>
          <w:rFonts w:ascii="Times New Roman" w:hAnsi="Times New Roman"/>
        </w:rPr>
        <w:t>Huanchaquito</w:t>
      </w:r>
      <w:proofErr w:type="spellEnd"/>
      <w:r w:rsidRPr="006F22F7">
        <w:rPr>
          <w:rFonts w:ascii="Times New Roman" w:hAnsi="Times New Roman"/>
        </w:rPr>
        <w:t xml:space="preserve">-Las Llamas was selected in part because it is exemplary of large-scale state-sponsored sacrifice. The case from Lo </w:t>
      </w:r>
      <w:proofErr w:type="spellStart"/>
      <w:r w:rsidRPr="006F22F7">
        <w:rPr>
          <w:rFonts w:ascii="Times New Roman" w:hAnsi="Times New Roman"/>
        </w:rPr>
        <w:t>Demás</w:t>
      </w:r>
      <w:proofErr w:type="spellEnd"/>
      <w:r w:rsidRPr="006F22F7">
        <w:rPr>
          <w:rFonts w:ascii="Times New Roman" w:hAnsi="Times New Roman"/>
        </w:rPr>
        <w:t xml:space="preserve"> was chosen to serve as a foil to that case and establish whether the model can identify events at the opposite end of the spectrum: small-scale rituals performed by non-elite individuals. This </w:t>
      </w:r>
      <w:r w:rsidR="00762448">
        <w:rPr>
          <w:rFonts w:ascii="Times New Roman" w:hAnsi="Times New Roman"/>
        </w:rPr>
        <w:t>collection</w:t>
      </w:r>
      <w:r w:rsidR="00762448" w:rsidRPr="006F22F7">
        <w:rPr>
          <w:rFonts w:ascii="Times New Roman" w:hAnsi="Times New Roman"/>
        </w:rPr>
        <w:t xml:space="preserve"> </w:t>
      </w:r>
      <w:r w:rsidRPr="006F22F7">
        <w:rPr>
          <w:rFonts w:ascii="Times New Roman" w:hAnsi="Times New Roman"/>
        </w:rPr>
        <w:t xml:space="preserve">consists of five sub-adult guinea pigs from a Late Horizon fishing village. They were articulated, with fur still present, allowing the researchers to see that at least one specimen had been cut open ventrally. There was no evidence of gnawing or thermal modification. </w:t>
      </w:r>
      <w:proofErr w:type="spellStart"/>
      <w:r w:rsidRPr="006F22F7">
        <w:rPr>
          <w:rFonts w:ascii="Times New Roman" w:hAnsi="Times New Roman"/>
        </w:rPr>
        <w:t>Sandweiss</w:t>
      </w:r>
      <w:proofErr w:type="spellEnd"/>
      <w:r w:rsidRPr="006F22F7">
        <w:rPr>
          <w:rFonts w:ascii="Times New Roman" w:hAnsi="Times New Roman"/>
        </w:rPr>
        <w:t xml:space="preserve"> and Wing (1997) interpret these guinea pigs as divinatory sacrifices, likely in a ritual similar to the contemporary </w:t>
      </w:r>
      <w:r w:rsidRPr="006F22F7">
        <w:rPr>
          <w:rFonts w:ascii="Times New Roman" w:hAnsi="Times New Roman"/>
          <w:i/>
        </w:rPr>
        <w:t xml:space="preserve">soba de </w:t>
      </w:r>
      <w:proofErr w:type="spellStart"/>
      <w:r w:rsidRPr="006F22F7">
        <w:rPr>
          <w:rFonts w:ascii="Times New Roman" w:hAnsi="Times New Roman"/>
          <w:i/>
        </w:rPr>
        <w:t>cuy</w:t>
      </w:r>
      <w:proofErr w:type="spellEnd"/>
      <w:r w:rsidRPr="006F22F7">
        <w:rPr>
          <w:rFonts w:ascii="Times New Roman" w:hAnsi="Times New Roman"/>
        </w:rPr>
        <w:t>.</w:t>
      </w:r>
    </w:p>
    <w:p w:rsidR="00B2658A" w:rsidRPr="006F22F7" w:rsidRDefault="00B2658A" w:rsidP="006F22F7">
      <w:pPr>
        <w:pStyle w:val="Ttulo3"/>
        <w:spacing w:before="0" w:after="0" w:line="480" w:lineRule="auto"/>
        <w:jc w:val="both"/>
        <w:rPr>
          <w:rFonts w:ascii="Times New Roman" w:hAnsi="Times New Roman"/>
          <w:b w:val="0"/>
          <w:sz w:val="24"/>
          <w:szCs w:val="24"/>
        </w:rPr>
      </w:pPr>
      <w:bookmarkStart w:id="1" w:name="_Toc368913978"/>
      <w:bookmarkStart w:id="2" w:name="_Toc368913976"/>
      <w:proofErr w:type="spellStart"/>
      <w:r w:rsidRPr="006F22F7">
        <w:rPr>
          <w:rFonts w:ascii="Times New Roman" w:hAnsi="Times New Roman"/>
          <w:b w:val="0"/>
          <w:i/>
          <w:sz w:val="24"/>
          <w:szCs w:val="24"/>
        </w:rPr>
        <w:t>Cotocotuyo</w:t>
      </w:r>
      <w:bookmarkEnd w:id="1"/>
      <w:bookmarkEnd w:id="2"/>
      <w:r w:rsidRPr="006F22F7">
        <w:rPr>
          <w:rFonts w:ascii="Times New Roman" w:hAnsi="Times New Roman"/>
          <w:b w:val="0"/>
          <w:i/>
          <w:sz w:val="24"/>
          <w:szCs w:val="24"/>
        </w:rPr>
        <w:t>c</w:t>
      </w:r>
      <w:proofErr w:type="spellEnd"/>
    </w:p>
    <w:p w:rsidR="00B2658A" w:rsidRPr="006F22F7" w:rsidRDefault="00B2658A" w:rsidP="006F22F7">
      <w:pPr>
        <w:pStyle w:val="Ttulo3"/>
        <w:spacing w:before="0" w:after="0" w:line="480" w:lineRule="auto"/>
        <w:ind w:firstLine="720"/>
        <w:jc w:val="both"/>
        <w:rPr>
          <w:rFonts w:ascii="Times New Roman" w:hAnsi="Times New Roman"/>
          <w:b w:val="0"/>
          <w:sz w:val="24"/>
          <w:szCs w:val="24"/>
        </w:rPr>
      </w:pPr>
      <w:r w:rsidRPr="006F22F7">
        <w:rPr>
          <w:rFonts w:ascii="Times New Roman" w:hAnsi="Times New Roman"/>
          <w:b w:val="0"/>
          <w:sz w:val="24"/>
          <w:szCs w:val="24"/>
        </w:rPr>
        <w:t xml:space="preserve">This assemblage consisted of disarticulated camelid remains found immediately above human burials in the </w:t>
      </w:r>
      <w:proofErr w:type="spellStart"/>
      <w:r w:rsidRPr="006F22F7">
        <w:rPr>
          <w:rFonts w:ascii="Times New Roman" w:hAnsi="Times New Roman"/>
          <w:b w:val="0"/>
          <w:sz w:val="24"/>
          <w:szCs w:val="24"/>
        </w:rPr>
        <w:t>Wari</w:t>
      </w:r>
      <w:proofErr w:type="spellEnd"/>
      <w:r w:rsidRPr="006F22F7">
        <w:rPr>
          <w:rFonts w:ascii="Times New Roman" w:hAnsi="Times New Roman"/>
          <w:b w:val="0"/>
          <w:sz w:val="24"/>
          <w:szCs w:val="24"/>
        </w:rPr>
        <w:t xml:space="preserve"> cemetery at </w:t>
      </w:r>
      <w:proofErr w:type="spellStart"/>
      <w:r w:rsidRPr="006F22F7">
        <w:rPr>
          <w:rFonts w:ascii="Times New Roman" w:hAnsi="Times New Roman"/>
          <w:b w:val="0"/>
          <w:sz w:val="24"/>
          <w:szCs w:val="24"/>
        </w:rPr>
        <w:t>Cotocotuyoc</w:t>
      </w:r>
      <w:proofErr w:type="spellEnd"/>
      <w:r w:rsidRPr="006F22F7">
        <w:rPr>
          <w:rFonts w:ascii="Times New Roman" w:hAnsi="Times New Roman"/>
          <w:b w:val="0"/>
          <w:sz w:val="24"/>
          <w:szCs w:val="24"/>
        </w:rPr>
        <w:t xml:space="preserve"> in Cuzco (Rosenfeld 2011, 2012). The deposit was difficult to categorize because it did not match archaeological expectations for sacrificial offerings or mortuary feasting. Rosenfeld described this </w:t>
      </w:r>
      <w:r w:rsidR="00964E5D">
        <w:rPr>
          <w:rFonts w:ascii="Times New Roman" w:hAnsi="Times New Roman"/>
          <w:b w:val="0"/>
          <w:sz w:val="24"/>
          <w:szCs w:val="24"/>
        </w:rPr>
        <w:t>collection</w:t>
      </w:r>
      <w:r w:rsidR="00964E5D" w:rsidRPr="006F22F7">
        <w:rPr>
          <w:rFonts w:ascii="Times New Roman" w:hAnsi="Times New Roman"/>
          <w:b w:val="0"/>
          <w:sz w:val="24"/>
          <w:szCs w:val="24"/>
        </w:rPr>
        <w:t xml:space="preserve"> </w:t>
      </w:r>
      <w:r w:rsidRPr="006F22F7">
        <w:rPr>
          <w:rFonts w:ascii="Times New Roman" w:hAnsi="Times New Roman"/>
          <w:b w:val="0"/>
          <w:sz w:val="24"/>
          <w:szCs w:val="24"/>
        </w:rPr>
        <w:t xml:space="preserve">as a food offering </w:t>
      </w:r>
      <w:r w:rsidRPr="006F22F7">
        <w:rPr>
          <w:rFonts w:ascii="Times New Roman" w:hAnsi="Times New Roman"/>
          <w:b w:val="0"/>
          <w:sz w:val="24"/>
          <w:szCs w:val="24"/>
        </w:rPr>
        <w:lastRenderedPageBreak/>
        <w:t>for the dead, though she noted that the deposit was unusual when compared to other mortuary food deposits in that there was an almost complete lack of cut marks, bone fractures, and signs of cooking.</w:t>
      </w:r>
    </w:p>
    <w:p w:rsidR="006F22F7" w:rsidRPr="006F22F7" w:rsidRDefault="006F22F7" w:rsidP="006F22F7">
      <w:pPr>
        <w:pStyle w:val="Ttulo3"/>
        <w:spacing w:before="0" w:after="0" w:line="480" w:lineRule="auto"/>
        <w:jc w:val="both"/>
        <w:rPr>
          <w:rFonts w:ascii="Times New Roman" w:hAnsi="Times New Roman"/>
          <w:b w:val="0"/>
          <w:i/>
          <w:sz w:val="24"/>
          <w:szCs w:val="24"/>
        </w:rPr>
      </w:pPr>
      <w:bookmarkStart w:id="3" w:name="_Toc368913977"/>
      <w:proofErr w:type="spellStart"/>
      <w:r w:rsidRPr="006F22F7">
        <w:rPr>
          <w:rFonts w:ascii="Times New Roman" w:hAnsi="Times New Roman"/>
          <w:b w:val="0"/>
          <w:i/>
          <w:sz w:val="24"/>
          <w:szCs w:val="24"/>
        </w:rPr>
        <w:t>Conchopata</w:t>
      </w:r>
      <w:proofErr w:type="spellEnd"/>
    </w:p>
    <w:p w:rsidR="006F22F7" w:rsidRDefault="006F22F7" w:rsidP="006F22F7">
      <w:pPr>
        <w:spacing w:line="480" w:lineRule="auto"/>
        <w:jc w:val="both"/>
        <w:rPr>
          <w:rFonts w:ascii="Times New Roman" w:hAnsi="Times New Roman"/>
        </w:rPr>
      </w:pPr>
      <w:r w:rsidRPr="006F22F7">
        <w:rPr>
          <w:rFonts w:ascii="Times New Roman" w:hAnsi="Times New Roman"/>
        </w:rPr>
        <w:tab/>
        <w:t xml:space="preserve">This </w:t>
      </w:r>
      <w:r w:rsidR="00762448">
        <w:rPr>
          <w:rFonts w:ascii="Times New Roman" w:hAnsi="Times New Roman"/>
        </w:rPr>
        <w:t>collection</w:t>
      </w:r>
      <w:bookmarkStart w:id="4" w:name="_GoBack"/>
      <w:bookmarkEnd w:id="4"/>
      <w:r w:rsidRPr="006F22F7">
        <w:rPr>
          <w:rFonts w:ascii="Times New Roman" w:hAnsi="Times New Roman"/>
        </w:rPr>
        <w:t xml:space="preserve"> wa</w:t>
      </w:r>
      <w:r>
        <w:rPr>
          <w:rFonts w:ascii="Times New Roman" w:hAnsi="Times New Roman"/>
        </w:rPr>
        <w:t>s excavated from unit EA-23W (</w:t>
      </w:r>
      <w:r w:rsidRPr="006F22F7">
        <w:rPr>
          <w:rFonts w:ascii="Times New Roman" w:hAnsi="Times New Roman"/>
        </w:rPr>
        <w:t>Patio Group 1</w:t>
      </w:r>
      <w:r>
        <w:rPr>
          <w:rFonts w:ascii="Times New Roman" w:hAnsi="Times New Roman"/>
        </w:rPr>
        <w:t>)</w:t>
      </w:r>
      <w:r w:rsidRPr="006F22F7">
        <w:rPr>
          <w:rFonts w:ascii="Times New Roman" w:hAnsi="Times New Roman"/>
        </w:rPr>
        <w:t xml:space="preserve"> at </w:t>
      </w:r>
      <w:proofErr w:type="spellStart"/>
      <w:r>
        <w:rPr>
          <w:rFonts w:ascii="Times New Roman" w:hAnsi="Times New Roman"/>
        </w:rPr>
        <w:t>Conchopata</w:t>
      </w:r>
      <w:proofErr w:type="spellEnd"/>
      <w:r>
        <w:rPr>
          <w:rFonts w:ascii="Times New Roman" w:hAnsi="Times New Roman"/>
        </w:rPr>
        <w:t>, an urban center close to the imperial capital of Huari in the Ayacucho Valley (Rosenfeld 2011, 2012</w:t>
      </w:r>
      <w:bookmarkEnd w:id="3"/>
      <w:r w:rsidR="00867A62">
        <w:rPr>
          <w:rFonts w:ascii="Times New Roman" w:hAnsi="Times New Roman"/>
        </w:rPr>
        <w:t>)</w:t>
      </w:r>
      <w:r>
        <w:rPr>
          <w:rFonts w:ascii="Times New Roman" w:hAnsi="Times New Roman"/>
        </w:rPr>
        <w:t>. This deposit was buried in a room associated with the patio, in a pit intrudi</w:t>
      </w:r>
      <w:r w:rsidR="00867A37">
        <w:rPr>
          <w:rFonts w:ascii="Times New Roman" w:hAnsi="Times New Roman"/>
        </w:rPr>
        <w:t>ng into the floor and bedrock. Disarticulated r</w:t>
      </w:r>
      <w:r>
        <w:rPr>
          <w:rFonts w:ascii="Times New Roman" w:hAnsi="Times New Roman"/>
        </w:rPr>
        <w:t xml:space="preserve">emains from both camelids and guinea pigs were </w:t>
      </w:r>
      <w:r w:rsidR="00867A37">
        <w:rPr>
          <w:rFonts w:ascii="Times New Roman" w:hAnsi="Times New Roman"/>
        </w:rPr>
        <w:t>identified</w:t>
      </w:r>
      <w:r>
        <w:rPr>
          <w:rFonts w:ascii="Times New Roman" w:hAnsi="Times New Roman"/>
        </w:rPr>
        <w:t>, with both species being represented by very young individuals. Cut marks were consistent with butchering and burning (n</w:t>
      </w:r>
      <w:r w:rsidR="00DE66AC">
        <w:rPr>
          <w:rFonts w:ascii="Times New Roman" w:hAnsi="Times New Roman"/>
        </w:rPr>
        <w:t xml:space="preserve"> </w:t>
      </w:r>
      <w:r>
        <w:rPr>
          <w:rFonts w:ascii="Times New Roman" w:hAnsi="Times New Roman"/>
        </w:rPr>
        <w:t>=</w:t>
      </w:r>
      <w:r w:rsidR="00DE66AC">
        <w:rPr>
          <w:rFonts w:ascii="Times New Roman" w:hAnsi="Times New Roman"/>
        </w:rPr>
        <w:t xml:space="preserve"> </w:t>
      </w:r>
      <w:r>
        <w:rPr>
          <w:rFonts w:ascii="Times New Roman" w:hAnsi="Times New Roman"/>
        </w:rPr>
        <w:t>30) was observed on the camelid bones. Based on the absence of gnaw marks and weathering, Rosenfeld suggests that the assemblage was quickly buried, as would be expected with special refuse, rather than everyday garbage (Rosenfeld 2011:179). She concludes that the remains are the result of a “patron-role feast” (</w:t>
      </w:r>
      <w:proofErr w:type="spellStart"/>
      <w:r>
        <w:rPr>
          <w:rFonts w:ascii="Times New Roman" w:hAnsi="Times New Roman"/>
        </w:rPr>
        <w:t>Dietler</w:t>
      </w:r>
      <w:proofErr w:type="spellEnd"/>
      <w:r>
        <w:rPr>
          <w:rFonts w:ascii="Times New Roman" w:hAnsi="Times New Roman"/>
        </w:rPr>
        <w:t xml:space="preserve"> 200</w:t>
      </w:r>
      <w:r w:rsidR="00867A37">
        <w:rPr>
          <w:rFonts w:ascii="Times New Roman" w:hAnsi="Times New Roman"/>
        </w:rPr>
        <w:t>1:82).</w:t>
      </w:r>
      <w:r>
        <w:rPr>
          <w:rFonts w:ascii="Times New Roman" w:hAnsi="Times New Roman"/>
        </w:rPr>
        <w:t xml:space="preserve"> </w:t>
      </w:r>
    </w:p>
    <w:p w:rsidR="00B2658A" w:rsidRPr="006F22F7" w:rsidRDefault="00B2658A" w:rsidP="006F22F7">
      <w:pPr>
        <w:spacing w:line="480" w:lineRule="auto"/>
        <w:jc w:val="both"/>
        <w:rPr>
          <w:rFonts w:ascii="Times New Roman" w:hAnsi="Times New Roman"/>
        </w:rPr>
      </w:pPr>
      <w:proofErr w:type="spellStart"/>
      <w:r w:rsidRPr="006F22F7">
        <w:rPr>
          <w:rFonts w:ascii="Times New Roman" w:hAnsi="Times New Roman"/>
          <w:i/>
        </w:rPr>
        <w:t>Huatacoa</w:t>
      </w:r>
      <w:proofErr w:type="spellEnd"/>
    </w:p>
    <w:p w:rsidR="00B2658A" w:rsidRPr="006F22F7" w:rsidRDefault="00B2658A" w:rsidP="006F22F7">
      <w:pPr>
        <w:pStyle w:val="Textoindependienteprimerasangra"/>
        <w:spacing w:line="480" w:lineRule="auto"/>
        <w:ind w:firstLine="720"/>
        <w:rPr>
          <w:i/>
        </w:rPr>
      </w:pPr>
      <w:r w:rsidRPr="006F22F7">
        <w:t xml:space="preserve">This Formative site in the </w:t>
      </w:r>
      <w:proofErr w:type="spellStart"/>
      <w:r w:rsidRPr="006F22F7">
        <w:t>Pukara</w:t>
      </w:r>
      <w:proofErr w:type="spellEnd"/>
      <w:r w:rsidRPr="006F22F7">
        <w:t xml:space="preserve"> Valley contains both ritual and domestic zones. Limited excavations in the domestic sector uncovered remains from </w:t>
      </w:r>
      <w:proofErr w:type="spellStart"/>
      <w:r w:rsidRPr="006F22F7">
        <w:t>camelids</w:t>
      </w:r>
      <w:proofErr w:type="spellEnd"/>
      <w:r w:rsidRPr="006F22F7">
        <w:t xml:space="preserve">, guinea pigs, </w:t>
      </w:r>
      <w:proofErr w:type="spellStart"/>
      <w:r w:rsidRPr="006F22F7">
        <w:t>canids</w:t>
      </w:r>
      <w:proofErr w:type="spellEnd"/>
      <w:r w:rsidRPr="006F22F7">
        <w:t xml:space="preserve">, and </w:t>
      </w:r>
      <w:proofErr w:type="spellStart"/>
      <w:r w:rsidRPr="006F22F7">
        <w:t>cervids</w:t>
      </w:r>
      <w:proofErr w:type="spellEnd"/>
      <w:r w:rsidRPr="006F22F7">
        <w:t>, among other species (Warwick 2012). Carnivore and rodent gnaw marks were observed, and many of the bones were charred or calcined. The remains were extensively disarticulated, and Warwick also notes that some of the bones were worked. Warwick classifies the Area B fauna as a domestic midden assemblage.</w:t>
      </w:r>
    </w:p>
    <w:p w:rsidR="002B63D6" w:rsidRDefault="002B63D6" w:rsidP="002B63D6">
      <w:pPr>
        <w:spacing w:line="480" w:lineRule="auto"/>
        <w:jc w:val="center"/>
        <w:rPr>
          <w:rFonts w:ascii="Times New Roman" w:hAnsi="Times New Roman"/>
        </w:rPr>
      </w:pPr>
    </w:p>
    <w:p w:rsidR="002B63D6" w:rsidRDefault="002B63D6" w:rsidP="002B63D6">
      <w:pPr>
        <w:spacing w:line="480" w:lineRule="auto"/>
        <w:jc w:val="center"/>
        <w:rPr>
          <w:rFonts w:ascii="Times New Roman" w:hAnsi="Times New Roman"/>
        </w:rPr>
      </w:pPr>
      <w:r w:rsidRPr="002B63D6">
        <w:rPr>
          <w:rFonts w:ascii="Times New Roman" w:hAnsi="Times New Roman"/>
          <w:b/>
        </w:rPr>
        <w:t>References Cited</w:t>
      </w:r>
    </w:p>
    <w:p w:rsidR="002B63D6" w:rsidRPr="00E9726E" w:rsidRDefault="002B63D6" w:rsidP="002B63D6">
      <w:pPr>
        <w:tabs>
          <w:tab w:val="left" w:pos="270"/>
          <w:tab w:val="left" w:pos="720"/>
        </w:tabs>
        <w:spacing w:line="480" w:lineRule="auto"/>
        <w:ind w:left="270" w:hanging="270"/>
        <w:rPr>
          <w:rFonts w:eastAsia="Times New Roman"/>
        </w:rPr>
      </w:pPr>
      <w:proofErr w:type="spellStart"/>
      <w:r w:rsidRPr="00E9726E">
        <w:rPr>
          <w:rFonts w:eastAsia="Times New Roman"/>
        </w:rPr>
        <w:t>Dietler</w:t>
      </w:r>
      <w:proofErr w:type="spellEnd"/>
      <w:r w:rsidRPr="00E9726E">
        <w:rPr>
          <w:rFonts w:eastAsia="Times New Roman"/>
        </w:rPr>
        <w:t>, Michael</w:t>
      </w:r>
    </w:p>
    <w:p w:rsidR="002B63D6" w:rsidRDefault="002B63D6" w:rsidP="002B63D6">
      <w:pPr>
        <w:tabs>
          <w:tab w:val="left" w:pos="270"/>
          <w:tab w:val="left" w:pos="720"/>
        </w:tabs>
        <w:spacing w:line="480" w:lineRule="auto"/>
        <w:ind w:left="270" w:hanging="270"/>
        <w:rPr>
          <w:rFonts w:eastAsia="Times New Roman"/>
        </w:rPr>
      </w:pPr>
      <w:r>
        <w:rPr>
          <w:rFonts w:eastAsia="Times New Roman"/>
        </w:rPr>
        <w:lastRenderedPageBreak/>
        <w:tab/>
      </w:r>
      <w:r w:rsidRPr="00E9726E">
        <w:rPr>
          <w:rFonts w:eastAsia="Times New Roman"/>
        </w:rPr>
        <w:t>2001</w:t>
      </w:r>
      <w:r w:rsidRPr="00E9726E">
        <w:rPr>
          <w:rFonts w:eastAsia="Times New Roman"/>
        </w:rPr>
        <w:tab/>
        <w:t xml:space="preserve">Theorizing the Feast. In </w:t>
      </w:r>
      <w:r w:rsidRPr="00E9726E">
        <w:rPr>
          <w:rFonts w:eastAsia="Times New Roman"/>
          <w:i/>
        </w:rPr>
        <w:t>Feasts: Archaeological and Ethnographic Perspectives on Food, Politics and Power</w:t>
      </w:r>
      <w:r w:rsidRPr="00E9726E">
        <w:rPr>
          <w:rFonts w:eastAsia="Times New Roman"/>
        </w:rPr>
        <w:t xml:space="preserve">, edited by Michael </w:t>
      </w:r>
      <w:proofErr w:type="spellStart"/>
      <w:r w:rsidRPr="00E9726E">
        <w:rPr>
          <w:rFonts w:eastAsia="Times New Roman"/>
        </w:rPr>
        <w:t>Dietler</w:t>
      </w:r>
      <w:proofErr w:type="spellEnd"/>
      <w:r>
        <w:rPr>
          <w:rFonts w:eastAsia="Times New Roman"/>
        </w:rPr>
        <w:t>,</w:t>
      </w:r>
      <w:r w:rsidRPr="00E9726E">
        <w:rPr>
          <w:rFonts w:eastAsia="Times New Roman"/>
        </w:rPr>
        <w:t xml:space="preserve"> and Brian Hayden, pp. 65-114. Smithsonian Institution</w:t>
      </w:r>
      <w:r>
        <w:rPr>
          <w:rFonts w:eastAsia="Times New Roman"/>
        </w:rPr>
        <w:t xml:space="preserve"> Press, Washington, D</w:t>
      </w:r>
      <w:r w:rsidRPr="00E9726E">
        <w:rPr>
          <w:rFonts w:eastAsia="Times New Roman"/>
        </w:rPr>
        <w:t xml:space="preserve">C. </w:t>
      </w:r>
    </w:p>
    <w:p w:rsidR="002B63D6" w:rsidRPr="002B63D6" w:rsidRDefault="002B63D6" w:rsidP="002B63D6">
      <w:pPr>
        <w:tabs>
          <w:tab w:val="left" w:pos="270"/>
          <w:tab w:val="left" w:pos="720"/>
        </w:tabs>
        <w:spacing w:line="480" w:lineRule="auto"/>
        <w:ind w:left="270" w:hanging="270"/>
        <w:rPr>
          <w:rFonts w:eastAsia="Times New Roman"/>
        </w:rPr>
      </w:pPr>
    </w:p>
    <w:p w:rsidR="002B63D6" w:rsidRPr="00362B59" w:rsidRDefault="002B63D6" w:rsidP="002B63D6">
      <w:pPr>
        <w:tabs>
          <w:tab w:val="left" w:pos="270"/>
          <w:tab w:val="left" w:pos="720"/>
        </w:tabs>
        <w:spacing w:line="480" w:lineRule="auto"/>
        <w:rPr>
          <w:rFonts w:eastAsia="Arial Unicode MS"/>
          <w:color w:val="000000"/>
          <w:shd w:val="clear" w:color="auto" w:fill="FFFFFF"/>
        </w:rPr>
      </w:pPr>
      <w:r w:rsidRPr="00362B59">
        <w:rPr>
          <w:rFonts w:eastAsia="Arial Unicode MS"/>
          <w:color w:val="000000"/>
          <w:shd w:val="clear" w:color="auto" w:fill="FFFFFF"/>
        </w:rPr>
        <w:t>Prieto, Gabriel, Nicolás Goepfert, Katia Valladares, and Juan Vilela</w:t>
      </w:r>
    </w:p>
    <w:p w:rsidR="002B63D6" w:rsidRDefault="002B63D6" w:rsidP="002B63D6">
      <w:pPr>
        <w:tabs>
          <w:tab w:val="left" w:pos="270"/>
          <w:tab w:val="left" w:pos="720"/>
        </w:tabs>
        <w:spacing w:line="480" w:lineRule="auto"/>
        <w:ind w:left="270" w:hanging="270"/>
        <w:rPr>
          <w:rFonts w:eastAsia="Arial Unicode MS"/>
          <w:color w:val="000000"/>
          <w:shd w:val="clear" w:color="auto" w:fill="FFFFFF"/>
        </w:rPr>
      </w:pPr>
      <w:r w:rsidRPr="00362B59">
        <w:rPr>
          <w:rFonts w:eastAsia="Arial Unicode MS"/>
          <w:color w:val="000000"/>
          <w:shd w:val="clear" w:color="auto" w:fill="FFFFFF"/>
        </w:rPr>
        <w:tab/>
      </w:r>
      <w:r w:rsidRPr="005B0BCF">
        <w:rPr>
          <w:rFonts w:eastAsia="Arial Unicode MS"/>
          <w:color w:val="000000"/>
          <w:shd w:val="clear" w:color="auto" w:fill="FFFFFF"/>
          <w:lang w:val="es-AR"/>
        </w:rPr>
        <w:t>2014</w:t>
      </w:r>
      <w:r w:rsidRPr="005B0BCF">
        <w:rPr>
          <w:rFonts w:eastAsia="Arial Unicode MS"/>
          <w:color w:val="000000"/>
          <w:shd w:val="clear" w:color="auto" w:fill="FFFFFF"/>
          <w:lang w:val="es-AR"/>
        </w:rPr>
        <w:tab/>
      </w:r>
      <w:r w:rsidRPr="003139A5">
        <w:rPr>
          <w:rFonts w:eastAsia="Arial Unicode MS"/>
          <w:color w:val="000000"/>
          <w:shd w:val="clear" w:color="auto" w:fill="FFFFFF"/>
          <w:lang w:val="es-ES_tradnl"/>
        </w:rPr>
        <w:t xml:space="preserve">Sacrificios de niños, adolescentes y camélidos jóvenes durante el Intermedio Tardío en la periferia de Chan </w:t>
      </w:r>
      <w:proofErr w:type="spellStart"/>
      <w:r w:rsidRPr="003139A5">
        <w:rPr>
          <w:rFonts w:eastAsia="Arial Unicode MS"/>
          <w:color w:val="000000"/>
          <w:shd w:val="clear" w:color="auto" w:fill="FFFFFF"/>
          <w:lang w:val="es-ES_tradnl"/>
        </w:rPr>
        <w:t>Chan</w:t>
      </w:r>
      <w:proofErr w:type="spellEnd"/>
      <w:r w:rsidRPr="003139A5">
        <w:rPr>
          <w:rFonts w:eastAsia="Arial Unicode MS"/>
          <w:color w:val="000000"/>
          <w:shd w:val="clear" w:color="auto" w:fill="FFFFFF"/>
          <w:lang w:val="es-ES_tradnl"/>
        </w:rPr>
        <w:t xml:space="preserve">, Valle de Moche, Costa Norte del Perú. </w:t>
      </w:r>
      <w:proofErr w:type="spellStart"/>
      <w:r w:rsidRPr="005B0BCF">
        <w:rPr>
          <w:rFonts w:eastAsia="Arial Unicode MS"/>
          <w:i/>
          <w:color w:val="000000"/>
          <w:shd w:val="clear" w:color="auto" w:fill="FFFFFF"/>
        </w:rPr>
        <w:t>Arqueología</w:t>
      </w:r>
      <w:proofErr w:type="spellEnd"/>
      <w:r w:rsidRPr="005B0BCF">
        <w:rPr>
          <w:rFonts w:eastAsia="Arial Unicode MS"/>
          <w:i/>
          <w:color w:val="000000"/>
          <w:shd w:val="clear" w:color="auto" w:fill="FFFFFF"/>
        </w:rPr>
        <w:t xml:space="preserve"> y </w:t>
      </w:r>
      <w:proofErr w:type="spellStart"/>
      <w:r w:rsidRPr="005B0BCF">
        <w:rPr>
          <w:rFonts w:eastAsia="Arial Unicode MS"/>
          <w:i/>
          <w:color w:val="000000"/>
          <w:shd w:val="clear" w:color="auto" w:fill="FFFFFF"/>
        </w:rPr>
        <w:t>Sociedad</w:t>
      </w:r>
      <w:proofErr w:type="spellEnd"/>
      <w:r w:rsidRPr="005B0BCF">
        <w:rPr>
          <w:rFonts w:eastAsia="Arial Unicode MS"/>
          <w:color w:val="000000"/>
          <w:shd w:val="clear" w:color="auto" w:fill="FFFFFF"/>
        </w:rPr>
        <w:t xml:space="preserve"> 27:255-296.</w:t>
      </w:r>
    </w:p>
    <w:p w:rsidR="002B63D6" w:rsidRDefault="002B63D6" w:rsidP="002B63D6">
      <w:pPr>
        <w:tabs>
          <w:tab w:val="left" w:pos="270"/>
          <w:tab w:val="left" w:pos="720"/>
        </w:tabs>
        <w:spacing w:line="480" w:lineRule="auto"/>
        <w:ind w:left="270" w:hanging="270"/>
        <w:rPr>
          <w:rFonts w:eastAsia="Arial Unicode MS"/>
          <w:color w:val="000000"/>
          <w:shd w:val="clear" w:color="auto" w:fill="FFFFFF"/>
        </w:rPr>
      </w:pPr>
    </w:p>
    <w:p w:rsidR="002B63D6" w:rsidRPr="00757757" w:rsidRDefault="002B63D6" w:rsidP="002B63D6">
      <w:pPr>
        <w:tabs>
          <w:tab w:val="left" w:pos="270"/>
          <w:tab w:val="left" w:pos="720"/>
        </w:tabs>
        <w:spacing w:line="480" w:lineRule="auto"/>
        <w:rPr>
          <w:rFonts w:eastAsia="Arial Unicode MS"/>
          <w:color w:val="000000"/>
          <w:shd w:val="clear" w:color="auto" w:fill="FFFFFF"/>
        </w:rPr>
      </w:pPr>
      <w:r w:rsidRPr="00757757">
        <w:rPr>
          <w:rFonts w:eastAsia="Arial Unicode MS"/>
          <w:color w:val="000000"/>
          <w:shd w:val="clear" w:color="auto" w:fill="FFFFFF"/>
        </w:rPr>
        <w:t>Rosenfeld, Silvana</w:t>
      </w:r>
    </w:p>
    <w:p w:rsidR="002B63D6" w:rsidRPr="00650DB1" w:rsidRDefault="002B63D6" w:rsidP="002B63D6">
      <w:pPr>
        <w:tabs>
          <w:tab w:val="left" w:pos="270"/>
          <w:tab w:val="left" w:pos="720"/>
        </w:tabs>
        <w:spacing w:line="480" w:lineRule="auto"/>
        <w:ind w:left="270" w:hanging="270"/>
        <w:rPr>
          <w:rFonts w:eastAsia="Times New Roman"/>
        </w:rPr>
      </w:pPr>
      <w:r>
        <w:rPr>
          <w:rFonts w:eastAsia="Arial Unicode MS"/>
          <w:color w:val="000000"/>
          <w:shd w:val="clear" w:color="auto" w:fill="FFFFFF"/>
        </w:rPr>
        <w:tab/>
      </w:r>
      <w:r w:rsidRPr="0047024D">
        <w:rPr>
          <w:rFonts w:eastAsia="Arial Unicode MS"/>
          <w:color w:val="000000"/>
          <w:shd w:val="clear" w:color="auto" w:fill="FFFFFF"/>
        </w:rPr>
        <w:t>2011</w:t>
      </w:r>
      <w:r w:rsidRPr="0047024D">
        <w:rPr>
          <w:rFonts w:eastAsia="Arial Unicode MS"/>
          <w:color w:val="000000"/>
          <w:shd w:val="clear" w:color="auto" w:fill="FFFFFF"/>
        </w:rPr>
        <w:tab/>
      </w:r>
      <w:proofErr w:type="spellStart"/>
      <w:r w:rsidRPr="0047024D">
        <w:rPr>
          <w:rFonts w:eastAsia="Arial Unicode MS"/>
          <w:color w:val="000000"/>
          <w:shd w:val="clear" w:color="auto" w:fill="FFFFFF"/>
        </w:rPr>
        <w:t>Foodways</w:t>
      </w:r>
      <w:proofErr w:type="spellEnd"/>
      <w:r w:rsidRPr="0047024D">
        <w:rPr>
          <w:rFonts w:eastAsia="Arial Unicode MS"/>
          <w:color w:val="000000"/>
          <w:shd w:val="clear" w:color="auto" w:fill="FFFFFF"/>
        </w:rPr>
        <w:t xml:space="preserve"> and </w:t>
      </w:r>
      <w:proofErr w:type="spellStart"/>
      <w:r w:rsidRPr="0047024D">
        <w:rPr>
          <w:rFonts w:eastAsia="Arial Unicode MS"/>
          <w:color w:val="000000"/>
          <w:shd w:val="clear" w:color="auto" w:fill="FFFFFF"/>
        </w:rPr>
        <w:t>Sociopolitics</w:t>
      </w:r>
      <w:proofErr w:type="spellEnd"/>
      <w:r w:rsidRPr="0047024D">
        <w:rPr>
          <w:rFonts w:eastAsia="Arial Unicode MS"/>
          <w:color w:val="000000"/>
          <w:shd w:val="clear" w:color="auto" w:fill="FFFFFF"/>
        </w:rPr>
        <w:t xml:space="preserve"> in the </w:t>
      </w:r>
      <w:proofErr w:type="spellStart"/>
      <w:r w:rsidRPr="0047024D">
        <w:rPr>
          <w:rFonts w:eastAsia="Arial Unicode MS"/>
          <w:color w:val="000000"/>
          <w:shd w:val="clear" w:color="auto" w:fill="FFFFFF"/>
        </w:rPr>
        <w:t>Wari</w:t>
      </w:r>
      <w:proofErr w:type="spellEnd"/>
      <w:r w:rsidRPr="0047024D">
        <w:rPr>
          <w:rFonts w:eastAsia="Arial Unicode MS"/>
          <w:color w:val="000000"/>
          <w:shd w:val="clear" w:color="auto" w:fill="FFFFFF"/>
        </w:rPr>
        <w:t xml:space="preserve"> Empire of Peru, A.D. 600-900. </w:t>
      </w:r>
      <w:r w:rsidRPr="0047024D">
        <w:rPr>
          <w:rFonts w:eastAsia="Times New Roman"/>
        </w:rPr>
        <w:t>PhD dissertation, Department of Anthropology,</w:t>
      </w:r>
      <w:r w:rsidRPr="00D576E0">
        <w:rPr>
          <w:rFonts w:eastAsia="Times New Roman"/>
        </w:rPr>
        <w:t xml:space="preserve"> Stanford University, </w:t>
      </w:r>
      <w:r w:rsidRPr="000F0DF7">
        <w:rPr>
          <w:rFonts w:eastAsia="Times New Roman"/>
        </w:rPr>
        <w:t xml:space="preserve">Palo Alto, </w:t>
      </w:r>
      <w:r w:rsidRPr="004E040C">
        <w:rPr>
          <w:rFonts w:eastAsia="Times New Roman"/>
        </w:rPr>
        <w:t>California.</w:t>
      </w:r>
    </w:p>
    <w:p w:rsidR="002B63D6" w:rsidRPr="00E9726E" w:rsidRDefault="002B63D6" w:rsidP="002B63D6">
      <w:pPr>
        <w:tabs>
          <w:tab w:val="left" w:pos="270"/>
          <w:tab w:val="left" w:pos="720"/>
        </w:tabs>
        <w:spacing w:line="480" w:lineRule="auto"/>
        <w:ind w:left="270" w:hanging="270"/>
      </w:pPr>
      <w:r>
        <w:rPr>
          <w:rFonts w:eastAsia="Arial Unicode MS"/>
          <w:color w:val="000000"/>
          <w:shd w:val="clear" w:color="auto" w:fill="FFFFFF"/>
        </w:rPr>
        <w:tab/>
      </w:r>
      <w:r w:rsidRPr="00650DB1">
        <w:rPr>
          <w:rFonts w:eastAsia="Arial Unicode MS"/>
          <w:color w:val="000000"/>
          <w:shd w:val="clear" w:color="auto" w:fill="FFFFFF"/>
        </w:rPr>
        <w:t>2012</w:t>
      </w:r>
      <w:r w:rsidRPr="00650DB1">
        <w:rPr>
          <w:rFonts w:eastAsia="Arial Unicode MS"/>
          <w:color w:val="000000"/>
          <w:shd w:val="clear" w:color="auto" w:fill="FFFFFF"/>
        </w:rPr>
        <w:tab/>
        <w:t>Animal Wealth and Local Power in the Huari Empire.</w:t>
      </w:r>
      <w:r w:rsidRPr="00650DB1">
        <w:rPr>
          <w:rFonts w:eastAsia="Times New Roman"/>
        </w:rPr>
        <w:t xml:space="preserve"> </w:t>
      </w:r>
      <w:proofErr w:type="spellStart"/>
      <w:r w:rsidRPr="00650DB1">
        <w:rPr>
          <w:rFonts w:eastAsia="Times New Roman"/>
          <w:i/>
        </w:rPr>
        <w:t>Ñawpa</w:t>
      </w:r>
      <w:proofErr w:type="spellEnd"/>
      <w:r w:rsidRPr="00650DB1">
        <w:rPr>
          <w:rFonts w:eastAsia="Times New Roman"/>
          <w:i/>
        </w:rPr>
        <w:t xml:space="preserve"> </w:t>
      </w:r>
      <w:proofErr w:type="spellStart"/>
      <w:r w:rsidRPr="00650DB1">
        <w:rPr>
          <w:rFonts w:eastAsia="Times New Roman"/>
          <w:i/>
        </w:rPr>
        <w:t>Pacha</w:t>
      </w:r>
      <w:proofErr w:type="spellEnd"/>
      <w:r w:rsidRPr="00594B89">
        <w:rPr>
          <w:rFonts w:eastAsia="Times New Roman"/>
        </w:rPr>
        <w:t xml:space="preserve"> </w:t>
      </w:r>
      <w:r w:rsidRPr="00E9726E">
        <w:rPr>
          <w:rFonts w:eastAsia="Times New Roman"/>
        </w:rPr>
        <w:t>32(1):131-164.</w:t>
      </w:r>
    </w:p>
    <w:p w:rsidR="002B63D6" w:rsidRDefault="002B63D6" w:rsidP="002B63D6">
      <w:pPr>
        <w:tabs>
          <w:tab w:val="left" w:pos="270"/>
          <w:tab w:val="left" w:pos="720"/>
        </w:tabs>
        <w:spacing w:line="480" w:lineRule="auto"/>
        <w:ind w:left="270" w:hanging="270"/>
        <w:rPr>
          <w:rFonts w:eastAsia="Arial Unicode MS"/>
          <w:color w:val="000000"/>
          <w:shd w:val="clear" w:color="auto" w:fill="FFFFFF"/>
        </w:rPr>
      </w:pPr>
    </w:p>
    <w:p w:rsidR="002B63D6" w:rsidRPr="00E9726E" w:rsidRDefault="002B63D6" w:rsidP="002B63D6">
      <w:pPr>
        <w:tabs>
          <w:tab w:val="left" w:pos="270"/>
          <w:tab w:val="left" w:pos="720"/>
        </w:tabs>
        <w:spacing w:line="480" w:lineRule="auto"/>
        <w:rPr>
          <w:rFonts w:eastAsia="Times New Roman"/>
        </w:rPr>
      </w:pPr>
      <w:proofErr w:type="spellStart"/>
      <w:r w:rsidRPr="00E9726E">
        <w:rPr>
          <w:rFonts w:eastAsia="Times New Roman"/>
        </w:rPr>
        <w:t>Sandweiss</w:t>
      </w:r>
      <w:proofErr w:type="spellEnd"/>
      <w:r w:rsidRPr="00E9726E">
        <w:rPr>
          <w:rFonts w:eastAsia="Times New Roman"/>
        </w:rPr>
        <w:t>, Daniel, and Elizabeth Wing</w:t>
      </w:r>
    </w:p>
    <w:p w:rsidR="002B63D6" w:rsidRPr="00E9726E" w:rsidRDefault="002B63D6" w:rsidP="002B63D6">
      <w:pPr>
        <w:tabs>
          <w:tab w:val="left" w:pos="270"/>
          <w:tab w:val="left" w:pos="720"/>
        </w:tabs>
        <w:spacing w:line="480" w:lineRule="auto"/>
        <w:ind w:left="270" w:hanging="270"/>
        <w:rPr>
          <w:rFonts w:eastAsia="Times New Roman"/>
        </w:rPr>
      </w:pPr>
      <w:r>
        <w:rPr>
          <w:rFonts w:eastAsia="Times New Roman"/>
        </w:rPr>
        <w:tab/>
      </w:r>
      <w:r w:rsidRPr="00E9726E">
        <w:rPr>
          <w:rFonts w:eastAsia="Times New Roman"/>
        </w:rPr>
        <w:t>1997</w:t>
      </w:r>
      <w:r w:rsidRPr="00E9726E">
        <w:rPr>
          <w:rFonts w:eastAsia="Times New Roman"/>
        </w:rPr>
        <w:tab/>
        <w:t xml:space="preserve">Ritual Rodents: The Guinea Pigs of </w:t>
      </w:r>
      <w:proofErr w:type="spellStart"/>
      <w:r w:rsidRPr="00E9726E">
        <w:rPr>
          <w:rFonts w:eastAsia="Times New Roman"/>
        </w:rPr>
        <w:t>Chincha</w:t>
      </w:r>
      <w:proofErr w:type="spellEnd"/>
      <w:r w:rsidRPr="00E9726E">
        <w:rPr>
          <w:rFonts w:eastAsia="Times New Roman"/>
        </w:rPr>
        <w:t xml:space="preserve">, Peru. </w:t>
      </w:r>
      <w:r w:rsidRPr="00E9726E">
        <w:rPr>
          <w:rFonts w:eastAsia="Times New Roman"/>
          <w:i/>
        </w:rPr>
        <w:t>Journal of Field Archaeology</w:t>
      </w:r>
      <w:r w:rsidRPr="00E9726E">
        <w:rPr>
          <w:rFonts w:eastAsia="Times New Roman"/>
        </w:rPr>
        <w:t xml:space="preserve"> 24:47</w:t>
      </w:r>
      <w:r>
        <w:rPr>
          <w:rFonts w:eastAsia="Times New Roman"/>
        </w:rPr>
        <w:t>-58</w:t>
      </w:r>
      <w:r w:rsidRPr="00E9726E">
        <w:rPr>
          <w:rFonts w:eastAsia="Times New Roman"/>
        </w:rPr>
        <w:t>.</w:t>
      </w:r>
    </w:p>
    <w:p w:rsidR="002B63D6" w:rsidRPr="00AA05FF" w:rsidRDefault="002B63D6" w:rsidP="002B63D6">
      <w:pPr>
        <w:tabs>
          <w:tab w:val="left" w:pos="270"/>
          <w:tab w:val="left" w:pos="720"/>
        </w:tabs>
        <w:spacing w:line="480" w:lineRule="auto"/>
        <w:ind w:left="270" w:hanging="270"/>
        <w:rPr>
          <w:rFonts w:eastAsia="Arial Unicode MS"/>
          <w:color w:val="000000"/>
          <w:shd w:val="clear" w:color="auto" w:fill="FFFFFF"/>
        </w:rPr>
      </w:pPr>
    </w:p>
    <w:p w:rsidR="002B63D6" w:rsidRPr="005B0BCF" w:rsidRDefault="002B63D6" w:rsidP="002B63D6">
      <w:pPr>
        <w:tabs>
          <w:tab w:val="left" w:pos="270"/>
          <w:tab w:val="left" w:pos="720"/>
        </w:tabs>
        <w:spacing w:line="480" w:lineRule="auto"/>
        <w:ind w:left="270" w:hanging="270"/>
      </w:pPr>
      <w:r w:rsidRPr="005B0BCF">
        <w:t>Warwick, Matthew</w:t>
      </w:r>
    </w:p>
    <w:p w:rsidR="002B63D6" w:rsidRPr="002B63D6" w:rsidRDefault="002B63D6" w:rsidP="002B63D6">
      <w:pPr>
        <w:pStyle w:val="Textoindependienteprimerasangra"/>
        <w:tabs>
          <w:tab w:val="left" w:pos="270"/>
          <w:tab w:val="left" w:pos="720"/>
        </w:tabs>
        <w:spacing w:line="480" w:lineRule="auto"/>
        <w:ind w:left="270" w:hanging="270"/>
      </w:pPr>
      <w:r>
        <w:tab/>
      </w:r>
      <w:r w:rsidRPr="00AA05FF">
        <w:t>2012</w:t>
      </w:r>
      <w:r w:rsidRPr="003E56EB">
        <w:tab/>
        <w:t xml:space="preserve">In the Shadow of the </w:t>
      </w:r>
      <w:proofErr w:type="spellStart"/>
      <w:r w:rsidRPr="003E56EB">
        <w:t>Peñon</w:t>
      </w:r>
      <w:proofErr w:type="spellEnd"/>
      <w:r w:rsidRPr="003E56EB">
        <w:t xml:space="preserve">: A </w:t>
      </w:r>
      <w:proofErr w:type="spellStart"/>
      <w:r w:rsidRPr="003E56EB">
        <w:t>Zooarchaeological</w:t>
      </w:r>
      <w:proofErr w:type="spellEnd"/>
      <w:r w:rsidRPr="003E56EB">
        <w:t xml:space="preserve"> Study of Formative Diet, Economy, and </w:t>
      </w:r>
      <w:proofErr w:type="spellStart"/>
      <w:r w:rsidRPr="003E56EB">
        <w:t>Sociopolitics</w:t>
      </w:r>
      <w:proofErr w:type="spellEnd"/>
      <w:r w:rsidRPr="003E56EB">
        <w:t xml:space="preserve"> in the Río </w:t>
      </w:r>
      <w:proofErr w:type="spellStart"/>
      <w:r w:rsidRPr="003E56EB">
        <w:t>Pukara</w:t>
      </w:r>
      <w:proofErr w:type="spellEnd"/>
      <w:r w:rsidRPr="003D141A">
        <w:t xml:space="preserve"> Valley, Peru. PhD </w:t>
      </w:r>
      <w:r>
        <w:t>d</w:t>
      </w:r>
      <w:r w:rsidRPr="003D141A">
        <w:t xml:space="preserve">issertation, Department of Anthropology, University of Wisconsin-Milwaukee. </w:t>
      </w:r>
    </w:p>
    <w:sectPr w:rsidR="002B63D6" w:rsidRPr="002B63D6" w:rsidSect="00B265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useFELayout/>
  </w:compat>
  <w:rsids>
    <w:rsidRoot w:val="0086581F"/>
    <w:rsid w:val="000D5696"/>
    <w:rsid w:val="00157064"/>
    <w:rsid w:val="00252244"/>
    <w:rsid w:val="002B63D6"/>
    <w:rsid w:val="002F1C67"/>
    <w:rsid w:val="00362B59"/>
    <w:rsid w:val="003B6BDE"/>
    <w:rsid w:val="003D2E06"/>
    <w:rsid w:val="005608C4"/>
    <w:rsid w:val="006C0BDF"/>
    <w:rsid w:val="006F22F7"/>
    <w:rsid w:val="00760C21"/>
    <w:rsid w:val="00762448"/>
    <w:rsid w:val="0086581F"/>
    <w:rsid w:val="00867A37"/>
    <w:rsid w:val="00867A62"/>
    <w:rsid w:val="009420A4"/>
    <w:rsid w:val="00964E5D"/>
    <w:rsid w:val="009A45BB"/>
    <w:rsid w:val="009C6AA1"/>
    <w:rsid w:val="009F7C58"/>
    <w:rsid w:val="00A46A2B"/>
    <w:rsid w:val="00B2658A"/>
    <w:rsid w:val="00C10C2D"/>
    <w:rsid w:val="00D16899"/>
    <w:rsid w:val="00DE66AC"/>
    <w:rsid w:val="00F356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608C4"/>
    <w:rPr>
      <w:sz w:val="24"/>
      <w:szCs w:val="24"/>
    </w:rPr>
  </w:style>
  <w:style w:type="paragraph" w:styleId="Ttulo1">
    <w:name w:val="heading 1"/>
    <w:basedOn w:val="Normal"/>
    <w:next w:val="Normal"/>
    <w:link w:val="Ttulo1Car"/>
    <w:uiPriority w:val="9"/>
    <w:qFormat/>
    <w:rsid w:val="0086581F"/>
    <w:pPr>
      <w:keepNext/>
      <w:keepLines/>
      <w:spacing w:before="480" w:after="120"/>
      <w:jc w:val="both"/>
      <w:outlineLvl w:val="0"/>
    </w:pPr>
    <w:rPr>
      <w:rFonts w:ascii="Times New Roman" w:eastAsia="MS Gothic" w:hAnsi="Times New Roman"/>
      <w:b/>
      <w:bCs/>
      <w:sz w:val="28"/>
      <w:szCs w:val="32"/>
    </w:rPr>
  </w:style>
  <w:style w:type="paragraph" w:styleId="Ttulo3">
    <w:name w:val="heading 3"/>
    <w:basedOn w:val="Normal"/>
    <w:next w:val="Normal"/>
    <w:link w:val="Ttulo3Car"/>
    <w:uiPriority w:val="9"/>
    <w:qFormat/>
    <w:rsid w:val="00B2658A"/>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581F"/>
    <w:rPr>
      <w:rFonts w:ascii="Times New Roman" w:eastAsia="MS Gothic" w:hAnsi="Times New Roman" w:cs="Times New Roman"/>
      <w:b/>
      <w:bCs/>
      <w:sz w:val="28"/>
      <w:szCs w:val="32"/>
    </w:rPr>
  </w:style>
  <w:style w:type="character" w:customStyle="1" w:styleId="Ttulo3Car">
    <w:name w:val="Título 3 Car"/>
    <w:link w:val="Ttulo3"/>
    <w:uiPriority w:val="9"/>
    <w:semiHidden/>
    <w:rsid w:val="00B2658A"/>
    <w:rPr>
      <w:rFonts w:ascii="Calibri" w:eastAsia="MS Gothic" w:hAnsi="Calibri" w:cs="Times New Roman"/>
      <w:b/>
      <w:bCs/>
      <w:sz w:val="26"/>
      <w:szCs w:val="26"/>
    </w:rPr>
  </w:style>
  <w:style w:type="paragraph" w:styleId="Textoindependiente">
    <w:name w:val="Body Text"/>
    <w:basedOn w:val="Normal"/>
    <w:link w:val="TextoindependienteCar"/>
    <w:uiPriority w:val="99"/>
    <w:semiHidden/>
    <w:unhideWhenUsed/>
    <w:rsid w:val="00B2658A"/>
    <w:pPr>
      <w:spacing w:after="120"/>
    </w:pPr>
  </w:style>
  <w:style w:type="character" w:customStyle="1" w:styleId="TextoindependienteCar">
    <w:name w:val="Texto independiente Car"/>
    <w:link w:val="Textoindependiente"/>
    <w:uiPriority w:val="99"/>
    <w:semiHidden/>
    <w:rsid w:val="00B2658A"/>
    <w:rPr>
      <w:sz w:val="24"/>
      <w:szCs w:val="24"/>
    </w:rPr>
  </w:style>
  <w:style w:type="paragraph" w:styleId="Textoindependienteprimerasangra">
    <w:name w:val="Body Text First Indent"/>
    <w:basedOn w:val="Textoindependiente"/>
    <w:link w:val="TextoindependienteprimerasangraCar"/>
    <w:uiPriority w:val="99"/>
    <w:unhideWhenUsed/>
    <w:rsid w:val="00B2658A"/>
    <w:pPr>
      <w:spacing w:after="0"/>
      <w:ind w:firstLine="360"/>
      <w:jc w:val="both"/>
    </w:pPr>
    <w:rPr>
      <w:rFonts w:ascii="Times New Roman" w:hAnsi="Times New Roman"/>
    </w:rPr>
  </w:style>
  <w:style w:type="character" w:customStyle="1" w:styleId="TextoindependienteprimerasangraCar">
    <w:name w:val="Texto independiente primera sangría Car"/>
    <w:link w:val="Textoindependienteprimerasangra"/>
    <w:uiPriority w:val="99"/>
    <w:rsid w:val="00B2658A"/>
    <w:rPr>
      <w:rFonts w:ascii="Times New Roman" w:eastAsia="MS Mincho" w:hAnsi="Times New Roman"/>
      <w:sz w:val="24"/>
      <w:szCs w:val="24"/>
    </w:rPr>
  </w:style>
  <w:style w:type="paragraph" w:styleId="Textodeglobo">
    <w:name w:val="Balloon Text"/>
    <w:basedOn w:val="Normal"/>
    <w:link w:val="TextodegloboCar"/>
    <w:uiPriority w:val="99"/>
    <w:semiHidden/>
    <w:unhideWhenUsed/>
    <w:rsid w:val="00D168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689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690</Words>
  <Characters>3796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Michigan</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Osborn</dc:creator>
  <cp:lastModifiedBy>Autor</cp:lastModifiedBy>
  <cp:revision>3</cp:revision>
  <dcterms:created xsi:type="dcterms:W3CDTF">2019-02-28T12:39:00Z</dcterms:created>
  <dcterms:modified xsi:type="dcterms:W3CDTF">2019-02-28T17:43:00Z</dcterms:modified>
</cp:coreProperties>
</file>