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E" w:rsidRPr="009F745E" w:rsidRDefault="009F745E" w:rsidP="009F745E">
      <w:pPr>
        <w:spacing w:after="0" w:line="480" w:lineRule="auto"/>
        <w:jc w:val="center"/>
        <w:rPr>
          <w:rFonts w:ascii="Times New Roman" w:eastAsia="Calibri" w:hAnsi="Times New Roman" w:cs="Times New Roman"/>
        </w:rPr>
      </w:pPr>
      <w:r w:rsidRPr="009F745E">
        <w:rPr>
          <w:rFonts w:ascii="Times New Roman" w:eastAsia="Calibri" w:hAnsi="Times New Roman" w:cs="Times New Roman"/>
        </w:rPr>
        <w:t>Tabla Suplementaria 1. Presencia de Cerámicas Atemperadas con Tiesto Molido en Sitios del Nordeste y la Pampa Húmeda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231"/>
        <w:gridCol w:w="1640"/>
        <w:gridCol w:w="1368"/>
        <w:gridCol w:w="2255"/>
        <w:gridCol w:w="1548"/>
      </w:tblGrid>
      <w:tr w:rsidR="009F745E" w:rsidRPr="009F745E" w:rsidTr="009F745E">
        <w:trPr>
          <w:trHeight w:val="836"/>
          <w:jc w:val="center"/>
        </w:trPr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Región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Microrregión/</w:t>
            </w:r>
          </w:p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área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Sitio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Cortes con tiesto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molido</w:t>
            </w:r>
            <w:r w:rsidRPr="009F745E">
              <w:rPr>
                <w:rFonts w:ascii="Times New Roman" w:eastAsia="Times New Roman" w:hAnsi="Times New Roman" w:cs="Times New Roman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Cronología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745E">
              <w:rPr>
                <w:rFonts w:ascii="Times New Roman" w:eastAsia="Times New Roman" w:hAnsi="Times New Roman" w:cs="Times New Roman"/>
                <w:vertAlign w:val="superscript"/>
                <w:lang w:eastAsia="es-ES"/>
              </w:rPr>
              <w:t>14</w:t>
            </w: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C años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aP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Referencias Bibliográficas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Nordeste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Delta del Paraná</w:t>
            </w: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Cerro Puesto</w:t>
            </w:r>
          </w:p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Acosta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Calibri" w:hAnsi="Times New Roman" w:cs="Times New Roman"/>
              </w:rPr>
              <w:t>8:9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Ottalagano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(2013)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Fuerte Sancti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Spiritus</w:t>
            </w:r>
            <w:proofErr w:type="spellEnd"/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Calibri" w:hAnsi="Times New Roman" w:cs="Times New Roman"/>
              </w:rPr>
              <w:t>23:27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contacto hispano-indígena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Letieri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et al. (2015)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Laguna de Los Gansos 1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9F745E">
              <w:rPr>
                <w:rFonts w:ascii="Times New Roman" w:eastAsia="Calibri" w:hAnsi="Times New Roman" w:cs="Times New Roman"/>
              </w:rPr>
              <w:t>7:7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9F745E">
              <w:rPr>
                <w:rFonts w:ascii="Times New Roman" w:eastAsia="Calibri" w:hAnsi="Times New Roman" w:cs="Times New Roman"/>
              </w:rPr>
              <w:t>1740 ± 47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F745E">
              <w:rPr>
                <w:rFonts w:ascii="Times New Roman" w:eastAsia="Calibri" w:hAnsi="Times New Roman" w:cs="Times New Roman"/>
              </w:rPr>
              <w:t>Bonomo</w:t>
            </w:r>
            <w:proofErr w:type="spellEnd"/>
            <w:r w:rsidRPr="009F745E">
              <w:rPr>
                <w:rFonts w:ascii="Times New Roman" w:eastAsia="Calibri" w:hAnsi="Times New Roman" w:cs="Times New Roman"/>
              </w:rPr>
              <w:t xml:space="preserve"> et al. (2016:53)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 w:val="restar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Pampa</w:t>
            </w:r>
          </w:p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Húmeda</w:t>
            </w:r>
          </w:p>
        </w:tc>
        <w:tc>
          <w:tcPr>
            <w:tcW w:w="696" w:type="pct"/>
            <w:vMerge w:val="restar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Norte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Barrio San Clemente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2:5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935 ± 55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Ghiani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Echenique et al</w:t>
            </w:r>
            <w:r w:rsidRPr="009F745E">
              <w:rPr>
                <w:rFonts w:ascii="Times New Roman" w:eastAsia="Times New Roman" w:hAnsi="Times New Roman" w:cs="Times New Roman"/>
                <w:i/>
                <w:lang w:eastAsia="es-ES"/>
              </w:rPr>
              <w:t>.</w:t>
            </w: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(2013:303);</w:t>
            </w:r>
            <w:r w:rsidRPr="009F745E" w:rsidDel="0034789B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Pérez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Meroni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y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Blasi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(1997)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Las Marías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19:28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1590 ±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40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Pérez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Meroni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et al. (2013:97)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Anahí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8:8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1020 ± 70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Loponte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(2008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:123, 174, </w:t>
            </w:r>
            <w:bookmarkStart w:id="0" w:name="_GoBack"/>
            <w:bookmarkEnd w:id="0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212, 260); Pérez et al. (2009)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Las Vizcacheras 1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3:3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1090 ± 40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La Bellaca 2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3:3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680 ± 80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Túmulo de Campana II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1640 ± 70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F745E" w:rsidRPr="009F745E" w:rsidTr="009F745E">
        <w:trPr>
          <w:trHeight w:val="1518"/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Depresión del</w:t>
            </w:r>
          </w:p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río Salado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San Ramón 7 -Techo Colorado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47:50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2433 ± 36 –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270 ± 42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Frère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et al. (2012); González et al. (2006:194) 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Sierras de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Tandilia</w:t>
            </w:r>
            <w:proofErr w:type="spellEnd"/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Cueva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Tixi</w:t>
            </w:r>
            <w:proofErr w:type="spellEnd"/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1:2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715 ± 45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Mazzanti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y Porto López (2007:116)</w:t>
            </w: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Merge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La Amalia 2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7:25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componente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poshispánico</w:t>
            </w:r>
            <w:proofErr w:type="spellEnd"/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F745E" w:rsidRPr="009F745E" w:rsidTr="009F745E">
        <w:trPr>
          <w:jc w:val="center"/>
        </w:trPr>
        <w:tc>
          <w:tcPr>
            <w:tcW w:w="450" w:type="pct"/>
            <w:vMerge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96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Interserrana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Zanjón Seco 2</w:t>
            </w:r>
          </w:p>
        </w:tc>
        <w:tc>
          <w:tcPr>
            <w:tcW w:w="774" w:type="pct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1:4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Calibri" w:hAnsi="Times New Roman" w:cs="Times New Roman"/>
              </w:rPr>
              <w:t>3040 ± 40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F745E" w:rsidRPr="009F745E" w:rsidRDefault="009F745E" w:rsidP="009F745E">
            <w:pPr>
              <w:spacing w:after="0" w:line="48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Madrid (1997); </w:t>
            </w:r>
            <w:proofErr w:type="spellStart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>Politis</w:t>
            </w:r>
            <w:proofErr w:type="spellEnd"/>
            <w:r w:rsidRPr="009F745E">
              <w:rPr>
                <w:rFonts w:ascii="Times New Roman" w:eastAsia="Times New Roman" w:hAnsi="Times New Roman" w:cs="Times New Roman"/>
                <w:lang w:eastAsia="es-ES"/>
              </w:rPr>
              <w:t xml:space="preserve"> et al. (2001:172-174)</w:t>
            </w:r>
          </w:p>
        </w:tc>
      </w:tr>
    </w:tbl>
    <w:p w:rsidR="009F745E" w:rsidRPr="009F745E" w:rsidRDefault="009F745E" w:rsidP="009F745E">
      <w:pPr>
        <w:spacing w:after="200" w:line="480" w:lineRule="auto"/>
        <w:rPr>
          <w:rFonts w:ascii="Times New Roman" w:eastAsia="Calibri" w:hAnsi="Times New Roman" w:cs="Segoe UI"/>
          <w:color w:val="000000"/>
          <w:sz w:val="24"/>
          <w:szCs w:val="24"/>
        </w:rPr>
      </w:pPr>
      <w:proofErr w:type="spellStart"/>
      <w:r w:rsidRPr="009F745E">
        <w:rPr>
          <w:rFonts w:ascii="Times New Roman" w:eastAsia="Times New Roman" w:hAnsi="Times New Roman" w:cs="Times New Roman"/>
          <w:vertAlign w:val="superscript"/>
          <w:lang w:eastAsia="es-ES"/>
        </w:rPr>
        <w:t>a</w:t>
      </w:r>
      <w:r w:rsidRPr="009F745E">
        <w:rPr>
          <w:rFonts w:ascii="Times New Roman" w:eastAsia="Calibri" w:hAnsi="Times New Roman" w:cs="Segoe UI"/>
          <w:color w:val="000000"/>
          <w:sz w:val="24"/>
          <w:szCs w:val="24"/>
        </w:rPr>
        <w:t>Se</w:t>
      </w:r>
      <w:proofErr w:type="spellEnd"/>
      <w:r w:rsidRPr="009F745E">
        <w:rPr>
          <w:rFonts w:ascii="Times New Roman" w:eastAsia="Calibri" w:hAnsi="Times New Roman" w:cs="Segoe UI"/>
          <w:color w:val="000000"/>
          <w:sz w:val="24"/>
          <w:szCs w:val="24"/>
        </w:rPr>
        <w:t xml:space="preserve"> presenta la proporción de pastas con inclusiones de tiesto molido en relación con el total de láminas delgadas analizadas en cada sitio o área. Esta información no siempre es presentada en las publicaciones consultadas.</w:t>
      </w:r>
    </w:p>
    <w:p w:rsidR="009F745E" w:rsidRPr="009F745E" w:rsidRDefault="009F745E" w:rsidP="009F745E">
      <w:pPr>
        <w:spacing w:after="200" w:line="480" w:lineRule="auto"/>
        <w:rPr>
          <w:rFonts w:ascii="Times New Roman" w:eastAsia="Calibri" w:hAnsi="Times New Roman" w:cs="Segoe UI"/>
          <w:color w:val="000000"/>
          <w:sz w:val="24"/>
          <w:szCs w:val="24"/>
        </w:rPr>
      </w:pPr>
    </w:p>
    <w:p w:rsidR="009F745E" w:rsidRPr="009F745E" w:rsidRDefault="009F745E" w:rsidP="009F745E">
      <w:pPr>
        <w:spacing w:after="200" w:line="480" w:lineRule="auto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  <w:r w:rsidRPr="009F745E">
        <w:rPr>
          <w:rFonts w:ascii="Times New Roman" w:eastAsia="Calibri" w:hAnsi="Times New Roman" w:cs="Segoe UI"/>
          <w:b/>
          <w:color w:val="000000"/>
          <w:sz w:val="24"/>
          <w:szCs w:val="24"/>
        </w:rPr>
        <w:t>Referencias Citadas</w:t>
      </w:r>
    </w:p>
    <w:p w:rsidR="009F745E" w:rsidRPr="009F745E" w:rsidRDefault="009F745E" w:rsidP="009F745E">
      <w:pPr>
        <w:spacing w:after="200" w:line="480" w:lineRule="auto"/>
        <w:jc w:val="center"/>
        <w:rPr>
          <w:rFonts w:ascii="Times New Roman" w:eastAsia="Calibri" w:hAnsi="Times New Roman" w:cs="Segoe UI"/>
          <w:b/>
          <w:color w:val="000000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Bonomo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Mariano, Gustavo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Politis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Carolina B. Silva, Laura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Bastourre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María Agustina Ramos van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Raap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Carola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Castiñeira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Latorre, Clara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Scabuzzo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y Eduardo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Apolinaire</w:t>
      </w:r>
      <w:proofErr w:type="spellEnd"/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Estado actual de las investigaciones en la localidad arqueológica Laguna de los Gansos (Diamante, Entre Ríos).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Revista del Museo de Antropología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9(2):51-66.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>Frère</w:t>
      </w:r>
      <w:proofErr w:type="spellEnd"/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>, María Magdalena, María Isabel González, Débora Chan y Myriam Flores</w:t>
      </w:r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2012 </w:t>
      </w: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 xml:space="preserve">Petrografía de la alfarería arqueológica del río Salado bonaerense. </w:t>
      </w:r>
      <w:proofErr w:type="spellStart"/>
      <w:r w:rsidRPr="009F745E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Comechingonia</w:t>
      </w:r>
      <w:proofErr w:type="spellEnd"/>
      <w:r w:rsidRPr="009F745E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. Revista de Arqueología</w:t>
      </w: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16(2):115-137.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Ghiani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Echenique,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Naiquen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Angélica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Uvietta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y Rocío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Gambaro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2013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Alfarerías tubulares en el noreste de la provincia de Buenos Aires: caracterización y distribución.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Revista del Museo de La Plata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13(87):287-302.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González, </w:t>
      </w:r>
      <w:r w:rsidRPr="009F745E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>María Isabel</w:t>
      </w: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9F745E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 xml:space="preserve">María Magdalena </w:t>
      </w:r>
      <w:proofErr w:type="spellStart"/>
      <w:r w:rsidRPr="009F745E">
        <w:rPr>
          <w:rFonts w:ascii="Times New Roman" w:eastAsia="Times New Roman" w:hAnsi="Times New Roman" w:cs="Times New Roman"/>
          <w:iCs/>
          <w:sz w:val="24"/>
          <w:szCs w:val="24"/>
          <w:lang w:eastAsia="es-AR"/>
        </w:rPr>
        <w:t>Frère</w:t>
      </w:r>
      <w:proofErr w:type="spellEnd"/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Paula </w:t>
      </w:r>
      <w:proofErr w:type="spellStart"/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>Ecosteguy</w:t>
      </w:r>
      <w:proofErr w:type="spellEnd"/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2006 </w:t>
      </w: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ab/>
        <w:t xml:space="preserve">El sitio San Ramón 7. Curso inferior del Río Salado, provincia de Buenos Aires. </w:t>
      </w:r>
      <w:r w:rsidRPr="009F745E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Relaciones de la Sociedad Argentina de Antropología</w:t>
      </w:r>
      <w:r w:rsidRPr="009F745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XXXI:187-199.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>Letieri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Fabián, Sergio Escribano Ruíz, Cristina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>Pasquali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Agustín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>Azkarate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Gabriel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>Cocco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Iban Sánchez Pinto y Guillermo De La Fuente </w:t>
      </w:r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2015 </w:t>
      </w:r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Approaching the Cultural Complexity of Pottery from Sancti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Spiritus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Village and Fort (Puerto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Gaboto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Argentina).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745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Global Pottery 1. Historical Archaeology and </w:t>
      </w:r>
      <w:proofErr w:type="spellStart"/>
      <w:r w:rsidRPr="009F745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Archaeometry</w:t>
      </w:r>
      <w:proofErr w:type="spellEnd"/>
      <w:r w:rsidRPr="009F745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for Societies in Contact</w:t>
      </w:r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editado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por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Jaume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Buxeda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Garrigós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Marisol Madrid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Fernández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 Javier G. </w:t>
      </w:r>
      <w:proofErr w:type="spellStart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Iñañez</w:t>
      </w:r>
      <w:proofErr w:type="spellEnd"/>
      <w:r w:rsidRPr="009F745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pp. 241-252. </w:t>
      </w:r>
      <w:r w:rsidRPr="009F7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BAR International Series 2761, 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British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Archaeological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>, Oxford.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Loponte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>, Daniel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2008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Arqueología del Humedal del Paraná Inferior (Bajíos Ribereños Meridionales)</w:t>
      </w:r>
      <w:r w:rsidRPr="009F745E">
        <w:rPr>
          <w:rFonts w:ascii="Times New Roman" w:eastAsia="Calibri" w:hAnsi="Times New Roman" w:cs="Times New Roman"/>
          <w:sz w:val="24"/>
          <w:szCs w:val="24"/>
        </w:rPr>
        <w:t>. Asociación Amigos del Instituto Nacional de Antropología y Pensamiento Latinoamericano, Buenos Aires.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>Madrid, Patricia E. E.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1997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Análisis petrológicos y alfarería pampeana. En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Arqueología Pampeana en la década de los ´90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compilado por Mónica A. Berón y Gustavo G.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Politis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pp. 61-70. Museo </w:t>
      </w:r>
      <w:r w:rsidRPr="009F745E">
        <w:rPr>
          <w:rFonts w:ascii="Times New Roman" w:eastAsia="Calibri" w:hAnsi="Times New Roman" w:cs="Times New Roman"/>
          <w:sz w:val="24"/>
          <w:szCs w:val="24"/>
        </w:rPr>
        <w:lastRenderedPageBreak/>
        <w:t>de Historia de San Rafael, Mendoza e INCUAPA, Facultad de Ciencias Sociales, UNCPBA, Olavarría.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Mazzanti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>, Diana L. y José Manuel Porto López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2007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Caracterización petrográfica y estructural de cerámicas arqueológicas de las Sierras de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Tandilia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. En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Cerámicas arqueológicas. Perspectivas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arqueométricas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para su análisis e interpretación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editado por María Beatriz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Cremonte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y Norma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Ratto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>, pp. 97-122. Universidad Nacional de Jujuy, San Salvador de Jujuy.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Ottalagano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>, Flavia V.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2013 </w:t>
      </w:r>
      <w:r w:rsidRPr="009F745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The pre-Hispanic ceramic technology of South American hunter-gatherers (Paraná River Delta, Argentina): a preliminary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  <w:lang w:val="en-US"/>
        </w:rPr>
        <w:t>archaeometric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study.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Archaeological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Anthropological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5:59-68.</w:t>
      </w: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Pérez,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Maricel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Daniel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Loponte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Isabel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Capparelli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Teresita Montenegro y Noelia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Russo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2009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Estudo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petrográfico da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tecnologia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cerâmica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guarani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no extremo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sul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sua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distribução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: rio Paraná inferior e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estuário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do Rio da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Prata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Argentina.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Revista da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Sociedade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Arqueologia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Brasileira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22(1):65-82.</w:t>
      </w: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Pérez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Meroni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Mercedes y Adriana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Blasi</w:t>
      </w:r>
      <w:proofErr w:type="spellEnd"/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1997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Sitio arqueológico “El Ancla”, provincia de Buenos Aires. Ensayos y experimentación de sedimentos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pelíticos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locales para la manufactura cerámica. En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Arqueología Pampeana en la década de los ´90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compilado por M. A. Berón y G. G.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Politis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745E">
        <w:rPr>
          <w:rFonts w:ascii="Times New Roman" w:eastAsia="Calibri" w:hAnsi="Times New Roman" w:cs="Times New Roman"/>
          <w:sz w:val="24"/>
          <w:szCs w:val="24"/>
        </w:rPr>
        <w:lastRenderedPageBreak/>
        <w:t>pp. 147-160. Museo de Historia de San Rafael, Mendoza e INCUAPA, Facultad de Ciencias Sociales, UNCPBA, Olavarría.</w:t>
      </w: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Pérez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Meroni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Mercedes, María Clara Paleo, Luciano López y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Naiquen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Ghiani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Echenique </w:t>
      </w:r>
    </w:p>
    <w:p w:rsidR="009F745E" w:rsidRPr="009F745E" w:rsidRDefault="009F745E" w:rsidP="009F745E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Caracterización de pastas cerámicas del sitio Las Marías, partido de Magdalena, provincia de Buenos Aires. Integración de distintas líneas de evidencia. </w:t>
      </w:r>
      <w:r w:rsidRPr="009F745E">
        <w:rPr>
          <w:rFonts w:ascii="Times New Roman" w:eastAsia="Calibri" w:hAnsi="Times New Roman" w:cs="Times New Roman"/>
          <w:i/>
          <w:sz w:val="24"/>
          <w:szCs w:val="24"/>
        </w:rPr>
        <w:t>Cuadernos del Instituto Nacional de Antropología y Pensamiento Latinoamericano</w:t>
      </w: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1(2):95-106.</w:t>
      </w: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</w:p>
    <w:p w:rsidR="009F745E" w:rsidRPr="009F745E" w:rsidRDefault="009F745E" w:rsidP="009F745E">
      <w:pPr>
        <w:spacing w:after="0" w:line="480" w:lineRule="auto"/>
        <w:ind w:right="-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Politis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, Gustavo G., Gustavo A. Martínez y Mariano </w:t>
      </w:r>
      <w:proofErr w:type="spellStart"/>
      <w:r w:rsidRPr="009F745E">
        <w:rPr>
          <w:rFonts w:ascii="Times New Roman" w:eastAsia="Calibri" w:hAnsi="Times New Roman" w:cs="Times New Roman"/>
          <w:sz w:val="24"/>
          <w:szCs w:val="24"/>
        </w:rPr>
        <w:t>Bonomo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745E" w:rsidRPr="009F745E" w:rsidRDefault="009F745E" w:rsidP="009F745E">
      <w:pPr>
        <w:spacing w:after="0" w:line="480" w:lineRule="auto"/>
        <w:ind w:right="-93" w:firstLine="708"/>
        <w:rPr>
          <w:rFonts w:ascii="Times New Roman" w:eastAsia="Calibri" w:hAnsi="Times New Roman" w:cs="Times New Roman"/>
          <w:sz w:val="24"/>
          <w:szCs w:val="24"/>
        </w:rPr>
      </w:pPr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2001 </w:t>
      </w:r>
      <w:r w:rsidRPr="009F745E">
        <w:rPr>
          <w:rFonts w:ascii="Times New Roman" w:eastAsia="Calibri" w:hAnsi="Times New Roman" w:cs="Times New Roman"/>
          <w:sz w:val="24"/>
          <w:szCs w:val="24"/>
        </w:rPr>
        <w:tab/>
        <w:t xml:space="preserve">Alfarería temprana en sitios cazadores-recolectores de la región pampeana (Argentina).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Latin</w:t>
      </w:r>
      <w:proofErr w:type="spellEnd"/>
      <w:r w:rsidRPr="009F745E">
        <w:rPr>
          <w:rFonts w:ascii="Times New Roman" w:eastAsia="Calibri" w:hAnsi="Times New Roman" w:cs="Times New Roman"/>
          <w:i/>
          <w:sz w:val="24"/>
          <w:szCs w:val="24"/>
        </w:rPr>
        <w:t xml:space="preserve"> American </w:t>
      </w:r>
      <w:proofErr w:type="spellStart"/>
      <w:r w:rsidRPr="009F745E">
        <w:rPr>
          <w:rFonts w:ascii="Times New Roman" w:eastAsia="Calibri" w:hAnsi="Times New Roman" w:cs="Times New Roman"/>
          <w:i/>
          <w:sz w:val="24"/>
          <w:szCs w:val="24"/>
        </w:rPr>
        <w:t>Antiquity</w:t>
      </w:r>
      <w:proofErr w:type="spellEnd"/>
      <w:r w:rsidRPr="009F745E">
        <w:rPr>
          <w:rFonts w:ascii="Times New Roman" w:eastAsia="Calibri" w:hAnsi="Times New Roman" w:cs="Times New Roman"/>
          <w:sz w:val="24"/>
          <w:szCs w:val="24"/>
        </w:rPr>
        <w:t xml:space="preserve"> 12(2):167-181.</w:t>
      </w:r>
    </w:p>
    <w:p w:rsidR="000123C1" w:rsidRDefault="000123C1"/>
    <w:sectPr w:rsidR="000123C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E"/>
    <w:rsid w:val="000123C1"/>
    <w:rsid w:val="009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F7CE"/>
  <w15:chartTrackingRefBased/>
  <w15:docId w15:val="{131018EB-3C49-4DD1-9537-7476B08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2018-05-05T19:08:00Z</dcterms:created>
  <dcterms:modified xsi:type="dcterms:W3CDTF">2018-05-05T19:15:00Z</dcterms:modified>
</cp:coreProperties>
</file>