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05" w:rsidRPr="00197505" w:rsidRDefault="00197505" w:rsidP="0019750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505">
        <w:rPr>
          <w:rFonts w:ascii="Times New Roman" w:hAnsi="Times New Roman" w:cs="Times New Roman"/>
          <w:b/>
          <w:sz w:val="24"/>
          <w:szCs w:val="24"/>
        </w:rPr>
        <w:t>Leyenda de Figuras Suplementarias</w:t>
      </w:r>
    </w:p>
    <w:p w:rsidR="00197505" w:rsidRDefault="00197505" w:rsidP="00197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7505" w:rsidRDefault="00197505" w:rsidP="001975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>Figura Suplementaria 1. Rangos esperados para valores de δ</w:t>
      </w:r>
      <w:r w:rsidRPr="004A79C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4A79CB">
        <w:rPr>
          <w:rFonts w:ascii="Times New Roman" w:hAnsi="Times New Roman" w:cs="Times New Roman"/>
          <w:sz w:val="24"/>
          <w:szCs w:val="24"/>
        </w:rPr>
        <w:t>O en muestras óseas humanas según la distribución espacial de aguas y valores obtenidos.</w:t>
      </w:r>
    </w:p>
    <w:p w:rsidR="00197505" w:rsidRPr="004A79CB" w:rsidRDefault="00197505" w:rsidP="0019750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505" w:rsidRPr="004A79CB" w:rsidRDefault="00197505" w:rsidP="00197505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>Figura Suplementaria 2. Tendencia y variabilidad de la dieta según el colágeno (proteínas) y apatita (dieta total).</w:t>
      </w:r>
    </w:p>
    <w:p w:rsidR="003E328D" w:rsidRDefault="003E328D"/>
    <w:sectPr w:rsidR="003E328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05"/>
    <w:rsid w:val="00197505"/>
    <w:rsid w:val="003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C4DD"/>
  <w15:chartTrackingRefBased/>
  <w15:docId w15:val="{83A7AC07-8214-4F2F-B445-52CF378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0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2017-09-20T19:48:00Z</dcterms:created>
  <dcterms:modified xsi:type="dcterms:W3CDTF">2017-09-20T19:50:00Z</dcterms:modified>
</cp:coreProperties>
</file>