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FE" w:rsidRPr="003C4A06" w:rsidRDefault="003C4A06">
      <w:pPr>
        <w:rPr>
          <w:rFonts w:ascii="Times New Roman" w:hAnsi="Times New Roman" w:cs="Times New Roman"/>
          <w:sz w:val="24"/>
          <w:szCs w:val="24"/>
        </w:rPr>
      </w:pPr>
      <w:r w:rsidRPr="003C4A06">
        <w:rPr>
          <w:rFonts w:ascii="Times New Roman" w:hAnsi="Times New Roman" w:cs="Times New Roman"/>
          <w:sz w:val="24"/>
          <w:szCs w:val="24"/>
        </w:rPr>
        <w:t xml:space="preserve">Supplemental materials related to the </w:t>
      </w:r>
      <w:proofErr w:type="spellStart"/>
      <w:r w:rsidRPr="003C4A06">
        <w:rPr>
          <w:rFonts w:ascii="Times New Roman" w:hAnsi="Times New Roman" w:cs="Times New Roman"/>
          <w:sz w:val="24"/>
          <w:szCs w:val="24"/>
        </w:rPr>
        <w:t>FreeSurfer</w:t>
      </w:r>
      <w:proofErr w:type="spellEnd"/>
      <w:r w:rsidRPr="003C4A06">
        <w:rPr>
          <w:rFonts w:ascii="Times New Roman" w:hAnsi="Times New Roman" w:cs="Times New Roman"/>
          <w:sz w:val="24"/>
          <w:szCs w:val="24"/>
        </w:rPr>
        <w:t xml:space="preserve"> Methods</w:t>
      </w:r>
    </w:p>
    <w:p w:rsidR="003C4A06" w:rsidRPr="001F2F1A" w:rsidRDefault="003C4A06" w:rsidP="003C4A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>FreeSurfer</w:t>
      </w:r>
      <w:proofErr w:type="spellEnd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(version 5.1.0) software </w:t>
      </w:r>
      <w:proofErr w:type="gramStart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>was used</w:t>
      </w:r>
      <w:proofErr w:type="gramEnd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conduct automatic preprocessing and data analysis pipeline. </w:t>
      </w:r>
      <w:r w:rsidRPr="003C4A06">
        <w:rPr>
          <w:rFonts w:ascii="Times New Roman" w:hAnsi="Times New Roman" w:cs="Times New Roman"/>
          <w:color w:val="000000" w:themeColor="text1"/>
          <w:sz w:val="24"/>
          <w:szCs w:val="24"/>
        </w:rPr>
        <w:t>Briefly, the five MP</w:t>
      </w:r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RAGE T1-weighted images were first co-registered and averaged. </w:t>
      </w:r>
      <w:proofErr w:type="gramStart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averaged image from each subject was then processed following the volume-based stream and surface-based stream analyses including: an affine registration with MNI305 space,  skull stripping, B1 bias field correction, gray-white matter segmentation, reconstruction of cortical surface models (gray-white boundary surface and </w:t>
      </w:r>
      <w:proofErr w:type="spellStart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>pial</w:t>
      </w:r>
      <w:proofErr w:type="spellEnd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surface), labeling of regions on the cortical surface, as well as subcortical brain structures, and nonlinear registration of the cortical surface of an individual with a stereotaxic atlas.</w:t>
      </w:r>
      <w:proofErr w:type="gramEnd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Cortical and subcortical as well as T1-weighted white matter volumes as well as </w:t>
      </w:r>
      <w:proofErr w:type="spellStart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>hypointensities</w:t>
      </w:r>
      <w:proofErr w:type="spellEnd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volumetric measures (equivalent to bright </w:t>
      </w:r>
      <w:proofErr w:type="spellStart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>hyperintensities</w:t>
      </w:r>
      <w:proofErr w:type="spellEnd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T2-weighted images) </w:t>
      </w:r>
      <w:proofErr w:type="gramStart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>were extracted</w:t>
      </w:r>
      <w:proofErr w:type="gramEnd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further group analysis.  Image processing steps were visually inspected (such as skull-stripping errors and gray/white matter boundary) to ensure they had been carried out correctly. </w:t>
      </w:r>
    </w:p>
    <w:p w:rsidR="003C4A06" w:rsidRPr="003C4A06" w:rsidRDefault="003C4A06" w:rsidP="003C4A06">
      <w:pPr>
        <w:spacing w:line="48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focused our regions of interest (ROI) data analyses on bilateral hippocampus, entorhinal cortex, </w:t>
      </w:r>
      <w:proofErr w:type="spellStart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>parahippocampus</w:t>
      </w:r>
      <w:proofErr w:type="spellEnd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>, and </w:t>
      </w:r>
      <w:r w:rsidRPr="001F2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white matter and non-white matter </w:t>
      </w:r>
      <w:proofErr w:type="spellStart"/>
      <w:r w:rsidRPr="001F2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hypointensity</w:t>
      </w:r>
      <w:proofErr w:type="spellEnd"/>
      <w:r w:rsidRPr="001F2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volumes. </w:t>
      </w:r>
      <w:proofErr w:type="gramStart"/>
      <w:r w:rsidRPr="001F2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further explore the relevance of brain volumetric changes in other brain regions with neuroticism, we also included cortical thickness of frontal regions segmented based on </w:t>
      </w:r>
      <w:proofErr w:type="spellStart"/>
      <w:r w:rsidRPr="001F2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Desikan</w:t>
      </w:r>
      <w:proofErr w:type="spellEnd"/>
      <w:r w:rsidRPr="001F2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1F2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Killiany</w:t>
      </w:r>
      <w:proofErr w:type="spellEnd"/>
      <w:r w:rsidRPr="001F2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atlas in the data analysis, specifically, </w:t>
      </w:r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>frontal pole,</w:t>
      </w:r>
      <w:r w:rsidRPr="001F2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medial orbitofrontal cortex,</w:t>
      </w:r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lateral orbitofrontal, pars orbitalis,</w:t>
      </w:r>
      <w:r w:rsidRPr="001F2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pars </w:t>
      </w:r>
      <w:proofErr w:type="spellStart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>triangularis</w:t>
      </w:r>
      <w:proofErr w:type="spellEnd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F2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pars </w:t>
      </w:r>
      <w:proofErr w:type="spellStart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>opercularis</w:t>
      </w:r>
      <w:proofErr w:type="spellEnd"/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>, rostral middle frontal</w:t>
      </w:r>
      <w:r w:rsidRPr="001F2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cortex, caudal middle frontal cortex,</w:t>
      </w:r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superior frontal</w:t>
      </w:r>
      <w:r w:rsidRPr="001F2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cortex, </w:t>
      </w:r>
      <w:r w:rsidRPr="001F2F1A">
        <w:rPr>
          <w:rFonts w:ascii="Times New Roman" w:hAnsi="Times New Roman" w:cs="Times New Roman"/>
          <w:color w:val="000000" w:themeColor="text1"/>
          <w:sz w:val="24"/>
          <w:szCs w:val="24"/>
        </w:rPr>
        <w:t>rostral anterior cingulate, and</w:t>
      </w:r>
      <w:r w:rsidRPr="001F2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caudal ante</w:t>
      </w:r>
      <w:r w:rsidRPr="00773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rior cingulate, posterior cingulate and isthmus cingulate.</w:t>
      </w:r>
      <w:proofErr w:type="gramEnd"/>
      <w:r w:rsidRPr="00773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Finally, in order to avoid ROI selective bias, we also conducted volumetric and cortical thickness analyses using </w:t>
      </w:r>
      <w:proofErr w:type="spellStart"/>
      <w:r w:rsidRPr="00773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mri_glmfit</w:t>
      </w:r>
      <w:proofErr w:type="spellEnd"/>
      <w:r w:rsidRPr="00773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program of </w:t>
      </w:r>
      <w:proofErr w:type="spellStart"/>
      <w:r w:rsidRPr="00773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FreeSurfer</w:t>
      </w:r>
      <w:proofErr w:type="spellEnd"/>
      <w:r w:rsidRPr="00773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(described in the </w:t>
      </w:r>
      <w:r w:rsidR="00EF11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statistical methods section</w:t>
      </w:r>
      <w:bookmarkStart w:id="0" w:name="_GoBack"/>
      <w:bookmarkEnd w:id="0"/>
      <w:r w:rsidRPr="00773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 All structural volumes were </w:t>
      </w:r>
      <w:r w:rsidRPr="00773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normalized (divided by) total cortical volume, and </w:t>
      </w:r>
      <w:proofErr w:type="spellStart"/>
      <w:r w:rsidRPr="00773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hypointensity</w:t>
      </w:r>
      <w:proofErr w:type="spellEnd"/>
      <w:r w:rsidRPr="00773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volumes were normalized by total intracranial volume.</w:t>
      </w:r>
    </w:p>
    <w:sectPr w:rsidR="003C4A06" w:rsidRPr="003C4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06"/>
    <w:rsid w:val="00276BFE"/>
    <w:rsid w:val="003C4A06"/>
    <w:rsid w:val="00E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F7EE"/>
  <w15:chartTrackingRefBased/>
  <w15:docId w15:val="{A89B6B40-8CAB-4478-9493-63802AFB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Steffens,David</dc:creator>
  <cp:keywords/>
  <dc:description/>
  <cp:lastModifiedBy>Steffens,David</cp:lastModifiedBy>
  <cp:revision>2</cp:revision>
  <dcterms:created xsi:type="dcterms:W3CDTF">2021-01-22T15:53:00Z</dcterms:created>
  <dcterms:modified xsi:type="dcterms:W3CDTF">2021-01-22T16:09:00Z</dcterms:modified>
</cp:coreProperties>
</file>