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HAnsi"/>
          <w:color w:val="auto"/>
          <w:sz w:val="22"/>
          <w:szCs w:val="22"/>
          <w:lang w:val="en-GB"/>
        </w:rPr>
        <w:id w:val="1802270513"/>
        <w:docPartObj>
          <w:docPartGallery w:val="Table of Contents"/>
          <w:docPartUnique/>
        </w:docPartObj>
      </w:sdtPr>
      <w:sdtEndPr>
        <w:rPr>
          <w:rFonts w:cstheme="minorBidi"/>
          <w:b/>
          <w:bCs/>
          <w:noProof/>
        </w:rPr>
      </w:sdtEndPr>
      <w:sdtContent>
        <w:p w14:paraId="45A4E696" w14:textId="66609D29" w:rsidR="003009B9" w:rsidRPr="00C91F30" w:rsidRDefault="00BA4D27" w:rsidP="003009B9">
          <w:pPr>
            <w:pStyle w:val="Titolosommario"/>
            <w:jc w:val="center"/>
            <w:rPr>
              <w:rFonts w:asciiTheme="minorHAnsi" w:hAnsiTheme="minorHAnsi" w:cstheme="minorHAnsi"/>
              <w:color w:val="auto"/>
            </w:rPr>
          </w:pPr>
          <w:r w:rsidRPr="00C91F30">
            <w:rPr>
              <w:rFonts w:asciiTheme="minorHAnsi" w:hAnsiTheme="minorHAnsi" w:cstheme="minorHAnsi"/>
              <w:color w:val="auto"/>
            </w:rPr>
            <w:t xml:space="preserve">Additional file </w:t>
          </w:r>
          <w:r w:rsidR="00796324" w:rsidRPr="00C91F30">
            <w:rPr>
              <w:rFonts w:asciiTheme="minorHAnsi" w:hAnsiTheme="minorHAnsi" w:cstheme="minorHAnsi"/>
              <w:color w:val="auto"/>
            </w:rPr>
            <w:t xml:space="preserve">1: </w:t>
          </w:r>
          <w:r w:rsidR="003009B9" w:rsidRPr="00C91F30">
            <w:rPr>
              <w:rFonts w:asciiTheme="minorHAnsi" w:hAnsiTheme="minorHAnsi" w:cstheme="minorHAnsi"/>
              <w:color w:val="auto"/>
            </w:rPr>
            <w:t>Contents</w:t>
          </w:r>
        </w:p>
        <w:p w14:paraId="622EE301" w14:textId="77777777" w:rsidR="003009B9" w:rsidRPr="00C91F30" w:rsidRDefault="003009B9" w:rsidP="003009B9">
          <w:pPr>
            <w:rPr>
              <w:lang w:val="en-US"/>
            </w:rPr>
          </w:pPr>
        </w:p>
        <w:p w14:paraId="342544A5" w14:textId="0A007BB8" w:rsidR="00006FB4" w:rsidRPr="00C91F30" w:rsidRDefault="003009B9">
          <w:pPr>
            <w:pStyle w:val="Sommario1"/>
            <w:tabs>
              <w:tab w:val="right" w:leader="dot" w:pos="9016"/>
            </w:tabs>
            <w:rPr>
              <w:rFonts w:eastAsiaTheme="minorEastAsia"/>
              <w:noProof/>
              <w:lang w:eastAsia="en-GB"/>
            </w:rPr>
          </w:pPr>
          <w:r w:rsidRPr="00C91F30">
            <w:rPr>
              <w:rFonts w:cstheme="minorHAnsi"/>
            </w:rPr>
            <w:fldChar w:fldCharType="begin"/>
          </w:r>
          <w:r w:rsidRPr="00C91F30">
            <w:rPr>
              <w:rFonts w:cstheme="minorHAnsi"/>
            </w:rPr>
            <w:instrText xml:space="preserve"> TOC \o "1-3" \h \z \u </w:instrText>
          </w:r>
          <w:r w:rsidRPr="00C91F30">
            <w:rPr>
              <w:rFonts w:cstheme="minorHAnsi"/>
            </w:rPr>
            <w:fldChar w:fldCharType="separate"/>
          </w:r>
          <w:hyperlink w:anchor="_Toc40455497" w:history="1">
            <w:r w:rsidR="00006FB4" w:rsidRPr="00C91F30">
              <w:rPr>
                <w:rStyle w:val="Collegamentoipertestuale"/>
                <w:b/>
                <w:noProof/>
                <w:lang w:val="en-US"/>
              </w:rPr>
              <w:t>1.1 Excluded studies and reason for exclusion</w:t>
            </w:r>
            <w:r w:rsidR="00006FB4" w:rsidRPr="00C91F30">
              <w:rPr>
                <w:noProof/>
                <w:webHidden/>
              </w:rPr>
              <w:tab/>
            </w:r>
            <w:r w:rsidR="00006FB4" w:rsidRPr="00C91F30">
              <w:rPr>
                <w:noProof/>
                <w:webHidden/>
              </w:rPr>
              <w:fldChar w:fldCharType="begin"/>
            </w:r>
            <w:r w:rsidR="00006FB4" w:rsidRPr="00C91F30">
              <w:rPr>
                <w:noProof/>
                <w:webHidden/>
              </w:rPr>
              <w:instrText xml:space="preserve"> PAGEREF _Toc40455497 \h </w:instrText>
            </w:r>
            <w:r w:rsidR="00006FB4" w:rsidRPr="00C91F30">
              <w:rPr>
                <w:noProof/>
                <w:webHidden/>
              </w:rPr>
            </w:r>
            <w:r w:rsidR="00006FB4" w:rsidRPr="00C91F30">
              <w:rPr>
                <w:noProof/>
                <w:webHidden/>
              </w:rPr>
              <w:fldChar w:fldCharType="separate"/>
            </w:r>
            <w:r w:rsidR="00796324" w:rsidRPr="00C91F30">
              <w:rPr>
                <w:noProof/>
                <w:webHidden/>
              </w:rPr>
              <w:t>2</w:t>
            </w:r>
            <w:r w:rsidR="00006FB4" w:rsidRPr="00C91F30">
              <w:rPr>
                <w:noProof/>
                <w:webHidden/>
              </w:rPr>
              <w:fldChar w:fldCharType="end"/>
            </w:r>
          </w:hyperlink>
        </w:p>
        <w:p w14:paraId="14C745AF" w14:textId="6C172510" w:rsidR="00006FB4" w:rsidRPr="00C91F30" w:rsidRDefault="00C91F30">
          <w:pPr>
            <w:pStyle w:val="Sommario1"/>
            <w:tabs>
              <w:tab w:val="right" w:leader="dot" w:pos="9016"/>
            </w:tabs>
            <w:rPr>
              <w:rFonts w:eastAsiaTheme="minorEastAsia"/>
              <w:noProof/>
              <w:lang w:eastAsia="en-GB"/>
            </w:rPr>
          </w:pPr>
          <w:hyperlink w:anchor="_Toc40455498" w:history="1">
            <w:r w:rsidR="00006FB4" w:rsidRPr="00C91F30">
              <w:rPr>
                <w:rStyle w:val="Collegamentoipertestuale"/>
                <w:b/>
                <w:noProof/>
                <w:lang w:val="en-US"/>
              </w:rPr>
              <w:t>1.2 NICE Applicability checklist: scoring instruction</w:t>
            </w:r>
            <w:r w:rsidR="00006FB4" w:rsidRPr="00C91F30">
              <w:rPr>
                <w:noProof/>
                <w:webHidden/>
              </w:rPr>
              <w:tab/>
            </w:r>
            <w:r w:rsidR="00006FB4" w:rsidRPr="00C91F30">
              <w:rPr>
                <w:noProof/>
                <w:webHidden/>
              </w:rPr>
              <w:fldChar w:fldCharType="begin"/>
            </w:r>
            <w:r w:rsidR="00006FB4" w:rsidRPr="00C91F30">
              <w:rPr>
                <w:noProof/>
                <w:webHidden/>
              </w:rPr>
              <w:instrText xml:space="preserve"> PAGEREF _Toc40455498 \h </w:instrText>
            </w:r>
            <w:r w:rsidR="00006FB4" w:rsidRPr="00C91F30">
              <w:rPr>
                <w:noProof/>
                <w:webHidden/>
              </w:rPr>
            </w:r>
            <w:r w:rsidR="00006FB4" w:rsidRPr="00C91F30">
              <w:rPr>
                <w:noProof/>
                <w:webHidden/>
              </w:rPr>
              <w:fldChar w:fldCharType="separate"/>
            </w:r>
            <w:r w:rsidR="00796324" w:rsidRPr="00C91F30">
              <w:rPr>
                <w:noProof/>
                <w:webHidden/>
              </w:rPr>
              <w:t>6</w:t>
            </w:r>
            <w:r w:rsidR="00006FB4" w:rsidRPr="00C91F30">
              <w:rPr>
                <w:noProof/>
                <w:webHidden/>
              </w:rPr>
              <w:fldChar w:fldCharType="end"/>
            </w:r>
          </w:hyperlink>
        </w:p>
        <w:p w14:paraId="3BC918F3" w14:textId="7AABF1CE" w:rsidR="00006FB4" w:rsidRPr="00C91F30" w:rsidRDefault="00C91F30">
          <w:pPr>
            <w:pStyle w:val="Sommario1"/>
            <w:tabs>
              <w:tab w:val="right" w:leader="dot" w:pos="9016"/>
            </w:tabs>
            <w:rPr>
              <w:rFonts w:eastAsiaTheme="minorEastAsia"/>
              <w:noProof/>
              <w:lang w:eastAsia="en-GB"/>
            </w:rPr>
          </w:pPr>
          <w:hyperlink w:anchor="_Toc40455499" w:history="1">
            <w:r w:rsidR="00006FB4" w:rsidRPr="00C91F30">
              <w:rPr>
                <w:rStyle w:val="Collegamentoipertestuale"/>
                <w:b/>
                <w:noProof/>
                <w:lang w:val="en-US"/>
              </w:rPr>
              <w:t>1.3 NICE Methodology checklist: scoring instruction</w:t>
            </w:r>
            <w:r w:rsidR="00006FB4" w:rsidRPr="00C91F30">
              <w:rPr>
                <w:noProof/>
                <w:webHidden/>
              </w:rPr>
              <w:tab/>
            </w:r>
            <w:r w:rsidR="00006FB4" w:rsidRPr="00C91F30">
              <w:rPr>
                <w:noProof/>
                <w:webHidden/>
              </w:rPr>
              <w:fldChar w:fldCharType="begin"/>
            </w:r>
            <w:r w:rsidR="00006FB4" w:rsidRPr="00C91F30">
              <w:rPr>
                <w:noProof/>
                <w:webHidden/>
              </w:rPr>
              <w:instrText xml:space="preserve"> PAGEREF _Toc40455499 \h </w:instrText>
            </w:r>
            <w:r w:rsidR="00006FB4" w:rsidRPr="00C91F30">
              <w:rPr>
                <w:noProof/>
                <w:webHidden/>
              </w:rPr>
            </w:r>
            <w:r w:rsidR="00006FB4" w:rsidRPr="00C91F30">
              <w:rPr>
                <w:noProof/>
                <w:webHidden/>
              </w:rPr>
              <w:fldChar w:fldCharType="separate"/>
            </w:r>
            <w:r w:rsidR="00796324" w:rsidRPr="00C91F30">
              <w:rPr>
                <w:noProof/>
                <w:webHidden/>
              </w:rPr>
              <w:t>8</w:t>
            </w:r>
            <w:r w:rsidR="00006FB4" w:rsidRPr="00C91F30">
              <w:rPr>
                <w:noProof/>
                <w:webHidden/>
              </w:rPr>
              <w:fldChar w:fldCharType="end"/>
            </w:r>
          </w:hyperlink>
        </w:p>
        <w:p w14:paraId="4E72DB7D" w14:textId="2CCEFBF8" w:rsidR="003009B9" w:rsidRPr="00C91F30" w:rsidRDefault="003009B9">
          <w:r w:rsidRPr="00C91F30">
            <w:rPr>
              <w:rFonts w:cstheme="minorHAnsi"/>
              <w:b/>
              <w:bCs/>
              <w:noProof/>
            </w:rPr>
            <w:fldChar w:fldCharType="end"/>
          </w:r>
        </w:p>
      </w:sdtContent>
    </w:sdt>
    <w:p w14:paraId="275B23BA" w14:textId="77777777" w:rsidR="003009B9" w:rsidRPr="00C91F30" w:rsidRDefault="003009B9">
      <w:pPr>
        <w:rPr>
          <w:lang w:val="en-US"/>
        </w:rPr>
      </w:pPr>
      <w:r w:rsidRPr="00C91F30">
        <w:rPr>
          <w:lang w:val="en-US"/>
        </w:rPr>
        <w:br w:type="page"/>
      </w:r>
    </w:p>
    <w:p w14:paraId="4DFA5DE4" w14:textId="237A1D64" w:rsidR="00555B18" w:rsidRPr="00C91F30" w:rsidRDefault="00555B18" w:rsidP="00BA4D27">
      <w:pPr>
        <w:pStyle w:val="Titolo1"/>
        <w:rPr>
          <w:b/>
          <w:color w:val="auto"/>
          <w:sz w:val="24"/>
          <w:lang w:val="en-US"/>
        </w:rPr>
      </w:pPr>
      <w:bookmarkStart w:id="0" w:name="_Toc40455497"/>
      <w:r w:rsidRPr="00C91F30">
        <w:rPr>
          <w:b/>
          <w:color w:val="auto"/>
          <w:sz w:val="24"/>
          <w:lang w:val="en-US"/>
        </w:rPr>
        <w:lastRenderedPageBreak/>
        <w:t>1.1 Excluded studies and reason for exclusion</w:t>
      </w:r>
      <w:bookmarkEnd w:id="0"/>
    </w:p>
    <w:p w14:paraId="18F0BF95" w14:textId="77777777" w:rsidR="00DD527B" w:rsidRPr="00C91F30" w:rsidRDefault="00DD527B" w:rsidP="00DD527B">
      <w:pPr>
        <w:rPr>
          <w:b/>
          <w:lang w:val="en-US"/>
        </w:rPr>
      </w:pPr>
      <w:r w:rsidRPr="00C91F30">
        <w:rPr>
          <w:b/>
          <w:lang w:val="en-US"/>
        </w:rPr>
        <w:t>No study design: n=20</w:t>
      </w:r>
    </w:p>
    <w:p w14:paraId="66F2831B" w14:textId="7B9F65B8" w:rsidR="00DD527B" w:rsidRPr="00C91F30" w:rsidRDefault="00BC0131" w:rsidP="00DD527B">
      <w:pPr>
        <w:rPr>
          <w:sz w:val="20"/>
          <w:lang w:val="en-US"/>
        </w:rPr>
      </w:pPr>
      <w:r w:rsidRPr="00C91F30">
        <w:rPr>
          <w:sz w:val="20"/>
          <w:lang w:val="en-US"/>
        </w:rPr>
        <w:t>Arksey</w:t>
      </w:r>
      <w:r w:rsidR="00407EAC" w:rsidRPr="00C91F30">
        <w:rPr>
          <w:sz w:val="20"/>
          <w:lang w:val="en-US"/>
        </w:rPr>
        <w:t>,</w:t>
      </w:r>
      <w:r w:rsidRPr="00C91F30">
        <w:rPr>
          <w:sz w:val="20"/>
          <w:lang w:val="en-US"/>
        </w:rPr>
        <w:t xml:space="preserve"> H</w:t>
      </w:r>
      <w:r w:rsidR="00407EAC" w:rsidRPr="00C91F30">
        <w:rPr>
          <w:sz w:val="20"/>
          <w:lang w:val="en-US"/>
        </w:rPr>
        <w:t>.</w:t>
      </w:r>
      <w:r w:rsidRPr="00C91F30">
        <w:rPr>
          <w:sz w:val="20"/>
          <w:lang w:val="en-US"/>
        </w:rPr>
        <w:t>, Jackson</w:t>
      </w:r>
      <w:r w:rsidR="00407EAC" w:rsidRPr="00C91F30">
        <w:rPr>
          <w:sz w:val="20"/>
          <w:lang w:val="en-US"/>
        </w:rPr>
        <w:t>.</w:t>
      </w:r>
      <w:r w:rsidRPr="00C91F30">
        <w:rPr>
          <w:sz w:val="20"/>
          <w:lang w:val="en-US"/>
        </w:rPr>
        <w:t xml:space="preserve"> K</w:t>
      </w:r>
      <w:r w:rsidR="00407EAC" w:rsidRPr="00C91F30">
        <w:rPr>
          <w:sz w:val="20"/>
          <w:lang w:val="en-US"/>
        </w:rPr>
        <w:t>.</w:t>
      </w:r>
      <w:r w:rsidRPr="00C91F30">
        <w:rPr>
          <w:sz w:val="20"/>
          <w:lang w:val="en-US"/>
        </w:rPr>
        <w:t>, Croucher</w:t>
      </w:r>
      <w:r w:rsidR="00407EAC" w:rsidRPr="00C91F30">
        <w:rPr>
          <w:sz w:val="20"/>
          <w:lang w:val="en-US"/>
        </w:rPr>
        <w:t>,</w:t>
      </w:r>
      <w:r w:rsidRPr="00C91F30">
        <w:rPr>
          <w:sz w:val="20"/>
          <w:lang w:val="en-US"/>
        </w:rPr>
        <w:t xml:space="preserve"> K</w:t>
      </w:r>
      <w:r w:rsidR="00407EAC" w:rsidRPr="00C91F30">
        <w:rPr>
          <w:sz w:val="20"/>
          <w:lang w:val="en-US"/>
        </w:rPr>
        <w:t>.</w:t>
      </w:r>
      <w:r w:rsidRPr="00C91F30">
        <w:rPr>
          <w:sz w:val="20"/>
          <w:lang w:val="en-US"/>
        </w:rPr>
        <w:t>, Weatherly</w:t>
      </w:r>
      <w:r w:rsidR="00407EAC" w:rsidRPr="00C91F30">
        <w:rPr>
          <w:sz w:val="20"/>
          <w:lang w:val="en-US"/>
        </w:rPr>
        <w:t>,</w:t>
      </w:r>
      <w:r w:rsidRPr="00C91F30">
        <w:rPr>
          <w:sz w:val="20"/>
          <w:lang w:val="en-US"/>
        </w:rPr>
        <w:t xml:space="preserve"> H</w:t>
      </w:r>
      <w:r w:rsidR="00407EAC" w:rsidRPr="00C91F30">
        <w:rPr>
          <w:sz w:val="20"/>
          <w:lang w:val="en-US"/>
        </w:rPr>
        <w:t>.</w:t>
      </w:r>
      <w:r w:rsidRPr="00C91F30">
        <w:rPr>
          <w:sz w:val="20"/>
          <w:lang w:val="en-US"/>
        </w:rPr>
        <w:t>, Golder</w:t>
      </w:r>
      <w:r w:rsidR="00407EAC" w:rsidRPr="00C91F30">
        <w:rPr>
          <w:sz w:val="20"/>
          <w:lang w:val="en-US"/>
        </w:rPr>
        <w:t>,</w:t>
      </w:r>
      <w:r w:rsidRPr="00C91F30">
        <w:rPr>
          <w:sz w:val="20"/>
          <w:lang w:val="en-US"/>
        </w:rPr>
        <w:t xml:space="preserve"> S</w:t>
      </w:r>
      <w:r w:rsidR="00407EAC" w:rsidRPr="00C91F30">
        <w:rPr>
          <w:sz w:val="20"/>
          <w:lang w:val="en-US"/>
        </w:rPr>
        <w:t>.</w:t>
      </w:r>
      <w:r w:rsidRPr="00C91F30">
        <w:rPr>
          <w:sz w:val="20"/>
          <w:lang w:val="en-US"/>
        </w:rPr>
        <w:t>, Hare</w:t>
      </w:r>
      <w:r w:rsidR="00407EAC" w:rsidRPr="00C91F30">
        <w:rPr>
          <w:sz w:val="20"/>
          <w:lang w:val="en-US"/>
        </w:rPr>
        <w:t>,</w:t>
      </w:r>
      <w:r w:rsidRPr="00C91F30">
        <w:rPr>
          <w:sz w:val="20"/>
          <w:lang w:val="en-US"/>
        </w:rPr>
        <w:t xml:space="preserve"> P</w:t>
      </w:r>
      <w:r w:rsidR="00407EAC" w:rsidRPr="00C91F30">
        <w:rPr>
          <w:sz w:val="20"/>
          <w:lang w:val="en-US"/>
        </w:rPr>
        <w:t>.</w:t>
      </w:r>
      <w:r w:rsidRPr="00C91F30">
        <w:rPr>
          <w:sz w:val="20"/>
          <w:lang w:val="en-US"/>
        </w:rPr>
        <w:t xml:space="preserve">, </w:t>
      </w:r>
      <w:proofErr w:type="spellStart"/>
      <w:r w:rsidRPr="00C91F30">
        <w:rPr>
          <w:sz w:val="20"/>
          <w:lang w:val="en-US"/>
        </w:rPr>
        <w:t>Newbronner</w:t>
      </w:r>
      <w:proofErr w:type="spellEnd"/>
      <w:r w:rsidR="00407EAC" w:rsidRPr="00C91F30">
        <w:rPr>
          <w:sz w:val="20"/>
          <w:lang w:val="en-US"/>
        </w:rPr>
        <w:t>,</w:t>
      </w:r>
      <w:r w:rsidRPr="00C91F30">
        <w:rPr>
          <w:sz w:val="20"/>
          <w:lang w:val="en-US"/>
        </w:rPr>
        <w:t xml:space="preserve"> E</w:t>
      </w:r>
      <w:r w:rsidR="00407EAC" w:rsidRPr="00C91F30">
        <w:rPr>
          <w:sz w:val="20"/>
          <w:lang w:val="en-US"/>
        </w:rPr>
        <w:t>.</w:t>
      </w:r>
      <w:r w:rsidRPr="00C91F30">
        <w:rPr>
          <w:sz w:val="20"/>
          <w:lang w:val="en-US"/>
        </w:rPr>
        <w:t>, Baldwin</w:t>
      </w:r>
      <w:r w:rsidR="00407EAC" w:rsidRPr="00C91F30">
        <w:rPr>
          <w:sz w:val="20"/>
          <w:lang w:val="en-US"/>
        </w:rPr>
        <w:t>,</w:t>
      </w:r>
      <w:r w:rsidRPr="00C91F30">
        <w:rPr>
          <w:sz w:val="20"/>
          <w:lang w:val="en-US"/>
        </w:rPr>
        <w:t xml:space="preserve"> S. </w:t>
      </w:r>
      <w:r w:rsidR="00407EAC" w:rsidRPr="00C91F30">
        <w:rPr>
          <w:sz w:val="20"/>
          <w:lang w:val="en-US"/>
        </w:rPr>
        <w:t xml:space="preserve">(2004) </w:t>
      </w:r>
      <w:r w:rsidRPr="00C91F30">
        <w:rPr>
          <w:sz w:val="20"/>
          <w:lang w:val="en-US"/>
        </w:rPr>
        <w:t xml:space="preserve">Review of respite services and short-term breaks for carers for people with dementia. London: London School of Hygiene and Tropical Medicine, </w:t>
      </w:r>
      <w:r w:rsidRPr="00C91F30">
        <w:rPr>
          <w:i/>
          <w:iCs/>
          <w:sz w:val="20"/>
          <w:lang w:val="en-US"/>
        </w:rPr>
        <w:t xml:space="preserve">National Co-ordinating Centre for NHS Service Delivery and </w:t>
      </w:r>
      <w:proofErr w:type="spellStart"/>
      <w:r w:rsidRPr="00C91F30">
        <w:rPr>
          <w:i/>
          <w:iCs/>
          <w:sz w:val="20"/>
          <w:lang w:val="en-US"/>
        </w:rPr>
        <w:t>Organisation</w:t>
      </w:r>
      <w:proofErr w:type="spellEnd"/>
      <w:r w:rsidRPr="00C91F30">
        <w:rPr>
          <w:i/>
          <w:iCs/>
          <w:sz w:val="20"/>
          <w:lang w:val="en-US"/>
        </w:rPr>
        <w:t xml:space="preserve"> R </w:t>
      </w:r>
      <w:r w:rsidR="00BA4D27" w:rsidRPr="00C91F30">
        <w:rPr>
          <w:i/>
          <w:iCs/>
          <w:sz w:val="20"/>
          <w:lang w:val="en-US"/>
        </w:rPr>
        <w:t>and</w:t>
      </w:r>
      <w:r w:rsidRPr="00C91F30">
        <w:rPr>
          <w:i/>
          <w:iCs/>
          <w:sz w:val="20"/>
          <w:lang w:val="en-US"/>
        </w:rPr>
        <w:t xml:space="preserve"> D (NCCSDO)</w:t>
      </w:r>
      <w:r w:rsidR="00271149" w:rsidRPr="00C91F30">
        <w:rPr>
          <w:sz w:val="20"/>
          <w:lang w:val="en-US"/>
        </w:rPr>
        <w:t xml:space="preserve">, </w:t>
      </w:r>
      <w:r w:rsidR="00920856" w:rsidRPr="00C91F30">
        <w:rPr>
          <w:sz w:val="20"/>
        </w:rPr>
        <w:t xml:space="preserve">[online]. Available at </w:t>
      </w:r>
      <w:hyperlink r:id="rId6" w:history="1">
        <w:r w:rsidR="00920856" w:rsidRPr="00C91F30">
          <w:rPr>
            <w:rStyle w:val="Collegamentoipertestuale"/>
            <w:sz w:val="20"/>
          </w:rPr>
          <w:t>http://www.netscc.ac.uk/hsdr/files/project/SDO_FR_08-1309-048_V01.pdf</w:t>
        </w:r>
      </w:hyperlink>
      <w:r w:rsidR="00920856" w:rsidRPr="00C91F30">
        <w:rPr>
          <w:sz w:val="20"/>
        </w:rPr>
        <w:t>; last accessed 10 June 2020</w:t>
      </w:r>
    </w:p>
    <w:p w14:paraId="009C83B2" w14:textId="14AEF0A1" w:rsidR="00DD527B" w:rsidRPr="00C91F30" w:rsidRDefault="00BC0131" w:rsidP="00DD527B">
      <w:pPr>
        <w:rPr>
          <w:sz w:val="20"/>
          <w:lang w:val="en-US"/>
        </w:rPr>
      </w:pPr>
      <w:r w:rsidRPr="00C91F30">
        <w:rPr>
          <w:sz w:val="20"/>
        </w:rPr>
        <w:t xml:space="preserve">Chau, J., Lo, S., Lee, V., Choi, K. C., Shum, E., Hung, Z., </w:t>
      </w:r>
      <w:proofErr w:type="spellStart"/>
      <w:r w:rsidRPr="00C91F30">
        <w:rPr>
          <w:sz w:val="20"/>
        </w:rPr>
        <w:t>Mok</w:t>
      </w:r>
      <w:proofErr w:type="spellEnd"/>
      <w:r w:rsidRPr="00C91F30">
        <w:rPr>
          <w:sz w:val="20"/>
        </w:rPr>
        <w:t xml:space="preserve">, V., </w:t>
      </w:r>
      <w:proofErr w:type="spellStart"/>
      <w:r w:rsidRPr="00C91F30">
        <w:rPr>
          <w:sz w:val="20"/>
        </w:rPr>
        <w:t>Siow</w:t>
      </w:r>
      <w:proofErr w:type="spellEnd"/>
      <w:r w:rsidRPr="00C91F30">
        <w:rPr>
          <w:sz w:val="20"/>
        </w:rPr>
        <w:t xml:space="preserve">, E., Ching, J., Lam, S., Yeung, J., Li, S. H., </w:t>
      </w:r>
      <w:r w:rsidR="00BA4D27" w:rsidRPr="00C91F30">
        <w:rPr>
          <w:sz w:val="20"/>
        </w:rPr>
        <w:t>and</w:t>
      </w:r>
      <w:r w:rsidRPr="00C91F30">
        <w:rPr>
          <w:sz w:val="20"/>
        </w:rPr>
        <w:t xml:space="preserve"> Lau, A. (2019). Effectiveness and cost-effectiveness of a virtual multidisciplinary stroke care clinic for community-dwelling stroke survivors and caregivers: a randomised controlled trial protocol. </w:t>
      </w:r>
      <w:r w:rsidRPr="00C91F30">
        <w:rPr>
          <w:i/>
          <w:iCs/>
          <w:sz w:val="20"/>
        </w:rPr>
        <w:t>BMJ open</w:t>
      </w:r>
      <w:r w:rsidRPr="00C91F30">
        <w:rPr>
          <w:sz w:val="20"/>
        </w:rPr>
        <w:t>, </w:t>
      </w:r>
      <w:r w:rsidRPr="00C91F30">
        <w:rPr>
          <w:i/>
          <w:iCs/>
          <w:sz w:val="20"/>
        </w:rPr>
        <w:t>9</w:t>
      </w:r>
      <w:r w:rsidRPr="00C91F30">
        <w:rPr>
          <w:sz w:val="20"/>
        </w:rPr>
        <w:t>(5), e026500. https://doi.org/10.1136/bmjopen-2018-026500</w:t>
      </w:r>
    </w:p>
    <w:p w14:paraId="0F74F1D3" w14:textId="220CED91" w:rsidR="00DD527B" w:rsidRPr="00C91F30" w:rsidRDefault="00BC0131" w:rsidP="00DD527B">
      <w:pPr>
        <w:rPr>
          <w:sz w:val="20"/>
          <w:lang w:val="en-US"/>
        </w:rPr>
      </w:pPr>
      <w:r w:rsidRPr="00C91F30">
        <w:rPr>
          <w:sz w:val="20"/>
        </w:rPr>
        <w:t xml:space="preserve">Gardiner, C., Brereton, L., Frey, R., Wilkinson-Meyers, L., </w:t>
      </w:r>
      <w:r w:rsidR="00BA4D27" w:rsidRPr="00C91F30">
        <w:rPr>
          <w:sz w:val="20"/>
        </w:rPr>
        <w:t>and</w:t>
      </w:r>
      <w:r w:rsidRPr="00C91F30">
        <w:rPr>
          <w:sz w:val="20"/>
        </w:rPr>
        <w:t xml:space="preserve"> Gott, M. (2016). Approaches to capturing the financial cost of family care-giving within a palliative care context: a systematic review. </w:t>
      </w:r>
      <w:r w:rsidRPr="00C91F30">
        <w:rPr>
          <w:i/>
          <w:iCs/>
          <w:sz w:val="20"/>
        </w:rPr>
        <w:t xml:space="preserve">Health </w:t>
      </w:r>
      <w:r w:rsidR="00BA4D27" w:rsidRPr="00C91F30">
        <w:rPr>
          <w:i/>
          <w:iCs/>
          <w:sz w:val="20"/>
        </w:rPr>
        <w:t>and</w:t>
      </w:r>
      <w:r w:rsidRPr="00C91F30">
        <w:rPr>
          <w:i/>
          <w:iCs/>
          <w:sz w:val="20"/>
        </w:rPr>
        <w:t xml:space="preserve"> social care in the community</w:t>
      </w:r>
      <w:r w:rsidRPr="00C91F30">
        <w:rPr>
          <w:sz w:val="20"/>
        </w:rPr>
        <w:t>, </w:t>
      </w:r>
      <w:r w:rsidRPr="00C91F30">
        <w:rPr>
          <w:i/>
          <w:iCs/>
          <w:sz w:val="20"/>
        </w:rPr>
        <w:t>24</w:t>
      </w:r>
      <w:r w:rsidRPr="00C91F30">
        <w:rPr>
          <w:sz w:val="20"/>
        </w:rPr>
        <w:t>(5), 519–531. https://doi.org/10.1111/hsc.12253</w:t>
      </w:r>
    </w:p>
    <w:p w14:paraId="146DDAF0" w14:textId="2DBCCCB2" w:rsidR="00DD527B" w:rsidRPr="00C91F30" w:rsidRDefault="00BC0131" w:rsidP="00DD527B">
      <w:pPr>
        <w:rPr>
          <w:sz w:val="20"/>
          <w:lang w:val="en-US"/>
        </w:rPr>
      </w:pPr>
      <w:r w:rsidRPr="00C91F30">
        <w:rPr>
          <w:sz w:val="20"/>
          <w:lang w:val="it-IT"/>
        </w:rPr>
        <w:t xml:space="preserve">Gomes, B., </w:t>
      </w:r>
      <w:proofErr w:type="spellStart"/>
      <w:r w:rsidRPr="00C91F30">
        <w:rPr>
          <w:sz w:val="20"/>
          <w:lang w:val="it-IT"/>
        </w:rPr>
        <w:t>Calanzani</w:t>
      </w:r>
      <w:proofErr w:type="spellEnd"/>
      <w:r w:rsidRPr="00C91F30">
        <w:rPr>
          <w:sz w:val="20"/>
          <w:lang w:val="it-IT"/>
        </w:rPr>
        <w:t xml:space="preserve">, N., Curiale, V., </w:t>
      </w:r>
      <w:proofErr w:type="spellStart"/>
      <w:r w:rsidRPr="00C91F30">
        <w:rPr>
          <w:sz w:val="20"/>
          <w:lang w:val="it-IT"/>
        </w:rPr>
        <w:t>McCrone</w:t>
      </w:r>
      <w:proofErr w:type="spellEnd"/>
      <w:r w:rsidRPr="00C91F30">
        <w:rPr>
          <w:sz w:val="20"/>
          <w:lang w:val="it-IT"/>
        </w:rPr>
        <w:t xml:space="preserve">, P., </w:t>
      </w:r>
      <w:r w:rsidR="00BA4D27" w:rsidRPr="00C91F30">
        <w:rPr>
          <w:sz w:val="20"/>
          <w:lang w:val="it-IT"/>
        </w:rPr>
        <w:t>and</w:t>
      </w:r>
      <w:r w:rsidRPr="00C91F30">
        <w:rPr>
          <w:sz w:val="20"/>
          <w:lang w:val="it-IT"/>
        </w:rPr>
        <w:t xml:space="preserve"> </w:t>
      </w:r>
      <w:proofErr w:type="spellStart"/>
      <w:r w:rsidRPr="00C91F30">
        <w:rPr>
          <w:sz w:val="20"/>
          <w:lang w:val="it-IT"/>
        </w:rPr>
        <w:t>Higginson</w:t>
      </w:r>
      <w:proofErr w:type="spellEnd"/>
      <w:r w:rsidRPr="00C91F30">
        <w:rPr>
          <w:sz w:val="20"/>
          <w:lang w:val="it-IT"/>
        </w:rPr>
        <w:t xml:space="preserve">, I. J. (2013). </w:t>
      </w:r>
      <w:r w:rsidRPr="00C91F30">
        <w:rPr>
          <w:sz w:val="20"/>
        </w:rPr>
        <w:t>Effectiveness and cost-effectiveness of home palliative care services for adults with advanced illness and their caregivers. </w:t>
      </w:r>
      <w:r w:rsidRPr="00C91F30">
        <w:rPr>
          <w:i/>
          <w:iCs/>
          <w:sz w:val="20"/>
        </w:rPr>
        <w:t>The Cochrane database of systematic reviews</w:t>
      </w:r>
      <w:r w:rsidRPr="00C91F30">
        <w:rPr>
          <w:sz w:val="20"/>
        </w:rPr>
        <w:t>, (6), CD007760. https://doi.org/10.1002/14651858.CD007760.pub2</w:t>
      </w:r>
    </w:p>
    <w:p w14:paraId="5574D967" w14:textId="51BD1423" w:rsidR="00DD527B" w:rsidRPr="00C91F30" w:rsidRDefault="00BC0131" w:rsidP="00DD527B">
      <w:pPr>
        <w:rPr>
          <w:sz w:val="20"/>
          <w:lang w:val="en-US"/>
        </w:rPr>
      </w:pPr>
      <w:r w:rsidRPr="00C91F30">
        <w:rPr>
          <w:sz w:val="20"/>
        </w:rPr>
        <w:t xml:space="preserve">Gomes, B., Calanzani, N., </w:t>
      </w:r>
      <w:r w:rsidR="00BA4D27" w:rsidRPr="00C91F30">
        <w:rPr>
          <w:sz w:val="20"/>
        </w:rPr>
        <w:t>and</w:t>
      </w:r>
      <w:r w:rsidRPr="00C91F30">
        <w:rPr>
          <w:sz w:val="20"/>
        </w:rPr>
        <w:t xml:space="preserve"> Higginson, I. J. (2014). </w:t>
      </w:r>
      <w:r w:rsidRPr="00C91F30">
        <w:rPr>
          <w:sz w:val="20"/>
          <w:lang w:val="en-US"/>
        </w:rPr>
        <w:t>Benefits and costs of home palliative care compared with usual care for patients with advanced illness and their family caregivers. JAMA, 311(10), 1060–1061. https://doi.org/10.1001/jama.2014.553</w:t>
      </w:r>
    </w:p>
    <w:p w14:paraId="7EC52D0D" w14:textId="50A02F37" w:rsidR="00DD527B" w:rsidRPr="00C91F30" w:rsidRDefault="00BC0131" w:rsidP="00DD527B">
      <w:pPr>
        <w:rPr>
          <w:sz w:val="20"/>
          <w:lang w:val="en-US"/>
        </w:rPr>
      </w:pPr>
      <w:proofErr w:type="spellStart"/>
      <w:r w:rsidRPr="00C91F30">
        <w:rPr>
          <w:sz w:val="20"/>
          <w:lang w:val="en-US"/>
        </w:rPr>
        <w:t>Heslin</w:t>
      </w:r>
      <w:proofErr w:type="spellEnd"/>
      <w:r w:rsidRPr="00C91F30">
        <w:rPr>
          <w:sz w:val="20"/>
          <w:lang w:val="en-US"/>
        </w:rPr>
        <w:t xml:space="preserve">, M., Forster, A., Healey, A., </w:t>
      </w:r>
      <w:r w:rsidR="00BA4D27" w:rsidRPr="00C91F30">
        <w:rPr>
          <w:sz w:val="20"/>
          <w:lang w:val="en-US"/>
        </w:rPr>
        <w:t>and</w:t>
      </w:r>
      <w:r w:rsidRPr="00C91F30">
        <w:rPr>
          <w:sz w:val="20"/>
          <w:lang w:val="en-US"/>
        </w:rPr>
        <w:t xml:space="preserve"> Patel, A. (2016). A systematic review of the economic evidence for interventions for family carers of stroke patients. Clinical rehabilitation, 30(2), 119–133. https://doi.org/10.1177/0269215515575334</w:t>
      </w:r>
    </w:p>
    <w:p w14:paraId="6D5E5224" w14:textId="3635DAC3" w:rsidR="00DD527B" w:rsidRPr="00C91F30" w:rsidRDefault="00BC0131" w:rsidP="00DD527B">
      <w:pPr>
        <w:rPr>
          <w:sz w:val="20"/>
          <w:lang w:val="en-US"/>
        </w:rPr>
      </w:pPr>
      <w:proofErr w:type="spellStart"/>
      <w:r w:rsidRPr="00C91F30">
        <w:rPr>
          <w:sz w:val="20"/>
        </w:rPr>
        <w:t>Huter</w:t>
      </w:r>
      <w:proofErr w:type="spellEnd"/>
      <w:r w:rsidRPr="00C91F30">
        <w:rPr>
          <w:sz w:val="20"/>
        </w:rPr>
        <w:t xml:space="preserve">, K., </w:t>
      </w:r>
      <w:proofErr w:type="spellStart"/>
      <w:r w:rsidRPr="00C91F30">
        <w:rPr>
          <w:sz w:val="20"/>
        </w:rPr>
        <w:t>Kocot</w:t>
      </w:r>
      <w:proofErr w:type="spellEnd"/>
      <w:r w:rsidRPr="00C91F30">
        <w:rPr>
          <w:sz w:val="20"/>
        </w:rPr>
        <w:t xml:space="preserve">, E., </w:t>
      </w:r>
      <w:proofErr w:type="spellStart"/>
      <w:r w:rsidRPr="00C91F30">
        <w:rPr>
          <w:sz w:val="20"/>
        </w:rPr>
        <w:t>Kissimova</w:t>
      </w:r>
      <w:proofErr w:type="spellEnd"/>
      <w:r w:rsidRPr="00C91F30">
        <w:rPr>
          <w:sz w:val="20"/>
        </w:rPr>
        <w:t xml:space="preserve">-Skarbek, K., </w:t>
      </w:r>
      <w:proofErr w:type="spellStart"/>
      <w:r w:rsidRPr="00C91F30">
        <w:rPr>
          <w:sz w:val="20"/>
        </w:rPr>
        <w:t>Dubas-Jakóbczyk</w:t>
      </w:r>
      <w:proofErr w:type="spellEnd"/>
      <w:r w:rsidRPr="00C91F30">
        <w:rPr>
          <w:sz w:val="20"/>
        </w:rPr>
        <w:t xml:space="preserve">, K., </w:t>
      </w:r>
      <w:r w:rsidR="00BA4D27" w:rsidRPr="00C91F30">
        <w:rPr>
          <w:sz w:val="20"/>
        </w:rPr>
        <w:t>and</w:t>
      </w:r>
      <w:r w:rsidRPr="00C91F30">
        <w:rPr>
          <w:sz w:val="20"/>
        </w:rPr>
        <w:t xml:space="preserve"> </w:t>
      </w:r>
      <w:proofErr w:type="spellStart"/>
      <w:r w:rsidRPr="00C91F30">
        <w:rPr>
          <w:sz w:val="20"/>
        </w:rPr>
        <w:t>Rothgang</w:t>
      </w:r>
      <w:proofErr w:type="spellEnd"/>
      <w:r w:rsidRPr="00C91F30">
        <w:rPr>
          <w:sz w:val="20"/>
        </w:rPr>
        <w:t>, H. (2016). Economic evaluation of health promotion for older people-methodological problems and challenges. </w:t>
      </w:r>
      <w:r w:rsidRPr="00C91F30">
        <w:rPr>
          <w:i/>
          <w:iCs/>
          <w:sz w:val="20"/>
        </w:rPr>
        <w:t>BMC health services research</w:t>
      </w:r>
      <w:r w:rsidRPr="00C91F30">
        <w:rPr>
          <w:sz w:val="20"/>
        </w:rPr>
        <w:t>, </w:t>
      </w:r>
      <w:r w:rsidRPr="00C91F30">
        <w:rPr>
          <w:i/>
          <w:iCs/>
          <w:sz w:val="20"/>
        </w:rPr>
        <w:t xml:space="preserve">16 </w:t>
      </w:r>
      <w:proofErr w:type="spellStart"/>
      <w:r w:rsidRPr="00C91F30">
        <w:rPr>
          <w:i/>
          <w:iCs/>
          <w:sz w:val="20"/>
        </w:rPr>
        <w:t>Suppl</w:t>
      </w:r>
      <w:proofErr w:type="spellEnd"/>
      <w:r w:rsidRPr="00C91F30">
        <w:rPr>
          <w:i/>
          <w:iCs/>
          <w:sz w:val="20"/>
        </w:rPr>
        <w:t xml:space="preserve"> 5</w:t>
      </w:r>
      <w:r w:rsidRPr="00C91F30">
        <w:rPr>
          <w:sz w:val="20"/>
        </w:rPr>
        <w:t>(</w:t>
      </w:r>
      <w:proofErr w:type="spellStart"/>
      <w:r w:rsidRPr="00C91F30">
        <w:rPr>
          <w:sz w:val="20"/>
        </w:rPr>
        <w:t>Suppl</w:t>
      </w:r>
      <w:proofErr w:type="spellEnd"/>
      <w:r w:rsidRPr="00C91F30">
        <w:rPr>
          <w:sz w:val="20"/>
        </w:rPr>
        <w:t xml:space="preserve"> 5), 328. https://doi.org/10.1186/s12913-016-1519-y</w:t>
      </w:r>
    </w:p>
    <w:p w14:paraId="56822A2F" w14:textId="2E9DCCAC" w:rsidR="00DD527B" w:rsidRPr="00C91F30" w:rsidRDefault="00BC0131" w:rsidP="00DD527B">
      <w:pPr>
        <w:rPr>
          <w:sz w:val="20"/>
          <w:lang w:val="en-US"/>
        </w:rPr>
      </w:pPr>
      <w:r w:rsidRPr="00C91F30">
        <w:rPr>
          <w:sz w:val="20"/>
        </w:rPr>
        <w:t xml:space="preserve">Jones, C., Edwards, R. T., </w:t>
      </w:r>
      <w:r w:rsidR="00BA4D27" w:rsidRPr="00C91F30">
        <w:rPr>
          <w:sz w:val="20"/>
        </w:rPr>
        <w:t>and</w:t>
      </w:r>
      <w:r w:rsidRPr="00C91F30">
        <w:rPr>
          <w:sz w:val="20"/>
        </w:rPr>
        <w:t xml:space="preserve"> </w:t>
      </w:r>
      <w:proofErr w:type="spellStart"/>
      <w:r w:rsidRPr="00C91F30">
        <w:rPr>
          <w:sz w:val="20"/>
        </w:rPr>
        <w:t>Hounsome</w:t>
      </w:r>
      <w:proofErr w:type="spellEnd"/>
      <w:r w:rsidRPr="00C91F30">
        <w:rPr>
          <w:sz w:val="20"/>
        </w:rPr>
        <w:t>, B. (2012). A systematic review of the cost-effectiveness of interventions for supporting informal caregivers of people with dementia residing in the community. </w:t>
      </w:r>
      <w:r w:rsidRPr="00C91F30">
        <w:rPr>
          <w:i/>
          <w:iCs/>
          <w:sz w:val="20"/>
        </w:rPr>
        <w:t>International psychogeriatrics</w:t>
      </w:r>
      <w:r w:rsidRPr="00C91F30">
        <w:rPr>
          <w:sz w:val="20"/>
        </w:rPr>
        <w:t>, </w:t>
      </w:r>
      <w:r w:rsidRPr="00C91F30">
        <w:rPr>
          <w:i/>
          <w:iCs/>
          <w:sz w:val="20"/>
        </w:rPr>
        <w:t>24</w:t>
      </w:r>
      <w:r w:rsidRPr="00C91F30">
        <w:rPr>
          <w:sz w:val="20"/>
        </w:rPr>
        <w:t>(1), 6–18. https://doi.org/10.1017/S1041610211001207</w:t>
      </w:r>
    </w:p>
    <w:p w14:paraId="5A9937B2" w14:textId="7E1293F9" w:rsidR="00DD527B" w:rsidRPr="00C91F30" w:rsidRDefault="00BC0131" w:rsidP="00DD527B">
      <w:pPr>
        <w:rPr>
          <w:sz w:val="20"/>
          <w:lang w:val="en-US"/>
        </w:rPr>
      </w:pPr>
      <w:r w:rsidRPr="00C91F30">
        <w:rPr>
          <w:sz w:val="20"/>
        </w:rPr>
        <w:t xml:space="preserve">Jones, C., Edwards, R. T., </w:t>
      </w:r>
      <w:r w:rsidR="00BA4D27" w:rsidRPr="00C91F30">
        <w:rPr>
          <w:sz w:val="20"/>
        </w:rPr>
        <w:t>and</w:t>
      </w:r>
      <w:r w:rsidRPr="00C91F30">
        <w:rPr>
          <w:sz w:val="20"/>
        </w:rPr>
        <w:t xml:space="preserve"> </w:t>
      </w:r>
      <w:proofErr w:type="spellStart"/>
      <w:r w:rsidRPr="00C91F30">
        <w:rPr>
          <w:sz w:val="20"/>
        </w:rPr>
        <w:t>Hounsome</w:t>
      </w:r>
      <w:proofErr w:type="spellEnd"/>
      <w:r w:rsidRPr="00C91F30">
        <w:rPr>
          <w:sz w:val="20"/>
        </w:rPr>
        <w:t>, B. (2012). Health economics research into supporting carers of people with dementia: a systematic review of outcome measures. </w:t>
      </w:r>
      <w:r w:rsidRPr="00C91F30">
        <w:rPr>
          <w:i/>
          <w:iCs/>
          <w:sz w:val="20"/>
        </w:rPr>
        <w:t>Health and quality of life outcomes</w:t>
      </w:r>
      <w:r w:rsidRPr="00C91F30">
        <w:rPr>
          <w:sz w:val="20"/>
        </w:rPr>
        <w:t>, </w:t>
      </w:r>
      <w:r w:rsidRPr="00C91F30">
        <w:rPr>
          <w:i/>
          <w:iCs/>
          <w:sz w:val="20"/>
        </w:rPr>
        <w:t>10</w:t>
      </w:r>
      <w:r w:rsidRPr="00C91F30">
        <w:rPr>
          <w:sz w:val="20"/>
        </w:rPr>
        <w:t>, 142. https://doi.org/10.1186/1477-7525-10-142</w:t>
      </w:r>
    </w:p>
    <w:p w14:paraId="42FA93B6" w14:textId="5292355A" w:rsidR="00DD527B" w:rsidRPr="00C91F30" w:rsidRDefault="00667132" w:rsidP="00DD527B">
      <w:pPr>
        <w:rPr>
          <w:sz w:val="20"/>
          <w:lang w:val="en-US"/>
        </w:rPr>
      </w:pPr>
      <w:proofErr w:type="spellStart"/>
      <w:r w:rsidRPr="00C91F30">
        <w:rPr>
          <w:sz w:val="20"/>
        </w:rPr>
        <w:t>Lauret</w:t>
      </w:r>
      <w:proofErr w:type="spellEnd"/>
      <w:r w:rsidRPr="00C91F30">
        <w:rPr>
          <w:sz w:val="20"/>
        </w:rPr>
        <w:t xml:space="preserve">, G. J., </w:t>
      </w:r>
      <w:proofErr w:type="spellStart"/>
      <w:r w:rsidRPr="00C91F30">
        <w:rPr>
          <w:sz w:val="20"/>
        </w:rPr>
        <w:t>Gijsbers</w:t>
      </w:r>
      <w:proofErr w:type="spellEnd"/>
      <w:r w:rsidRPr="00C91F30">
        <w:rPr>
          <w:sz w:val="20"/>
        </w:rPr>
        <w:t xml:space="preserve">, H. J., Hendriks, E. J., </w:t>
      </w:r>
      <w:proofErr w:type="spellStart"/>
      <w:r w:rsidRPr="00C91F30">
        <w:rPr>
          <w:sz w:val="20"/>
        </w:rPr>
        <w:t>Bartelink</w:t>
      </w:r>
      <w:proofErr w:type="spellEnd"/>
      <w:r w:rsidRPr="00C91F30">
        <w:rPr>
          <w:sz w:val="20"/>
        </w:rPr>
        <w:t xml:space="preserve">, M. L., de </w:t>
      </w:r>
      <w:proofErr w:type="spellStart"/>
      <w:r w:rsidRPr="00C91F30">
        <w:rPr>
          <w:sz w:val="20"/>
        </w:rPr>
        <w:t>Bie</w:t>
      </w:r>
      <w:proofErr w:type="spellEnd"/>
      <w:r w:rsidRPr="00C91F30">
        <w:rPr>
          <w:sz w:val="20"/>
        </w:rPr>
        <w:t xml:space="preserve">, R. A., </w:t>
      </w:r>
      <w:r w:rsidR="00BA4D27" w:rsidRPr="00C91F30">
        <w:rPr>
          <w:sz w:val="20"/>
        </w:rPr>
        <w:t>and</w:t>
      </w:r>
      <w:r w:rsidRPr="00C91F30">
        <w:rPr>
          <w:sz w:val="20"/>
        </w:rPr>
        <w:t xml:space="preserve"> </w:t>
      </w:r>
      <w:proofErr w:type="spellStart"/>
      <w:r w:rsidRPr="00C91F30">
        <w:rPr>
          <w:sz w:val="20"/>
        </w:rPr>
        <w:t>Teijink</w:t>
      </w:r>
      <w:proofErr w:type="spellEnd"/>
      <w:r w:rsidRPr="00C91F30">
        <w:rPr>
          <w:sz w:val="20"/>
        </w:rPr>
        <w:t xml:space="preserve">, J. A. (2012). The </w:t>
      </w:r>
      <w:proofErr w:type="spellStart"/>
      <w:r w:rsidRPr="00C91F30">
        <w:rPr>
          <w:sz w:val="20"/>
        </w:rPr>
        <w:t>ClaudicatioNet</w:t>
      </w:r>
      <w:proofErr w:type="spellEnd"/>
      <w:r w:rsidRPr="00C91F30">
        <w:rPr>
          <w:sz w:val="20"/>
        </w:rPr>
        <w:t xml:space="preserve"> concept: design of a national integrated care network providing active and healthy aging for patients with intermittent claudication. </w:t>
      </w:r>
      <w:r w:rsidRPr="00C91F30">
        <w:rPr>
          <w:i/>
          <w:iCs/>
          <w:sz w:val="20"/>
        </w:rPr>
        <w:t>Vascular health and risk management</w:t>
      </w:r>
      <w:r w:rsidRPr="00C91F30">
        <w:rPr>
          <w:sz w:val="20"/>
        </w:rPr>
        <w:t>, </w:t>
      </w:r>
      <w:r w:rsidRPr="00C91F30">
        <w:rPr>
          <w:i/>
          <w:iCs/>
          <w:sz w:val="20"/>
        </w:rPr>
        <w:t>8</w:t>
      </w:r>
      <w:r w:rsidRPr="00C91F30">
        <w:rPr>
          <w:sz w:val="20"/>
        </w:rPr>
        <w:t>, 495–503. https://doi.org/10.2147/VHRM.S34095</w:t>
      </w:r>
    </w:p>
    <w:p w14:paraId="2201841C" w14:textId="2C29E28A" w:rsidR="00DD527B" w:rsidRPr="00C91F30" w:rsidRDefault="00BC0131" w:rsidP="00DD527B">
      <w:pPr>
        <w:rPr>
          <w:sz w:val="20"/>
          <w:lang w:val="en-US"/>
        </w:rPr>
      </w:pPr>
      <w:r w:rsidRPr="00C91F30">
        <w:rPr>
          <w:sz w:val="20"/>
        </w:rPr>
        <w:t xml:space="preserve">Lin, P. J., </w:t>
      </w:r>
      <w:proofErr w:type="spellStart"/>
      <w:r w:rsidRPr="00C91F30">
        <w:rPr>
          <w:sz w:val="20"/>
        </w:rPr>
        <w:t>D'Cruz</w:t>
      </w:r>
      <w:proofErr w:type="spellEnd"/>
      <w:r w:rsidRPr="00C91F30">
        <w:rPr>
          <w:sz w:val="20"/>
        </w:rPr>
        <w:t xml:space="preserve">, B., Leech, A. A., Neumann, P. J., </w:t>
      </w:r>
      <w:proofErr w:type="spellStart"/>
      <w:r w:rsidRPr="00C91F30">
        <w:rPr>
          <w:sz w:val="20"/>
        </w:rPr>
        <w:t>Sanon</w:t>
      </w:r>
      <w:proofErr w:type="spellEnd"/>
      <w:r w:rsidRPr="00C91F30">
        <w:rPr>
          <w:sz w:val="20"/>
        </w:rPr>
        <w:t xml:space="preserve"> </w:t>
      </w:r>
      <w:proofErr w:type="spellStart"/>
      <w:r w:rsidRPr="00C91F30">
        <w:rPr>
          <w:sz w:val="20"/>
        </w:rPr>
        <w:t>Aigbogun</w:t>
      </w:r>
      <w:proofErr w:type="spellEnd"/>
      <w:r w:rsidRPr="00C91F30">
        <w:rPr>
          <w:sz w:val="20"/>
        </w:rPr>
        <w:t xml:space="preserve">, M., </w:t>
      </w:r>
      <w:proofErr w:type="spellStart"/>
      <w:r w:rsidRPr="00C91F30">
        <w:rPr>
          <w:sz w:val="20"/>
        </w:rPr>
        <w:t>Oberdhan</w:t>
      </w:r>
      <w:proofErr w:type="spellEnd"/>
      <w:r w:rsidRPr="00C91F30">
        <w:rPr>
          <w:sz w:val="20"/>
        </w:rPr>
        <w:t xml:space="preserve">, D., </w:t>
      </w:r>
      <w:r w:rsidR="00BA4D27" w:rsidRPr="00C91F30">
        <w:rPr>
          <w:sz w:val="20"/>
        </w:rPr>
        <w:t>and</w:t>
      </w:r>
      <w:r w:rsidRPr="00C91F30">
        <w:rPr>
          <w:sz w:val="20"/>
        </w:rPr>
        <w:t xml:space="preserve"> Lavelle, T. A. (2019). Family and Caregiver </w:t>
      </w:r>
      <w:proofErr w:type="spellStart"/>
      <w:r w:rsidRPr="00C91F30">
        <w:rPr>
          <w:sz w:val="20"/>
        </w:rPr>
        <w:t>Spillover</w:t>
      </w:r>
      <w:proofErr w:type="spellEnd"/>
      <w:r w:rsidRPr="00C91F30">
        <w:rPr>
          <w:sz w:val="20"/>
        </w:rPr>
        <w:t xml:space="preserve"> Effects in Cost-Utility Analyses of Alzheimer's Disease Interventions. </w:t>
      </w:r>
      <w:proofErr w:type="spellStart"/>
      <w:r w:rsidRPr="00C91F30">
        <w:rPr>
          <w:i/>
          <w:iCs/>
          <w:sz w:val="20"/>
        </w:rPr>
        <w:t>PharmacoEconomics</w:t>
      </w:r>
      <w:proofErr w:type="spellEnd"/>
      <w:r w:rsidRPr="00C91F30">
        <w:rPr>
          <w:sz w:val="20"/>
        </w:rPr>
        <w:t>, </w:t>
      </w:r>
      <w:r w:rsidRPr="00C91F30">
        <w:rPr>
          <w:i/>
          <w:iCs/>
          <w:sz w:val="20"/>
        </w:rPr>
        <w:t>37</w:t>
      </w:r>
      <w:r w:rsidRPr="00C91F30">
        <w:rPr>
          <w:sz w:val="20"/>
        </w:rPr>
        <w:t>(4), 597–608. https://doi.org/10.1007/s40273-019-00788-3</w:t>
      </w:r>
    </w:p>
    <w:p w14:paraId="2F35FB97" w14:textId="2569132D" w:rsidR="00DD527B" w:rsidRPr="00C91F30" w:rsidRDefault="00667132" w:rsidP="00DD527B">
      <w:pPr>
        <w:rPr>
          <w:sz w:val="20"/>
          <w:lang w:val="en-US"/>
        </w:rPr>
      </w:pPr>
      <w:r w:rsidRPr="00C91F30">
        <w:rPr>
          <w:sz w:val="20"/>
        </w:rPr>
        <w:t xml:space="preserve">Mason, A., Weatherly, H., </w:t>
      </w:r>
      <w:proofErr w:type="spellStart"/>
      <w:r w:rsidRPr="00C91F30">
        <w:rPr>
          <w:sz w:val="20"/>
        </w:rPr>
        <w:t>Spilsbury</w:t>
      </w:r>
      <w:proofErr w:type="spellEnd"/>
      <w:r w:rsidRPr="00C91F30">
        <w:rPr>
          <w:sz w:val="20"/>
        </w:rPr>
        <w:t xml:space="preserve">, K., Arksey, H., Golder, S., Adamson, J., Drummond, M., </w:t>
      </w:r>
      <w:r w:rsidR="00BA4D27" w:rsidRPr="00C91F30">
        <w:rPr>
          <w:sz w:val="20"/>
        </w:rPr>
        <w:t>and</w:t>
      </w:r>
      <w:r w:rsidRPr="00C91F30">
        <w:rPr>
          <w:sz w:val="20"/>
        </w:rPr>
        <w:t xml:space="preserve"> Glendinning, C. (2007). A systematic review of the effectiveness and cost-effectiveness of different models of community-based respite care for frail older people and their </w:t>
      </w:r>
      <w:proofErr w:type="spellStart"/>
      <w:r w:rsidRPr="00C91F30">
        <w:rPr>
          <w:sz w:val="20"/>
        </w:rPr>
        <w:t>carers</w:t>
      </w:r>
      <w:proofErr w:type="spellEnd"/>
      <w:r w:rsidRPr="00C91F30">
        <w:rPr>
          <w:sz w:val="20"/>
        </w:rPr>
        <w:t>. </w:t>
      </w:r>
      <w:r w:rsidRPr="00C91F30">
        <w:rPr>
          <w:i/>
          <w:iCs/>
          <w:sz w:val="20"/>
        </w:rPr>
        <w:t>Health technology assessment (Winchester, England)</w:t>
      </w:r>
      <w:r w:rsidRPr="00C91F30">
        <w:rPr>
          <w:sz w:val="20"/>
        </w:rPr>
        <w:t>, </w:t>
      </w:r>
      <w:r w:rsidRPr="00C91F30">
        <w:rPr>
          <w:i/>
          <w:iCs/>
          <w:sz w:val="20"/>
        </w:rPr>
        <w:t>11</w:t>
      </w:r>
      <w:r w:rsidRPr="00C91F30">
        <w:rPr>
          <w:sz w:val="20"/>
        </w:rPr>
        <w:t>(15), 1–iii. https://doi.org/10.3310/hta11150</w:t>
      </w:r>
    </w:p>
    <w:p w14:paraId="4501AC64" w14:textId="77355E08" w:rsidR="00DD527B" w:rsidRPr="00C91F30" w:rsidRDefault="00BC0131" w:rsidP="00DD527B">
      <w:pPr>
        <w:rPr>
          <w:sz w:val="20"/>
          <w:lang w:val="en-US"/>
        </w:rPr>
      </w:pPr>
      <w:r w:rsidRPr="00C91F30">
        <w:rPr>
          <w:sz w:val="20"/>
        </w:rPr>
        <w:lastRenderedPageBreak/>
        <w:t xml:space="preserve">Mason, A., Weatherly, H., </w:t>
      </w:r>
      <w:proofErr w:type="spellStart"/>
      <w:r w:rsidRPr="00C91F30">
        <w:rPr>
          <w:sz w:val="20"/>
        </w:rPr>
        <w:t>Spilsbury</w:t>
      </w:r>
      <w:proofErr w:type="spellEnd"/>
      <w:r w:rsidRPr="00C91F30">
        <w:rPr>
          <w:sz w:val="20"/>
        </w:rPr>
        <w:t xml:space="preserve">, K., Golder, S., Arksey, H., Adamson, J., </w:t>
      </w:r>
      <w:r w:rsidR="00BA4D27" w:rsidRPr="00C91F30">
        <w:rPr>
          <w:sz w:val="20"/>
        </w:rPr>
        <w:t>and</w:t>
      </w:r>
      <w:r w:rsidRPr="00C91F30">
        <w:rPr>
          <w:sz w:val="20"/>
        </w:rPr>
        <w:t xml:space="preserve"> Drummond, M. (2007). The effectiveness and cost-effectiveness of respite for caregivers of frail older people. </w:t>
      </w:r>
      <w:r w:rsidRPr="00C91F30">
        <w:rPr>
          <w:i/>
          <w:iCs/>
          <w:sz w:val="20"/>
        </w:rPr>
        <w:t>Journal of the American Geriatrics Society</w:t>
      </w:r>
      <w:r w:rsidRPr="00C91F30">
        <w:rPr>
          <w:sz w:val="20"/>
        </w:rPr>
        <w:t>, </w:t>
      </w:r>
      <w:r w:rsidRPr="00C91F30">
        <w:rPr>
          <w:i/>
          <w:iCs/>
          <w:sz w:val="20"/>
        </w:rPr>
        <w:t>55</w:t>
      </w:r>
      <w:r w:rsidRPr="00C91F30">
        <w:rPr>
          <w:sz w:val="20"/>
        </w:rPr>
        <w:t>(2), 290–299. https://doi.org/10.1111/j.1532-5415.2006.01037.x</w:t>
      </w:r>
    </w:p>
    <w:p w14:paraId="6C3F5EAE" w14:textId="2B4C4207" w:rsidR="00DD527B" w:rsidRPr="00C91F30" w:rsidRDefault="002B19E8" w:rsidP="00DD527B">
      <w:pPr>
        <w:rPr>
          <w:sz w:val="20"/>
          <w:lang w:val="en-US"/>
        </w:rPr>
      </w:pPr>
      <w:proofErr w:type="spellStart"/>
      <w:r w:rsidRPr="00C91F30">
        <w:rPr>
          <w:sz w:val="20"/>
        </w:rPr>
        <w:t>Patchwood</w:t>
      </w:r>
      <w:proofErr w:type="spellEnd"/>
      <w:r w:rsidRPr="00C91F30">
        <w:rPr>
          <w:sz w:val="20"/>
        </w:rPr>
        <w:t xml:space="preserve">, E., Rothwell, K., Rhodes, S., </w:t>
      </w:r>
      <w:proofErr w:type="spellStart"/>
      <w:r w:rsidRPr="00C91F30">
        <w:rPr>
          <w:sz w:val="20"/>
        </w:rPr>
        <w:t>Batistatou</w:t>
      </w:r>
      <w:proofErr w:type="spellEnd"/>
      <w:r w:rsidRPr="00C91F30">
        <w:rPr>
          <w:sz w:val="20"/>
        </w:rPr>
        <w:t xml:space="preserve">, E., Woodward-Nutt, K., Lau, Y. S., Grande, G., Ewing, G., </w:t>
      </w:r>
      <w:r w:rsidR="00BA4D27" w:rsidRPr="00C91F30">
        <w:rPr>
          <w:sz w:val="20"/>
        </w:rPr>
        <w:t>and</w:t>
      </w:r>
      <w:r w:rsidRPr="00C91F30">
        <w:rPr>
          <w:sz w:val="20"/>
        </w:rPr>
        <w:t xml:space="preserve"> Bowen, A. (2019). Organising Support for Carers of Stroke Survivors (OSCARSS): study protocol for a cluster randomised controlled trial, including health economic analysis. </w:t>
      </w:r>
      <w:r w:rsidRPr="00C91F30">
        <w:rPr>
          <w:i/>
          <w:iCs/>
          <w:sz w:val="20"/>
        </w:rPr>
        <w:t>Trials</w:t>
      </w:r>
      <w:r w:rsidRPr="00C91F30">
        <w:rPr>
          <w:sz w:val="20"/>
        </w:rPr>
        <w:t>, </w:t>
      </w:r>
      <w:r w:rsidRPr="00C91F30">
        <w:rPr>
          <w:i/>
          <w:iCs/>
          <w:sz w:val="20"/>
        </w:rPr>
        <w:t>20</w:t>
      </w:r>
      <w:r w:rsidRPr="00C91F30">
        <w:rPr>
          <w:sz w:val="20"/>
        </w:rPr>
        <w:t>(1), 19. https://doi.org/10.1186/s13063-018-3104-7</w:t>
      </w:r>
    </w:p>
    <w:p w14:paraId="2154355E" w14:textId="675582E4" w:rsidR="00271149" w:rsidRPr="00C91F30" w:rsidRDefault="00271149" w:rsidP="00271149">
      <w:pPr>
        <w:rPr>
          <w:sz w:val="20"/>
        </w:rPr>
      </w:pPr>
      <w:r w:rsidRPr="00C91F30">
        <w:rPr>
          <w:sz w:val="20"/>
        </w:rPr>
        <w:t xml:space="preserve">Clarkson, P., Davies, L., Jasper, R., </w:t>
      </w:r>
      <w:proofErr w:type="spellStart"/>
      <w:r w:rsidRPr="00C91F30">
        <w:rPr>
          <w:sz w:val="20"/>
        </w:rPr>
        <w:t>Loynes</w:t>
      </w:r>
      <w:proofErr w:type="spellEnd"/>
      <w:r w:rsidRPr="00C91F30">
        <w:rPr>
          <w:sz w:val="20"/>
        </w:rPr>
        <w:t xml:space="preserve">, N., Challis, D., </w:t>
      </w:r>
      <w:r w:rsidRPr="00C91F30">
        <w:rPr>
          <w:sz w:val="20"/>
          <w:lang w:val="en-US"/>
        </w:rPr>
        <w:t>and</w:t>
      </w:r>
      <w:r w:rsidRPr="00C91F30">
        <w:rPr>
          <w:sz w:val="20"/>
        </w:rPr>
        <w:t xml:space="preserve"> Home Support in Dementia (</w:t>
      </w:r>
      <w:proofErr w:type="spellStart"/>
      <w:r w:rsidRPr="00C91F30">
        <w:rPr>
          <w:sz w:val="20"/>
        </w:rPr>
        <w:t>HoSt</w:t>
      </w:r>
      <w:proofErr w:type="spellEnd"/>
      <w:r w:rsidRPr="00C91F30">
        <w:rPr>
          <w:sz w:val="20"/>
        </w:rPr>
        <w:t>-D) Programme Management Group (2017). A Systematic Review of the Economic Evidence for Home Support Interventions in Dementia. </w:t>
      </w:r>
      <w:r w:rsidRPr="00C91F30">
        <w:rPr>
          <w:i/>
          <w:iCs/>
          <w:sz w:val="20"/>
        </w:rPr>
        <w:t>Value in health: the journal of the International Society for Pharmacoeconomics and Outcomes Research</w:t>
      </w:r>
      <w:r w:rsidRPr="00C91F30">
        <w:rPr>
          <w:sz w:val="20"/>
        </w:rPr>
        <w:t>, </w:t>
      </w:r>
      <w:r w:rsidRPr="00C91F30">
        <w:rPr>
          <w:i/>
          <w:iCs/>
          <w:sz w:val="20"/>
        </w:rPr>
        <w:t>20</w:t>
      </w:r>
      <w:r w:rsidRPr="00C91F30">
        <w:rPr>
          <w:sz w:val="20"/>
        </w:rPr>
        <w:t xml:space="preserve">(8), 1198–1209. https://doi.org/10.1016/j.jval.2017.04.004 </w:t>
      </w:r>
    </w:p>
    <w:p w14:paraId="2839E374" w14:textId="4551135E" w:rsidR="00DD527B" w:rsidRPr="00C91F30" w:rsidRDefault="00DD527B" w:rsidP="00DD527B">
      <w:pPr>
        <w:rPr>
          <w:sz w:val="20"/>
          <w:lang w:val="en-US"/>
        </w:rPr>
      </w:pPr>
      <w:r w:rsidRPr="00C91F30">
        <w:rPr>
          <w:sz w:val="20"/>
          <w:lang w:val="en-US"/>
        </w:rPr>
        <w:t>Pickard, L</w:t>
      </w:r>
      <w:r w:rsidR="00271149" w:rsidRPr="00C91F30">
        <w:rPr>
          <w:sz w:val="20"/>
          <w:lang w:val="en-US"/>
        </w:rPr>
        <w:t>. (2004)</w:t>
      </w:r>
      <w:r w:rsidRPr="00C91F30">
        <w:rPr>
          <w:sz w:val="20"/>
          <w:lang w:val="en-US"/>
        </w:rPr>
        <w:t xml:space="preserve"> The effectiveness and cost-effectiveness of support and services to informal carers of older people: a review of the literature prepared for the Audit Commission</w:t>
      </w:r>
      <w:r w:rsidR="00920856" w:rsidRPr="00C91F30">
        <w:rPr>
          <w:sz w:val="20"/>
          <w:lang w:val="en-US"/>
        </w:rPr>
        <w:t>. London,</w:t>
      </w:r>
      <w:r w:rsidR="00920856" w:rsidRPr="00C91F30">
        <w:rPr>
          <w:sz w:val="20"/>
        </w:rPr>
        <w:t xml:space="preserve"> Audit Commission [online]. Available at</w:t>
      </w:r>
      <w:hyperlink r:id="rId7" w:history="1">
        <w:r w:rsidR="00920856" w:rsidRPr="00C91F30">
          <w:rPr>
            <w:rStyle w:val="Collegamentoipertestuale"/>
            <w:sz w:val="20"/>
          </w:rPr>
          <w:t>https://www.pssru.ac.uk/pub/dp2014.pdf</w:t>
        </w:r>
      </w:hyperlink>
      <w:r w:rsidR="00920856" w:rsidRPr="00C91F30">
        <w:rPr>
          <w:sz w:val="20"/>
        </w:rPr>
        <w:t>; last accessed 10 June 2020</w:t>
      </w:r>
    </w:p>
    <w:p w14:paraId="4FD7A02C" w14:textId="06AF9AC1" w:rsidR="00DD527B" w:rsidRPr="00C91F30" w:rsidRDefault="00667132" w:rsidP="00DD527B">
      <w:pPr>
        <w:rPr>
          <w:sz w:val="20"/>
          <w:lang w:val="en-US"/>
        </w:rPr>
      </w:pPr>
      <w:r w:rsidRPr="00C91F30">
        <w:rPr>
          <w:sz w:val="20"/>
        </w:rPr>
        <w:t xml:space="preserve">Quinn, C., Anderson, D., Toms, G., Whitaker, R., Edwards, R. T., Jones, C., </w:t>
      </w:r>
      <w:r w:rsidR="00BA4D27" w:rsidRPr="00C91F30">
        <w:rPr>
          <w:sz w:val="20"/>
        </w:rPr>
        <w:t>and</w:t>
      </w:r>
      <w:r w:rsidRPr="00C91F30">
        <w:rPr>
          <w:sz w:val="20"/>
        </w:rPr>
        <w:t xml:space="preserve"> Clare, L. (2014). Self-management in early-stage dementia: a pilot randomised controlled trial of the efficacy and cost-effectiveness of a self-management group intervention (the SMART study). </w:t>
      </w:r>
      <w:r w:rsidRPr="00C91F30">
        <w:rPr>
          <w:i/>
          <w:iCs/>
          <w:sz w:val="20"/>
        </w:rPr>
        <w:t>Trials</w:t>
      </w:r>
      <w:r w:rsidRPr="00C91F30">
        <w:rPr>
          <w:sz w:val="20"/>
        </w:rPr>
        <w:t>, </w:t>
      </w:r>
      <w:r w:rsidRPr="00C91F30">
        <w:rPr>
          <w:i/>
          <w:iCs/>
          <w:sz w:val="20"/>
        </w:rPr>
        <w:t>15</w:t>
      </w:r>
      <w:r w:rsidRPr="00C91F30">
        <w:rPr>
          <w:sz w:val="20"/>
        </w:rPr>
        <w:t>, 74. https://doi.org/10.1186/1745-6215-15-74</w:t>
      </w:r>
    </w:p>
    <w:p w14:paraId="1E289952" w14:textId="5A672B50" w:rsidR="00DD527B" w:rsidRPr="00C91F30" w:rsidRDefault="00667132" w:rsidP="00DD527B">
      <w:pPr>
        <w:rPr>
          <w:sz w:val="20"/>
          <w:lang w:val="en-US"/>
        </w:rPr>
      </w:pPr>
      <w:proofErr w:type="spellStart"/>
      <w:r w:rsidRPr="00C91F30">
        <w:rPr>
          <w:sz w:val="20"/>
        </w:rPr>
        <w:t>Schepers</w:t>
      </w:r>
      <w:proofErr w:type="spellEnd"/>
      <w:r w:rsidRPr="00C91F30">
        <w:rPr>
          <w:sz w:val="20"/>
        </w:rPr>
        <w:t xml:space="preserve">, J., </w:t>
      </w:r>
      <w:proofErr w:type="spellStart"/>
      <w:r w:rsidRPr="00C91F30">
        <w:rPr>
          <w:sz w:val="20"/>
        </w:rPr>
        <w:t>Annemans</w:t>
      </w:r>
      <w:proofErr w:type="spellEnd"/>
      <w:r w:rsidRPr="00C91F30">
        <w:rPr>
          <w:sz w:val="20"/>
        </w:rPr>
        <w:t xml:space="preserve">, L., </w:t>
      </w:r>
      <w:r w:rsidR="00BA4D27" w:rsidRPr="00C91F30">
        <w:rPr>
          <w:sz w:val="20"/>
        </w:rPr>
        <w:t>and</w:t>
      </w:r>
      <w:r w:rsidRPr="00C91F30">
        <w:rPr>
          <w:sz w:val="20"/>
        </w:rPr>
        <w:t xml:space="preserve"> </w:t>
      </w:r>
      <w:proofErr w:type="spellStart"/>
      <w:r w:rsidRPr="00C91F30">
        <w:rPr>
          <w:sz w:val="20"/>
        </w:rPr>
        <w:t>Simoens</w:t>
      </w:r>
      <w:proofErr w:type="spellEnd"/>
      <w:r w:rsidRPr="00C91F30">
        <w:rPr>
          <w:sz w:val="20"/>
        </w:rPr>
        <w:t>, S. (2015). Hurdles that impede economic evaluations of welfare interventions. </w:t>
      </w:r>
      <w:r w:rsidRPr="00C91F30">
        <w:rPr>
          <w:i/>
          <w:iCs/>
          <w:sz w:val="20"/>
        </w:rPr>
        <w:t xml:space="preserve">Expert review of </w:t>
      </w:r>
      <w:proofErr w:type="spellStart"/>
      <w:r w:rsidRPr="00C91F30">
        <w:rPr>
          <w:i/>
          <w:iCs/>
          <w:sz w:val="20"/>
        </w:rPr>
        <w:t>pharmacoeconomics</w:t>
      </w:r>
      <w:proofErr w:type="spellEnd"/>
      <w:r w:rsidRPr="00C91F30">
        <w:rPr>
          <w:i/>
          <w:iCs/>
          <w:sz w:val="20"/>
        </w:rPr>
        <w:t xml:space="preserve"> </w:t>
      </w:r>
      <w:r w:rsidR="00BA4D27" w:rsidRPr="00C91F30">
        <w:rPr>
          <w:i/>
          <w:iCs/>
          <w:sz w:val="20"/>
        </w:rPr>
        <w:t>and</w:t>
      </w:r>
      <w:r w:rsidRPr="00C91F30">
        <w:rPr>
          <w:i/>
          <w:iCs/>
          <w:sz w:val="20"/>
        </w:rPr>
        <w:t xml:space="preserve"> outcomes research</w:t>
      </w:r>
      <w:r w:rsidRPr="00C91F30">
        <w:rPr>
          <w:sz w:val="20"/>
        </w:rPr>
        <w:t>, </w:t>
      </w:r>
      <w:r w:rsidRPr="00C91F30">
        <w:rPr>
          <w:i/>
          <w:iCs/>
          <w:sz w:val="20"/>
        </w:rPr>
        <w:t>15</w:t>
      </w:r>
      <w:r w:rsidRPr="00C91F30">
        <w:rPr>
          <w:sz w:val="20"/>
        </w:rPr>
        <w:t>(4), 635–642. https://doi.org/10.1586/14737167.2015.1045492</w:t>
      </w:r>
    </w:p>
    <w:p w14:paraId="168E9065" w14:textId="5D4E9560" w:rsidR="00DD527B" w:rsidRPr="00C91F30" w:rsidRDefault="002B19E8" w:rsidP="00DD527B">
      <w:pPr>
        <w:rPr>
          <w:sz w:val="20"/>
          <w:lang w:val="en-US"/>
        </w:rPr>
      </w:pPr>
      <w:r w:rsidRPr="00C91F30">
        <w:rPr>
          <w:sz w:val="20"/>
        </w:rPr>
        <w:t xml:space="preserve">van Santen, J., </w:t>
      </w:r>
      <w:proofErr w:type="spellStart"/>
      <w:r w:rsidRPr="00C91F30">
        <w:rPr>
          <w:sz w:val="20"/>
        </w:rPr>
        <w:t>Dröes</w:t>
      </w:r>
      <w:proofErr w:type="spellEnd"/>
      <w:r w:rsidRPr="00C91F30">
        <w:rPr>
          <w:sz w:val="20"/>
        </w:rPr>
        <w:t xml:space="preserve">, R. M., </w:t>
      </w:r>
      <w:proofErr w:type="spellStart"/>
      <w:r w:rsidRPr="00C91F30">
        <w:rPr>
          <w:sz w:val="20"/>
        </w:rPr>
        <w:t>Bosmans</w:t>
      </w:r>
      <w:proofErr w:type="spellEnd"/>
      <w:r w:rsidRPr="00C91F30">
        <w:rPr>
          <w:sz w:val="20"/>
        </w:rPr>
        <w:t xml:space="preserve">, J. E., </w:t>
      </w:r>
      <w:proofErr w:type="spellStart"/>
      <w:r w:rsidRPr="00C91F30">
        <w:rPr>
          <w:sz w:val="20"/>
        </w:rPr>
        <w:t>Blanson</w:t>
      </w:r>
      <w:proofErr w:type="spellEnd"/>
      <w:r w:rsidRPr="00C91F30">
        <w:rPr>
          <w:sz w:val="20"/>
        </w:rPr>
        <w:t xml:space="preserve"> </w:t>
      </w:r>
      <w:proofErr w:type="spellStart"/>
      <w:r w:rsidRPr="00C91F30">
        <w:rPr>
          <w:sz w:val="20"/>
        </w:rPr>
        <w:t>Henkemans</w:t>
      </w:r>
      <w:proofErr w:type="spellEnd"/>
      <w:r w:rsidRPr="00C91F30">
        <w:rPr>
          <w:sz w:val="20"/>
        </w:rPr>
        <w:t xml:space="preserve">, O. A., van </w:t>
      </w:r>
      <w:proofErr w:type="spellStart"/>
      <w:r w:rsidRPr="00C91F30">
        <w:rPr>
          <w:sz w:val="20"/>
        </w:rPr>
        <w:t>Bommel</w:t>
      </w:r>
      <w:proofErr w:type="spellEnd"/>
      <w:r w:rsidRPr="00C91F30">
        <w:rPr>
          <w:sz w:val="20"/>
        </w:rPr>
        <w:t xml:space="preserve">, S., </w:t>
      </w:r>
      <w:proofErr w:type="spellStart"/>
      <w:r w:rsidRPr="00C91F30">
        <w:rPr>
          <w:sz w:val="20"/>
        </w:rPr>
        <w:t>Hakvoort</w:t>
      </w:r>
      <w:proofErr w:type="spellEnd"/>
      <w:r w:rsidRPr="00C91F30">
        <w:rPr>
          <w:sz w:val="20"/>
        </w:rPr>
        <w:t xml:space="preserve">, E., </w:t>
      </w:r>
      <w:proofErr w:type="spellStart"/>
      <w:r w:rsidRPr="00C91F30">
        <w:rPr>
          <w:sz w:val="20"/>
        </w:rPr>
        <w:t>Valk</w:t>
      </w:r>
      <w:proofErr w:type="spellEnd"/>
      <w:r w:rsidRPr="00C91F30">
        <w:rPr>
          <w:sz w:val="20"/>
        </w:rPr>
        <w:t xml:space="preserve">, R., Scholten, C., </w:t>
      </w:r>
      <w:proofErr w:type="spellStart"/>
      <w:r w:rsidRPr="00C91F30">
        <w:rPr>
          <w:sz w:val="20"/>
        </w:rPr>
        <w:t>Wiersinga</w:t>
      </w:r>
      <w:proofErr w:type="spellEnd"/>
      <w:r w:rsidRPr="00C91F30">
        <w:rPr>
          <w:sz w:val="20"/>
        </w:rPr>
        <w:t xml:space="preserve">, J., van </w:t>
      </w:r>
      <w:proofErr w:type="spellStart"/>
      <w:r w:rsidRPr="00C91F30">
        <w:rPr>
          <w:sz w:val="20"/>
        </w:rPr>
        <w:t>Straten</w:t>
      </w:r>
      <w:proofErr w:type="spellEnd"/>
      <w:r w:rsidRPr="00C91F30">
        <w:rPr>
          <w:sz w:val="20"/>
        </w:rPr>
        <w:t xml:space="preserve">, A., </w:t>
      </w:r>
      <w:r w:rsidR="00BA4D27" w:rsidRPr="00C91F30">
        <w:rPr>
          <w:sz w:val="20"/>
        </w:rPr>
        <w:t>and</w:t>
      </w:r>
      <w:r w:rsidRPr="00C91F30">
        <w:rPr>
          <w:sz w:val="20"/>
        </w:rPr>
        <w:t xml:space="preserve"> Meiland, F. (2019). The (cost-) effectiveness of exergaming in people living with dementia and their informal caregivers: protocol for a randomized controlled trial. </w:t>
      </w:r>
      <w:r w:rsidRPr="00C91F30">
        <w:rPr>
          <w:i/>
          <w:iCs/>
          <w:sz w:val="20"/>
        </w:rPr>
        <w:t>BMC geriatrics</w:t>
      </w:r>
      <w:r w:rsidRPr="00C91F30">
        <w:rPr>
          <w:sz w:val="20"/>
        </w:rPr>
        <w:t>, </w:t>
      </w:r>
      <w:r w:rsidRPr="00C91F30">
        <w:rPr>
          <w:i/>
          <w:iCs/>
          <w:sz w:val="20"/>
        </w:rPr>
        <w:t>19</w:t>
      </w:r>
      <w:r w:rsidRPr="00C91F30">
        <w:rPr>
          <w:sz w:val="20"/>
        </w:rPr>
        <w:t>(1), 50. https://doi.org/10.1186/s12877-019-1062-x</w:t>
      </w:r>
    </w:p>
    <w:p w14:paraId="76462F9B" w14:textId="7072699B" w:rsidR="00DD527B" w:rsidRPr="00C91F30" w:rsidRDefault="00667132" w:rsidP="00DD527B">
      <w:pPr>
        <w:rPr>
          <w:sz w:val="20"/>
          <w:lang w:val="en-US"/>
        </w:rPr>
      </w:pPr>
      <w:r w:rsidRPr="00C91F30">
        <w:rPr>
          <w:sz w:val="20"/>
        </w:rPr>
        <w:t xml:space="preserve">Wittenberg, E., </w:t>
      </w:r>
      <w:r w:rsidR="00BA4D27" w:rsidRPr="00C91F30">
        <w:rPr>
          <w:sz w:val="20"/>
        </w:rPr>
        <w:t>and</w:t>
      </w:r>
      <w:r w:rsidRPr="00C91F30">
        <w:rPr>
          <w:sz w:val="20"/>
        </w:rPr>
        <w:t xml:space="preserve"> Prosser, L. A. (2013). Disutility of illness for caregivers and families: a systematic review of the literature. </w:t>
      </w:r>
      <w:proofErr w:type="spellStart"/>
      <w:r w:rsidRPr="00C91F30">
        <w:rPr>
          <w:i/>
          <w:iCs/>
          <w:sz w:val="20"/>
        </w:rPr>
        <w:t>PharmacoEconomics</w:t>
      </w:r>
      <w:proofErr w:type="spellEnd"/>
      <w:r w:rsidRPr="00C91F30">
        <w:rPr>
          <w:sz w:val="20"/>
        </w:rPr>
        <w:t>, </w:t>
      </w:r>
      <w:r w:rsidRPr="00C91F30">
        <w:rPr>
          <w:i/>
          <w:iCs/>
          <w:sz w:val="20"/>
        </w:rPr>
        <w:t>31</w:t>
      </w:r>
      <w:r w:rsidRPr="00C91F30">
        <w:rPr>
          <w:sz w:val="20"/>
        </w:rPr>
        <w:t>(6), 489–500. https://doi.org/10.1007/s40273-013-0040-y</w:t>
      </w:r>
    </w:p>
    <w:p w14:paraId="7D9D40FF" w14:textId="77777777" w:rsidR="00DD527B" w:rsidRPr="00C91F30" w:rsidRDefault="00DD527B" w:rsidP="00DD527B">
      <w:pPr>
        <w:rPr>
          <w:b/>
          <w:lang w:val="en-US"/>
        </w:rPr>
      </w:pPr>
      <w:r w:rsidRPr="00C91F30">
        <w:rPr>
          <w:b/>
          <w:lang w:val="en-US"/>
        </w:rPr>
        <w:t>No population of interest: n=14</w:t>
      </w:r>
    </w:p>
    <w:p w14:paraId="14D361DD" w14:textId="706A1478" w:rsidR="00B1436D" w:rsidRPr="00C91F30" w:rsidRDefault="002B19E8" w:rsidP="00B1436D">
      <w:pPr>
        <w:rPr>
          <w:sz w:val="20"/>
          <w:lang w:val="en-US"/>
        </w:rPr>
      </w:pPr>
      <w:r w:rsidRPr="00C91F30">
        <w:rPr>
          <w:sz w:val="20"/>
        </w:rPr>
        <w:t xml:space="preserve">Arts, E. E., </w:t>
      </w:r>
      <w:proofErr w:type="spellStart"/>
      <w:r w:rsidRPr="00C91F30">
        <w:rPr>
          <w:sz w:val="20"/>
        </w:rPr>
        <w:t>Landewe-Cleuren</w:t>
      </w:r>
      <w:proofErr w:type="spellEnd"/>
      <w:r w:rsidRPr="00C91F30">
        <w:rPr>
          <w:sz w:val="20"/>
        </w:rPr>
        <w:t xml:space="preserve">, S. A., Schaper, N. C., </w:t>
      </w:r>
      <w:r w:rsidR="00BA4D27" w:rsidRPr="00C91F30">
        <w:rPr>
          <w:sz w:val="20"/>
        </w:rPr>
        <w:t>and</w:t>
      </w:r>
      <w:r w:rsidRPr="00C91F30">
        <w:rPr>
          <w:sz w:val="20"/>
        </w:rPr>
        <w:t xml:space="preserve"> </w:t>
      </w:r>
      <w:proofErr w:type="spellStart"/>
      <w:r w:rsidRPr="00C91F30">
        <w:rPr>
          <w:sz w:val="20"/>
        </w:rPr>
        <w:t>Vrijhoef</w:t>
      </w:r>
      <w:proofErr w:type="spellEnd"/>
      <w:r w:rsidRPr="00C91F30">
        <w:rPr>
          <w:sz w:val="20"/>
        </w:rPr>
        <w:t>, H. J. (2012). The cost-effectiveness of substituting physicians with diabetes nurse specialists: a randomized controlled trial with 2-year follow-up. </w:t>
      </w:r>
      <w:r w:rsidRPr="00C91F30">
        <w:rPr>
          <w:i/>
          <w:iCs/>
          <w:sz w:val="20"/>
        </w:rPr>
        <w:t>Journal of advanced nursing</w:t>
      </w:r>
      <w:r w:rsidRPr="00C91F30">
        <w:rPr>
          <w:sz w:val="20"/>
        </w:rPr>
        <w:t>, </w:t>
      </w:r>
      <w:r w:rsidRPr="00C91F30">
        <w:rPr>
          <w:i/>
          <w:iCs/>
          <w:sz w:val="20"/>
        </w:rPr>
        <w:t>68</w:t>
      </w:r>
      <w:r w:rsidRPr="00C91F30">
        <w:rPr>
          <w:sz w:val="20"/>
        </w:rPr>
        <w:t>(6), 1224–1234. https://doi.org/10.1111/j.1365-2648.2011.05797.x</w:t>
      </w:r>
    </w:p>
    <w:p w14:paraId="0C5E0C11" w14:textId="0D40D7EE" w:rsidR="00B1436D" w:rsidRPr="00C91F30" w:rsidRDefault="002B19E8" w:rsidP="00B1436D">
      <w:pPr>
        <w:rPr>
          <w:sz w:val="20"/>
          <w:lang w:val="en-US"/>
        </w:rPr>
      </w:pPr>
      <w:r w:rsidRPr="00C91F30">
        <w:rPr>
          <w:sz w:val="20"/>
        </w:rPr>
        <w:t xml:space="preserve">Cottrell, D. J., Wright-Hughes, A., Collinson, M., Boston, P., Eisler, I., Fortune, S., Graham, E. H., Green, J., House, A. O., Kerfoot, M., Owens, D. W., </w:t>
      </w:r>
      <w:proofErr w:type="spellStart"/>
      <w:r w:rsidRPr="00C91F30">
        <w:rPr>
          <w:sz w:val="20"/>
        </w:rPr>
        <w:t>Saloniki</w:t>
      </w:r>
      <w:proofErr w:type="spellEnd"/>
      <w:r w:rsidRPr="00C91F30">
        <w:rPr>
          <w:sz w:val="20"/>
        </w:rPr>
        <w:t xml:space="preserve">, E. C., </w:t>
      </w:r>
      <w:proofErr w:type="spellStart"/>
      <w:r w:rsidRPr="00C91F30">
        <w:rPr>
          <w:sz w:val="20"/>
        </w:rPr>
        <w:t>Simic</w:t>
      </w:r>
      <w:proofErr w:type="spellEnd"/>
      <w:r w:rsidRPr="00C91F30">
        <w:rPr>
          <w:sz w:val="20"/>
        </w:rPr>
        <w:t xml:space="preserve">, M., </w:t>
      </w:r>
      <w:proofErr w:type="spellStart"/>
      <w:r w:rsidRPr="00C91F30">
        <w:rPr>
          <w:sz w:val="20"/>
        </w:rPr>
        <w:t>Tubeuf</w:t>
      </w:r>
      <w:proofErr w:type="spellEnd"/>
      <w:r w:rsidRPr="00C91F30">
        <w:rPr>
          <w:sz w:val="20"/>
        </w:rPr>
        <w:t xml:space="preserve">, S., </w:t>
      </w:r>
      <w:r w:rsidR="00BA4D27" w:rsidRPr="00C91F30">
        <w:rPr>
          <w:sz w:val="20"/>
        </w:rPr>
        <w:t>and</w:t>
      </w:r>
      <w:r w:rsidRPr="00C91F30">
        <w:rPr>
          <w:sz w:val="20"/>
        </w:rPr>
        <w:t xml:space="preserve"> </w:t>
      </w:r>
      <w:proofErr w:type="spellStart"/>
      <w:r w:rsidRPr="00C91F30">
        <w:rPr>
          <w:sz w:val="20"/>
        </w:rPr>
        <w:t>Farrin</w:t>
      </w:r>
      <w:proofErr w:type="spellEnd"/>
      <w:r w:rsidRPr="00C91F30">
        <w:rPr>
          <w:sz w:val="20"/>
        </w:rPr>
        <w:t xml:space="preserve">, A. J. (2018). A pragmatic randomised controlled trial and economic evaluation of family therapy versus treatment as usual for young people seen after second or subsequent episodes of self-harm: </w:t>
      </w:r>
      <w:proofErr w:type="gramStart"/>
      <w:r w:rsidRPr="00C91F30">
        <w:rPr>
          <w:sz w:val="20"/>
        </w:rPr>
        <w:t>the</w:t>
      </w:r>
      <w:proofErr w:type="gramEnd"/>
      <w:r w:rsidRPr="00C91F30">
        <w:rPr>
          <w:sz w:val="20"/>
        </w:rPr>
        <w:t xml:space="preserve"> Self-Harm Intervention - Family Therapy (SHIFT) trial. </w:t>
      </w:r>
      <w:r w:rsidRPr="00C91F30">
        <w:rPr>
          <w:i/>
          <w:iCs/>
          <w:sz w:val="20"/>
        </w:rPr>
        <w:t>Health technology assessment (Winchester, England)</w:t>
      </w:r>
      <w:r w:rsidRPr="00C91F30">
        <w:rPr>
          <w:sz w:val="20"/>
        </w:rPr>
        <w:t>, </w:t>
      </w:r>
      <w:r w:rsidRPr="00C91F30">
        <w:rPr>
          <w:i/>
          <w:iCs/>
          <w:sz w:val="20"/>
        </w:rPr>
        <w:t>22</w:t>
      </w:r>
      <w:r w:rsidRPr="00C91F30">
        <w:rPr>
          <w:sz w:val="20"/>
        </w:rPr>
        <w:t>(12), 1–222. https://doi.org/10.3310/hta22120</w:t>
      </w:r>
    </w:p>
    <w:p w14:paraId="0F01A52C" w14:textId="5B36E9B5" w:rsidR="00B1436D" w:rsidRPr="00C91F30" w:rsidRDefault="002B19E8" w:rsidP="00B1436D">
      <w:pPr>
        <w:rPr>
          <w:sz w:val="20"/>
          <w:lang w:val="en-US"/>
        </w:rPr>
      </w:pPr>
      <w:r w:rsidRPr="00C91F30">
        <w:rPr>
          <w:sz w:val="20"/>
        </w:rPr>
        <w:t xml:space="preserve">Forster, A., Young, J., Chapman, K., Nixon, J., Patel, A., Holloway, I., Mellish, K., Anwar, S., Breen, R., Knapp, M., Murray, J., </w:t>
      </w:r>
      <w:r w:rsidR="00BA4D27" w:rsidRPr="00C91F30">
        <w:rPr>
          <w:sz w:val="20"/>
        </w:rPr>
        <w:t>and</w:t>
      </w:r>
      <w:r w:rsidRPr="00C91F30">
        <w:rPr>
          <w:sz w:val="20"/>
        </w:rPr>
        <w:t xml:space="preserve"> </w:t>
      </w:r>
      <w:proofErr w:type="spellStart"/>
      <w:r w:rsidRPr="00C91F30">
        <w:rPr>
          <w:sz w:val="20"/>
        </w:rPr>
        <w:t>Farrin</w:t>
      </w:r>
      <w:proofErr w:type="spellEnd"/>
      <w:r w:rsidRPr="00C91F30">
        <w:rPr>
          <w:sz w:val="20"/>
        </w:rPr>
        <w:t>, A. (2015). Cluster Randomized Controlled Trial: Clinical and Cost-Effectiveness of a System of Longer-Term Stroke Care. </w:t>
      </w:r>
      <w:r w:rsidRPr="00C91F30">
        <w:rPr>
          <w:i/>
          <w:iCs/>
          <w:sz w:val="20"/>
        </w:rPr>
        <w:t>Stroke</w:t>
      </w:r>
      <w:r w:rsidRPr="00C91F30">
        <w:rPr>
          <w:sz w:val="20"/>
        </w:rPr>
        <w:t>, </w:t>
      </w:r>
      <w:r w:rsidRPr="00C91F30">
        <w:rPr>
          <w:i/>
          <w:iCs/>
          <w:sz w:val="20"/>
        </w:rPr>
        <w:t>46</w:t>
      </w:r>
      <w:r w:rsidRPr="00C91F30">
        <w:rPr>
          <w:sz w:val="20"/>
        </w:rPr>
        <w:t>(8), 2212–2219. https://doi.org/10.1161/STROKEAHA.115.008585</w:t>
      </w:r>
    </w:p>
    <w:p w14:paraId="4D2A36EA" w14:textId="6B1F2C95" w:rsidR="00B1436D" w:rsidRPr="00C91F30" w:rsidRDefault="0050014F" w:rsidP="00B1436D">
      <w:pPr>
        <w:rPr>
          <w:sz w:val="20"/>
          <w:lang w:val="en-US"/>
        </w:rPr>
      </w:pPr>
      <w:r w:rsidRPr="00C91F30">
        <w:rPr>
          <w:sz w:val="20"/>
        </w:rPr>
        <w:t xml:space="preserve">Forster, A., Young, J., Green, J., Patterson, C., </w:t>
      </w:r>
      <w:proofErr w:type="spellStart"/>
      <w:r w:rsidRPr="00C91F30">
        <w:rPr>
          <w:sz w:val="20"/>
        </w:rPr>
        <w:t>Wanklyn</w:t>
      </w:r>
      <w:proofErr w:type="spellEnd"/>
      <w:r w:rsidRPr="00C91F30">
        <w:rPr>
          <w:sz w:val="20"/>
        </w:rPr>
        <w:t xml:space="preserve">, P., Smith, J., Murray, J., Wild, H., Bogle, S., </w:t>
      </w:r>
      <w:r w:rsidR="00BA4D27" w:rsidRPr="00C91F30">
        <w:rPr>
          <w:sz w:val="20"/>
        </w:rPr>
        <w:t>and</w:t>
      </w:r>
      <w:r w:rsidRPr="00C91F30">
        <w:rPr>
          <w:sz w:val="20"/>
        </w:rPr>
        <w:t xml:space="preserve"> </w:t>
      </w:r>
      <w:proofErr w:type="spellStart"/>
      <w:r w:rsidRPr="00C91F30">
        <w:rPr>
          <w:sz w:val="20"/>
        </w:rPr>
        <w:t>Lowson</w:t>
      </w:r>
      <w:proofErr w:type="spellEnd"/>
      <w:r w:rsidRPr="00C91F30">
        <w:rPr>
          <w:sz w:val="20"/>
        </w:rPr>
        <w:t>, K. (2009). Structured re-assessment system at 6 months after a disabling stroke: a randomised controlled trial with resource use and cost study. </w:t>
      </w:r>
      <w:r w:rsidRPr="00C91F30">
        <w:rPr>
          <w:i/>
          <w:iCs/>
          <w:sz w:val="20"/>
        </w:rPr>
        <w:t>Age and ageing</w:t>
      </w:r>
      <w:r w:rsidRPr="00C91F30">
        <w:rPr>
          <w:sz w:val="20"/>
        </w:rPr>
        <w:t>, </w:t>
      </w:r>
      <w:r w:rsidRPr="00C91F30">
        <w:rPr>
          <w:i/>
          <w:iCs/>
          <w:sz w:val="20"/>
        </w:rPr>
        <w:t>38</w:t>
      </w:r>
      <w:r w:rsidRPr="00C91F30">
        <w:rPr>
          <w:sz w:val="20"/>
        </w:rPr>
        <w:t>(5), 576–583. https://doi.org/10.1093/ageing/afp095</w:t>
      </w:r>
    </w:p>
    <w:p w14:paraId="6789961B" w14:textId="23C4F399" w:rsidR="00B1436D" w:rsidRPr="00C91F30" w:rsidRDefault="0050014F" w:rsidP="00B1436D">
      <w:pPr>
        <w:rPr>
          <w:sz w:val="20"/>
          <w:lang w:val="en-US"/>
        </w:rPr>
      </w:pPr>
      <w:proofErr w:type="spellStart"/>
      <w:r w:rsidRPr="00C91F30">
        <w:rPr>
          <w:sz w:val="20"/>
        </w:rPr>
        <w:t>Kenealy</w:t>
      </w:r>
      <w:proofErr w:type="spellEnd"/>
      <w:r w:rsidRPr="00C91F30">
        <w:rPr>
          <w:sz w:val="20"/>
        </w:rPr>
        <w:t xml:space="preserve">, T. W., Parsons, M. J., Rouse, A. P., Doughty, R. N., Sheridan, N. F., Hindmarsh, J. K., Masson, S. C., </w:t>
      </w:r>
      <w:r w:rsidR="00BA4D27" w:rsidRPr="00C91F30">
        <w:rPr>
          <w:sz w:val="20"/>
        </w:rPr>
        <w:t>and</w:t>
      </w:r>
      <w:r w:rsidRPr="00C91F30">
        <w:rPr>
          <w:sz w:val="20"/>
        </w:rPr>
        <w:t xml:space="preserve"> Rea, H. H. (2015). Telecare for diabetes, </w:t>
      </w:r>
      <w:proofErr w:type="gramStart"/>
      <w:r w:rsidRPr="00C91F30">
        <w:rPr>
          <w:sz w:val="20"/>
        </w:rPr>
        <w:t>CHF</w:t>
      </w:r>
      <w:proofErr w:type="gramEnd"/>
      <w:r w:rsidRPr="00C91F30">
        <w:rPr>
          <w:sz w:val="20"/>
        </w:rPr>
        <w:t xml:space="preserve"> or COPD: effect on quality of life, hospital use and costs. A randomised controlled trial and qualitative evaluation. </w:t>
      </w:r>
      <w:proofErr w:type="spellStart"/>
      <w:r w:rsidRPr="00C91F30">
        <w:rPr>
          <w:i/>
          <w:iCs/>
          <w:sz w:val="20"/>
        </w:rPr>
        <w:t>PloS</w:t>
      </w:r>
      <w:proofErr w:type="spellEnd"/>
      <w:r w:rsidRPr="00C91F30">
        <w:rPr>
          <w:i/>
          <w:iCs/>
          <w:sz w:val="20"/>
        </w:rPr>
        <w:t xml:space="preserve"> one</w:t>
      </w:r>
      <w:r w:rsidRPr="00C91F30">
        <w:rPr>
          <w:sz w:val="20"/>
        </w:rPr>
        <w:t>, </w:t>
      </w:r>
      <w:r w:rsidRPr="00C91F30">
        <w:rPr>
          <w:i/>
          <w:iCs/>
          <w:sz w:val="20"/>
        </w:rPr>
        <w:t>10</w:t>
      </w:r>
      <w:r w:rsidRPr="00C91F30">
        <w:rPr>
          <w:sz w:val="20"/>
        </w:rPr>
        <w:t>(3), e0116188. https://doi.org/10.1371/journal.pone.0116188</w:t>
      </w:r>
    </w:p>
    <w:p w14:paraId="2450879D" w14:textId="0C96E61D" w:rsidR="00B1436D" w:rsidRPr="00C91F30" w:rsidRDefault="00667132" w:rsidP="00B1436D">
      <w:pPr>
        <w:rPr>
          <w:sz w:val="20"/>
          <w:lang w:val="en-US"/>
        </w:rPr>
      </w:pPr>
      <w:proofErr w:type="spellStart"/>
      <w:r w:rsidRPr="00C91F30">
        <w:rPr>
          <w:sz w:val="20"/>
        </w:rPr>
        <w:t>Duru</w:t>
      </w:r>
      <w:proofErr w:type="spellEnd"/>
      <w:r w:rsidRPr="00C91F30">
        <w:rPr>
          <w:sz w:val="20"/>
        </w:rPr>
        <w:t xml:space="preserve">, O. K., </w:t>
      </w:r>
      <w:proofErr w:type="spellStart"/>
      <w:r w:rsidRPr="00C91F30">
        <w:rPr>
          <w:sz w:val="20"/>
        </w:rPr>
        <w:t>Ettner</w:t>
      </w:r>
      <w:proofErr w:type="spellEnd"/>
      <w:r w:rsidRPr="00C91F30">
        <w:rPr>
          <w:sz w:val="20"/>
        </w:rPr>
        <w:t xml:space="preserve">, S. L., Vassar, S. D., Chodosh, J., </w:t>
      </w:r>
      <w:r w:rsidR="00BA4D27" w:rsidRPr="00C91F30">
        <w:rPr>
          <w:sz w:val="20"/>
        </w:rPr>
        <w:t>and</w:t>
      </w:r>
      <w:r w:rsidRPr="00C91F30">
        <w:rPr>
          <w:sz w:val="20"/>
        </w:rPr>
        <w:t xml:space="preserve"> </w:t>
      </w:r>
      <w:proofErr w:type="spellStart"/>
      <w:r w:rsidRPr="00C91F30">
        <w:rPr>
          <w:sz w:val="20"/>
        </w:rPr>
        <w:t>Vickrey</w:t>
      </w:r>
      <w:proofErr w:type="spellEnd"/>
      <w:r w:rsidRPr="00C91F30">
        <w:rPr>
          <w:sz w:val="20"/>
        </w:rPr>
        <w:t>, B. G. (2009). Cost evaluation of a coordinated care management intervention for dementia. </w:t>
      </w:r>
      <w:r w:rsidRPr="00C91F30">
        <w:rPr>
          <w:i/>
          <w:iCs/>
          <w:sz w:val="20"/>
        </w:rPr>
        <w:t>The American journal of managed care</w:t>
      </w:r>
      <w:r w:rsidRPr="00C91F30">
        <w:rPr>
          <w:sz w:val="20"/>
        </w:rPr>
        <w:t>, </w:t>
      </w:r>
      <w:r w:rsidRPr="00C91F30">
        <w:rPr>
          <w:i/>
          <w:iCs/>
          <w:sz w:val="20"/>
        </w:rPr>
        <w:t>15</w:t>
      </w:r>
      <w:r w:rsidRPr="00C91F30">
        <w:rPr>
          <w:sz w:val="20"/>
        </w:rPr>
        <w:t>(8), 521–528.</w:t>
      </w:r>
    </w:p>
    <w:p w14:paraId="406F6AE7" w14:textId="5D7189B3" w:rsidR="00B1436D" w:rsidRPr="00C91F30" w:rsidRDefault="0050014F" w:rsidP="00B1436D">
      <w:pPr>
        <w:rPr>
          <w:sz w:val="20"/>
          <w:lang w:val="en-US"/>
        </w:rPr>
      </w:pPr>
      <w:proofErr w:type="spellStart"/>
      <w:r w:rsidRPr="00C91F30">
        <w:rPr>
          <w:sz w:val="20"/>
        </w:rPr>
        <w:t>Menn</w:t>
      </w:r>
      <w:proofErr w:type="spellEnd"/>
      <w:r w:rsidRPr="00C91F30">
        <w:rPr>
          <w:sz w:val="20"/>
        </w:rPr>
        <w:t xml:space="preserve">, P., </w:t>
      </w:r>
      <w:proofErr w:type="spellStart"/>
      <w:r w:rsidRPr="00C91F30">
        <w:rPr>
          <w:sz w:val="20"/>
        </w:rPr>
        <w:t>Holle</w:t>
      </w:r>
      <w:proofErr w:type="spellEnd"/>
      <w:r w:rsidRPr="00C91F30">
        <w:rPr>
          <w:sz w:val="20"/>
        </w:rPr>
        <w:t xml:space="preserve">, R., Kunz, S., Donath, C., </w:t>
      </w:r>
      <w:proofErr w:type="spellStart"/>
      <w:r w:rsidRPr="00C91F30">
        <w:rPr>
          <w:sz w:val="20"/>
        </w:rPr>
        <w:t>Lauterberg</w:t>
      </w:r>
      <w:proofErr w:type="spellEnd"/>
      <w:r w:rsidRPr="00C91F30">
        <w:rPr>
          <w:sz w:val="20"/>
        </w:rPr>
        <w:t xml:space="preserve">, J., </w:t>
      </w:r>
      <w:proofErr w:type="spellStart"/>
      <w:r w:rsidRPr="00C91F30">
        <w:rPr>
          <w:sz w:val="20"/>
        </w:rPr>
        <w:t>Leidl</w:t>
      </w:r>
      <w:proofErr w:type="spellEnd"/>
      <w:r w:rsidRPr="00C91F30">
        <w:rPr>
          <w:sz w:val="20"/>
        </w:rPr>
        <w:t xml:space="preserve">, R., Marx, P., </w:t>
      </w:r>
      <w:proofErr w:type="spellStart"/>
      <w:r w:rsidRPr="00C91F30">
        <w:rPr>
          <w:sz w:val="20"/>
        </w:rPr>
        <w:t>Mehlig</w:t>
      </w:r>
      <w:proofErr w:type="spellEnd"/>
      <w:r w:rsidRPr="00C91F30">
        <w:rPr>
          <w:sz w:val="20"/>
        </w:rPr>
        <w:t xml:space="preserve">, H., </w:t>
      </w:r>
      <w:proofErr w:type="spellStart"/>
      <w:r w:rsidRPr="00C91F30">
        <w:rPr>
          <w:sz w:val="20"/>
        </w:rPr>
        <w:t>Ruckdäschel</w:t>
      </w:r>
      <w:proofErr w:type="spellEnd"/>
      <w:r w:rsidRPr="00C91F30">
        <w:rPr>
          <w:sz w:val="20"/>
        </w:rPr>
        <w:t xml:space="preserve">, S., </w:t>
      </w:r>
      <w:proofErr w:type="spellStart"/>
      <w:r w:rsidRPr="00C91F30">
        <w:rPr>
          <w:sz w:val="20"/>
        </w:rPr>
        <w:t>Vollmar</w:t>
      </w:r>
      <w:proofErr w:type="spellEnd"/>
      <w:r w:rsidRPr="00C91F30">
        <w:rPr>
          <w:sz w:val="20"/>
        </w:rPr>
        <w:t xml:space="preserve">, H. C., </w:t>
      </w:r>
      <w:proofErr w:type="spellStart"/>
      <w:r w:rsidRPr="00C91F30">
        <w:rPr>
          <w:sz w:val="20"/>
        </w:rPr>
        <w:t>Wunder</w:t>
      </w:r>
      <w:proofErr w:type="spellEnd"/>
      <w:r w:rsidRPr="00C91F30">
        <w:rPr>
          <w:sz w:val="20"/>
        </w:rPr>
        <w:t xml:space="preserve">, S., </w:t>
      </w:r>
      <w:r w:rsidR="00BA4D27" w:rsidRPr="00C91F30">
        <w:rPr>
          <w:sz w:val="20"/>
        </w:rPr>
        <w:t>and</w:t>
      </w:r>
      <w:r w:rsidRPr="00C91F30">
        <w:rPr>
          <w:sz w:val="20"/>
        </w:rPr>
        <w:t xml:space="preserve"> </w:t>
      </w:r>
      <w:proofErr w:type="spellStart"/>
      <w:r w:rsidRPr="00C91F30">
        <w:rPr>
          <w:sz w:val="20"/>
        </w:rPr>
        <w:t>Gräßel</w:t>
      </w:r>
      <w:proofErr w:type="spellEnd"/>
      <w:r w:rsidRPr="00C91F30">
        <w:rPr>
          <w:sz w:val="20"/>
        </w:rPr>
        <w:t>, E. (2012). Dementia care in the general practice setting: a cluster randomized trial on the effectiveness and cost impact of three management strategies. </w:t>
      </w:r>
      <w:r w:rsidRPr="00C91F30">
        <w:rPr>
          <w:i/>
          <w:iCs/>
          <w:sz w:val="20"/>
        </w:rPr>
        <w:t xml:space="preserve">Value in </w:t>
      </w:r>
      <w:proofErr w:type="gramStart"/>
      <w:r w:rsidRPr="00C91F30">
        <w:rPr>
          <w:i/>
          <w:iCs/>
          <w:sz w:val="20"/>
        </w:rPr>
        <w:t>health :</w:t>
      </w:r>
      <w:proofErr w:type="gramEnd"/>
      <w:r w:rsidRPr="00C91F30">
        <w:rPr>
          <w:i/>
          <w:iCs/>
          <w:sz w:val="20"/>
        </w:rPr>
        <w:t xml:space="preserve"> the journal of the International Society for Pharmacoeconomics and Outcomes Research</w:t>
      </w:r>
      <w:r w:rsidRPr="00C91F30">
        <w:rPr>
          <w:sz w:val="20"/>
        </w:rPr>
        <w:t>, </w:t>
      </w:r>
      <w:r w:rsidRPr="00C91F30">
        <w:rPr>
          <w:i/>
          <w:iCs/>
          <w:sz w:val="20"/>
        </w:rPr>
        <w:t>15</w:t>
      </w:r>
      <w:r w:rsidRPr="00C91F30">
        <w:rPr>
          <w:sz w:val="20"/>
        </w:rPr>
        <w:t>(6), 851–859. https://doi.org/10.1016/j.jval.2012.06.007</w:t>
      </w:r>
    </w:p>
    <w:p w14:paraId="0D64E3BB" w14:textId="44353A23" w:rsidR="00B1436D" w:rsidRPr="00C91F30" w:rsidRDefault="0050014F" w:rsidP="00B1436D">
      <w:pPr>
        <w:rPr>
          <w:sz w:val="20"/>
          <w:lang w:val="en-US"/>
        </w:rPr>
      </w:pPr>
      <w:r w:rsidRPr="00C91F30">
        <w:rPr>
          <w:sz w:val="20"/>
          <w:lang w:val="en-US"/>
        </w:rPr>
        <w:t xml:space="preserve">Morgan, R. O., Bass, D. M., Judge, K. S., Liu, C. F., Wilson, N., Snow, A. L., Pirraglia, P., Garcia-Maldonado, M., Raia, P., Fouladi, N. N., </w:t>
      </w:r>
      <w:r w:rsidR="00BA4D27" w:rsidRPr="00C91F30">
        <w:rPr>
          <w:sz w:val="20"/>
          <w:lang w:val="en-US"/>
        </w:rPr>
        <w:t>and</w:t>
      </w:r>
      <w:r w:rsidRPr="00C91F30">
        <w:rPr>
          <w:sz w:val="20"/>
          <w:lang w:val="en-US"/>
        </w:rPr>
        <w:t xml:space="preserve"> Kunik, M. E. (2015). A break-even analysis for dementia care collaboration: Partners in Dementia Care. </w:t>
      </w:r>
      <w:r w:rsidRPr="00C91F30">
        <w:rPr>
          <w:i/>
          <w:iCs/>
          <w:sz w:val="20"/>
          <w:lang w:val="en-US"/>
        </w:rPr>
        <w:t>Journal of general internal medicine</w:t>
      </w:r>
      <w:r w:rsidRPr="00C91F30">
        <w:rPr>
          <w:sz w:val="20"/>
          <w:lang w:val="en-US"/>
        </w:rPr>
        <w:t>, 30(6), 804–809. https://doi.org/10.1007/s11606-015-3205-x</w:t>
      </w:r>
    </w:p>
    <w:p w14:paraId="72813F2B" w14:textId="41F52355" w:rsidR="00B1436D" w:rsidRPr="00C91F30" w:rsidRDefault="0050014F" w:rsidP="00B1436D">
      <w:pPr>
        <w:rPr>
          <w:sz w:val="20"/>
          <w:lang w:val="en-US"/>
        </w:rPr>
      </w:pPr>
      <w:proofErr w:type="spellStart"/>
      <w:r w:rsidRPr="00C91F30">
        <w:rPr>
          <w:sz w:val="20"/>
        </w:rPr>
        <w:t>Orgeta</w:t>
      </w:r>
      <w:proofErr w:type="spellEnd"/>
      <w:r w:rsidRPr="00C91F30">
        <w:rPr>
          <w:sz w:val="20"/>
        </w:rPr>
        <w:t xml:space="preserve">, V., Leung, P., Yates, L., Kang, S., Hoare, Z., Henderson, C., Whitaker, C., Burns, A., Knapp, M., Leroi, I., Moniz-Cook, E. D., Pearson, S., Simpson, S., Spector, A., Roberts, S., Russell, I. T., de Waal, H., Woods, R. T., </w:t>
      </w:r>
      <w:r w:rsidR="00BA4D27" w:rsidRPr="00C91F30">
        <w:rPr>
          <w:sz w:val="20"/>
        </w:rPr>
        <w:t>and</w:t>
      </w:r>
      <w:r w:rsidRPr="00C91F30">
        <w:rPr>
          <w:sz w:val="20"/>
        </w:rPr>
        <w:t xml:space="preserve"> </w:t>
      </w:r>
      <w:proofErr w:type="spellStart"/>
      <w:r w:rsidRPr="00C91F30">
        <w:rPr>
          <w:sz w:val="20"/>
        </w:rPr>
        <w:t>Orrell</w:t>
      </w:r>
      <w:proofErr w:type="spellEnd"/>
      <w:r w:rsidRPr="00C91F30">
        <w:rPr>
          <w:sz w:val="20"/>
        </w:rPr>
        <w:t>, M. (2015). Individual cognitive stimulation therapy for dementia: a clinical effectiveness and cost-effectiveness pragmatic, multicentre, randomised controlled trial. </w:t>
      </w:r>
      <w:r w:rsidRPr="00C91F30">
        <w:rPr>
          <w:i/>
          <w:iCs/>
          <w:sz w:val="20"/>
        </w:rPr>
        <w:t>Health technology assessment (Winchester, England)</w:t>
      </w:r>
      <w:r w:rsidRPr="00C91F30">
        <w:rPr>
          <w:sz w:val="20"/>
        </w:rPr>
        <w:t>, </w:t>
      </w:r>
      <w:r w:rsidRPr="00C91F30">
        <w:rPr>
          <w:i/>
          <w:iCs/>
          <w:sz w:val="20"/>
        </w:rPr>
        <w:t>19</w:t>
      </w:r>
      <w:r w:rsidRPr="00C91F30">
        <w:rPr>
          <w:sz w:val="20"/>
        </w:rPr>
        <w:t>(64), 1–108. https://doi.org/10.3310/hta19640</w:t>
      </w:r>
    </w:p>
    <w:p w14:paraId="63614456" w14:textId="21B0F5E3" w:rsidR="00B1436D" w:rsidRPr="00C91F30" w:rsidRDefault="00667132" w:rsidP="00B1436D">
      <w:pPr>
        <w:rPr>
          <w:sz w:val="20"/>
          <w:lang w:val="en-US"/>
        </w:rPr>
      </w:pPr>
      <w:r w:rsidRPr="00C91F30">
        <w:rPr>
          <w:sz w:val="20"/>
        </w:rPr>
        <w:t xml:space="preserve">Romeo, R., Knapp, M., Banerjee, S., Morris, J., Baldwin, R., Tarrier, N., Pendleton, N., Horan, M., </w:t>
      </w:r>
      <w:r w:rsidR="00BA4D27" w:rsidRPr="00C91F30">
        <w:rPr>
          <w:sz w:val="20"/>
        </w:rPr>
        <w:t>and</w:t>
      </w:r>
      <w:r w:rsidRPr="00C91F30">
        <w:rPr>
          <w:sz w:val="20"/>
        </w:rPr>
        <w:t xml:space="preserve"> Burns, A. (2011). Treatment and prevention of depression after surgery for hip fracture in older people: cost-effectiveness analysis. </w:t>
      </w:r>
      <w:r w:rsidRPr="00C91F30">
        <w:rPr>
          <w:i/>
          <w:iCs/>
          <w:sz w:val="20"/>
        </w:rPr>
        <w:t>Journal of affective disorders</w:t>
      </w:r>
      <w:r w:rsidRPr="00C91F30">
        <w:rPr>
          <w:sz w:val="20"/>
        </w:rPr>
        <w:t>, </w:t>
      </w:r>
      <w:r w:rsidRPr="00C91F30">
        <w:rPr>
          <w:i/>
          <w:iCs/>
          <w:sz w:val="20"/>
        </w:rPr>
        <w:t>128</w:t>
      </w:r>
      <w:r w:rsidRPr="00C91F30">
        <w:rPr>
          <w:sz w:val="20"/>
        </w:rPr>
        <w:t>(3), 211–219. https://doi.org/10.1016/j.jad.2010.07.026</w:t>
      </w:r>
    </w:p>
    <w:p w14:paraId="258790DA" w14:textId="51E4DC07" w:rsidR="00B1436D" w:rsidRPr="00C91F30" w:rsidRDefault="0050014F" w:rsidP="00B1436D">
      <w:pPr>
        <w:rPr>
          <w:sz w:val="20"/>
          <w:lang w:val="en-US"/>
        </w:rPr>
      </w:pPr>
      <w:r w:rsidRPr="00C91F30">
        <w:rPr>
          <w:sz w:val="20"/>
          <w:lang w:val="en-US"/>
        </w:rPr>
        <w:t xml:space="preserve">Sandberg, M., Jakobsson, U., </w:t>
      </w:r>
      <w:proofErr w:type="spellStart"/>
      <w:r w:rsidRPr="00C91F30">
        <w:rPr>
          <w:sz w:val="20"/>
          <w:lang w:val="en-US"/>
        </w:rPr>
        <w:t>Midlöv</w:t>
      </w:r>
      <w:proofErr w:type="spellEnd"/>
      <w:r w:rsidRPr="00C91F30">
        <w:rPr>
          <w:sz w:val="20"/>
          <w:lang w:val="en-US"/>
        </w:rPr>
        <w:t xml:space="preserve">, P., </w:t>
      </w:r>
      <w:r w:rsidR="00BA4D27" w:rsidRPr="00C91F30">
        <w:rPr>
          <w:sz w:val="20"/>
          <w:lang w:val="en-US"/>
        </w:rPr>
        <w:t>and</w:t>
      </w:r>
      <w:r w:rsidRPr="00C91F30">
        <w:rPr>
          <w:sz w:val="20"/>
          <w:lang w:val="en-US"/>
        </w:rPr>
        <w:t xml:space="preserve"> </w:t>
      </w:r>
      <w:proofErr w:type="spellStart"/>
      <w:r w:rsidRPr="00C91F30">
        <w:rPr>
          <w:sz w:val="20"/>
          <w:lang w:val="en-US"/>
        </w:rPr>
        <w:t>Kristensson</w:t>
      </w:r>
      <w:proofErr w:type="spellEnd"/>
      <w:r w:rsidRPr="00C91F30">
        <w:rPr>
          <w:sz w:val="20"/>
          <w:lang w:val="en-US"/>
        </w:rPr>
        <w:t xml:space="preserve">, J. (2015). Cost-utility analysis of case management for frail older people: effects of a </w:t>
      </w:r>
      <w:proofErr w:type="spellStart"/>
      <w:r w:rsidRPr="00C91F30">
        <w:rPr>
          <w:sz w:val="20"/>
          <w:lang w:val="en-US"/>
        </w:rPr>
        <w:t>randomised</w:t>
      </w:r>
      <w:proofErr w:type="spellEnd"/>
      <w:r w:rsidRPr="00C91F30">
        <w:rPr>
          <w:sz w:val="20"/>
          <w:lang w:val="en-US"/>
        </w:rPr>
        <w:t xml:space="preserve"> controlled trial. </w:t>
      </w:r>
      <w:r w:rsidRPr="00C91F30">
        <w:rPr>
          <w:i/>
          <w:iCs/>
          <w:sz w:val="20"/>
          <w:lang w:val="en-US"/>
        </w:rPr>
        <w:t>Health economics review</w:t>
      </w:r>
      <w:r w:rsidRPr="00C91F30">
        <w:rPr>
          <w:sz w:val="20"/>
          <w:lang w:val="en-US"/>
        </w:rPr>
        <w:t>, 5(1), 51. https://doi.org/10.1186/s13561-015-0051-9</w:t>
      </w:r>
    </w:p>
    <w:p w14:paraId="5CCCCD77" w14:textId="6709C407" w:rsidR="00B1436D" w:rsidRPr="00C91F30" w:rsidRDefault="0050014F" w:rsidP="00B1436D">
      <w:pPr>
        <w:rPr>
          <w:sz w:val="20"/>
          <w:lang w:val="en-US"/>
        </w:rPr>
      </w:pPr>
      <w:proofErr w:type="spellStart"/>
      <w:r w:rsidRPr="00C91F30">
        <w:rPr>
          <w:sz w:val="20"/>
        </w:rPr>
        <w:t>Søgaard</w:t>
      </w:r>
      <w:proofErr w:type="spellEnd"/>
      <w:r w:rsidRPr="00C91F30">
        <w:rPr>
          <w:sz w:val="20"/>
        </w:rPr>
        <w:t xml:space="preserve">, R., </w:t>
      </w:r>
      <w:proofErr w:type="spellStart"/>
      <w:r w:rsidRPr="00C91F30">
        <w:rPr>
          <w:sz w:val="20"/>
        </w:rPr>
        <w:t>Sørensen</w:t>
      </w:r>
      <w:proofErr w:type="spellEnd"/>
      <w:r w:rsidRPr="00C91F30">
        <w:rPr>
          <w:sz w:val="20"/>
        </w:rPr>
        <w:t xml:space="preserve">, J., </w:t>
      </w:r>
      <w:proofErr w:type="spellStart"/>
      <w:r w:rsidRPr="00C91F30">
        <w:rPr>
          <w:sz w:val="20"/>
        </w:rPr>
        <w:t>Waldorff</w:t>
      </w:r>
      <w:proofErr w:type="spellEnd"/>
      <w:r w:rsidRPr="00C91F30">
        <w:rPr>
          <w:sz w:val="20"/>
        </w:rPr>
        <w:t xml:space="preserve">, F. B., </w:t>
      </w:r>
      <w:proofErr w:type="spellStart"/>
      <w:r w:rsidRPr="00C91F30">
        <w:rPr>
          <w:sz w:val="20"/>
        </w:rPr>
        <w:t>Eckermann</w:t>
      </w:r>
      <w:proofErr w:type="spellEnd"/>
      <w:r w:rsidRPr="00C91F30">
        <w:rPr>
          <w:sz w:val="20"/>
        </w:rPr>
        <w:t xml:space="preserve">, A., Buss, D. V., Phung, K. T., Waldemar, G., </w:t>
      </w:r>
      <w:r w:rsidR="00BA4D27" w:rsidRPr="00C91F30">
        <w:rPr>
          <w:sz w:val="20"/>
        </w:rPr>
        <w:t>and</w:t>
      </w:r>
      <w:r w:rsidRPr="00C91F30">
        <w:rPr>
          <w:sz w:val="20"/>
        </w:rPr>
        <w:t xml:space="preserve"> DAISY Study Investigators (2014). Early psychosocial intervention in Alzheimer's disease: cost utility evaluation alongside the Danish Alzheimer's Intervention Study (DAISY). </w:t>
      </w:r>
      <w:r w:rsidRPr="00C91F30">
        <w:rPr>
          <w:i/>
          <w:iCs/>
          <w:sz w:val="20"/>
        </w:rPr>
        <w:t>BMJ open</w:t>
      </w:r>
      <w:r w:rsidRPr="00C91F30">
        <w:rPr>
          <w:sz w:val="20"/>
        </w:rPr>
        <w:t>, </w:t>
      </w:r>
      <w:r w:rsidRPr="00C91F30">
        <w:rPr>
          <w:i/>
          <w:iCs/>
          <w:sz w:val="20"/>
        </w:rPr>
        <w:t>4</w:t>
      </w:r>
      <w:r w:rsidRPr="00C91F30">
        <w:rPr>
          <w:sz w:val="20"/>
        </w:rPr>
        <w:t>(1), e004105. https://doi.org/10.1136/bmjopen-2013-004105</w:t>
      </w:r>
    </w:p>
    <w:p w14:paraId="37F33901" w14:textId="5D4272DE" w:rsidR="00B1436D" w:rsidRPr="00C91F30" w:rsidRDefault="0050014F" w:rsidP="00B1436D">
      <w:pPr>
        <w:rPr>
          <w:sz w:val="20"/>
          <w:lang w:val="en-US"/>
        </w:rPr>
      </w:pPr>
      <w:r w:rsidRPr="00C91F30">
        <w:rPr>
          <w:sz w:val="20"/>
        </w:rPr>
        <w:t>Teng, J., Mayo, N. E., Latimer, E., Hanley, J., Wood-</w:t>
      </w:r>
      <w:proofErr w:type="spellStart"/>
      <w:r w:rsidRPr="00C91F30">
        <w:rPr>
          <w:sz w:val="20"/>
        </w:rPr>
        <w:t>Dauphinee</w:t>
      </w:r>
      <w:proofErr w:type="spellEnd"/>
      <w:r w:rsidRPr="00C91F30">
        <w:rPr>
          <w:sz w:val="20"/>
        </w:rPr>
        <w:t xml:space="preserve">, S., </w:t>
      </w:r>
      <w:proofErr w:type="spellStart"/>
      <w:r w:rsidRPr="00C91F30">
        <w:rPr>
          <w:sz w:val="20"/>
        </w:rPr>
        <w:t>Côté</w:t>
      </w:r>
      <w:proofErr w:type="spellEnd"/>
      <w:r w:rsidRPr="00C91F30">
        <w:rPr>
          <w:sz w:val="20"/>
        </w:rPr>
        <w:t xml:space="preserve">, R., </w:t>
      </w:r>
      <w:r w:rsidR="00BA4D27" w:rsidRPr="00C91F30">
        <w:rPr>
          <w:sz w:val="20"/>
        </w:rPr>
        <w:t>and</w:t>
      </w:r>
      <w:r w:rsidRPr="00C91F30">
        <w:rPr>
          <w:sz w:val="20"/>
        </w:rPr>
        <w:t xml:space="preserve"> Scott, S. (2003). Costs and caregiver consequences of early supported discharge for stroke patients. </w:t>
      </w:r>
      <w:r w:rsidRPr="00C91F30">
        <w:rPr>
          <w:i/>
          <w:iCs/>
          <w:sz w:val="20"/>
        </w:rPr>
        <w:t>Stroke</w:t>
      </w:r>
      <w:r w:rsidRPr="00C91F30">
        <w:rPr>
          <w:sz w:val="20"/>
        </w:rPr>
        <w:t>, </w:t>
      </w:r>
      <w:r w:rsidRPr="00C91F30">
        <w:rPr>
          <w:i/>
          <w:iCs/>
          <w:sz w:val="20"/>
        </w:rPr>
        <w:t>34</w:t>
      </w:r>
      <w:r w:rsidRPr="00C91F30">
        <w:rPr>
          <w:sz w:val="20"/>
        </w:rPr>
        <w:t>(2), 528–536. https://doi.org/10.1161/01.str.0000049767.14156.2c</w:t>
      </w:r>
    </w:p>
    <w:p w14:paraId="08DEAEFD" w14:textId="2B7E547E" w:rsidR="00DD527B" w:rsidRPr="00C91F30" w:rsidRDefault="0050014F" w:rsidP="00DD527B">
      <w:pPr>
        <w:rPr>
          <w:sz w:val="20"/>
          <w:lang w:val="en-US"/>
        </w:rPr>
      </w:pPr>
      <w:r w:rsidRPr="00C91F30">
        <w:rPr>
          <w:sz w:val="20"/>
        </w:rPr>
        <w:t xml:space="preserve">Wray, L. O., </w:t>
      </w:r>
      <w:proofErr w:type="spellStart"/>
      <w:r w:rsidRPr="00C91F30">
        <w:rPr>
          <w:sz w:val="20"/>
        </w:rPr>
        <w:t>Shulan</w:t>
      </w:r>
      <w:proofErr w:type="spellEnd"/>
      <w:r w:rsidRPr="00C91F30">
        <w:rPr>
          <w:sz w:val="20"/>
        </w:rPr>
        <w:t xml:space="preserve">, M. D., </w:t>
      </w:r>
      <w:proofErr w:type="spellStart"/>
      <w:r w:rsidRPr="00C91F30">
        <w:rPr>
          <w:sz w:val="20"/>
        </w:rPr>
        <w:t>Toseland</w:t>
      </w:r>
      <w:proofErr w:type="spellEnd"/>
      <w:r w:rsidRPr="00C91F30">
        <w:rPr>
          <w:sz w:val="20"/>
        </w:rPr>
        <w:t xml:space="preserve">, R. W., Freeman, K. E., Vásquez, B. E., </w:t>
      </w:r>
      <w:r w:rsidR="00BA4D27" w:rsidRPr="00C91F30">
        <w:rPr>
          <w:sz w:val="20"/>
        </w:rPr>
        <w:t>and</w:t>
      </w:r>
      <w:r w:rsidRPr="00C91F30">
        <w:rPr>
          <w:sz w:val="20"/>
        </w:rPr>
        <w:t xml:space="preserve"> Gao, J. (2010). The effect of telephone support groups on costs of care for veterans with dementia. </w:t>
      </w:r>
      <w:r w:rsidRPr="00C91F30">
        <w:rPr>
          <w:i/>
          <w:iCs/>
          <w:sz w:val="20"/>
        </w:rPr>
        <w:t>The Gerontologist</w:t>
      </w:r>
      <w:r w:rsidRPr="00C91F30">
        <w:rPr>
          <w:sz w:val="20"/>
        </w:rPr>
        <w:t>, </w:t>
      </w:r>
      <w:r w:rsidRPr="00C91F30">
        <w:rPr>
          <w:i/>
          <w:iCs/>
          <w:sz w:val="20"/>
        </w:rPr>
        <w:t>50</w:t>
      </w:r>
      <w:r w:rsidRPr="00C91F30">
        <w:rPr>
          <w:sz w:val="20"/>
        </w:rPr>
        <w:t>(5), 623–631. https://doi.org/10.1093/geront/gnq040</w:t>
      </w:r>
    </w:p>
    <w:p w14:paraId="61EBC84B" w14:textId="77777777" w:rsidR="00DD527B" w:rsidRPr="00C91F30" w:rsidRDefault="00DD527B" w:rsidP="00DD527B">
      <w:pPr>
        <w:rPr>
          <w:b/>
          <w:lang w:val="en-US"/>
        </w:rPr>
      </w:pPr>
      <w:r w:rsidRPr="00C91F30">
        <w:rPr>
          <w:b/>
          <w:lang w:val="en-US"/>
        </w:rPr>
        <w:t>Not applicable to the guideline decision context: n=</w:t>
      </w:r>
      <w:r w:rsidR="00FF13B3" w:rsidRPr="00C91F30">
        <w:rPr>
          <w:b/>
          <w:lang w:val="en-US"/>
        </w:rPr>
        <w:t>8</w:t>
      </w:r>
    </w:p>
    <w:p w14:paraId="2D6FE1C7" w14:textId="41288124" w:rsidR="00B1436D" w:rsidRPr="00C91F30" w:rsidRDefault="00667132" w:rsidP="00B1436D">
      <w:pPr>
        <w:rPr>
          <w:sz w:val="20"/>
          <w:lang w:val="en-US"/>
        </w:rPr>
      </w:pPr>
      <w:r w:rsidRPr="00C91F30">
        <w:rPr>
          <w:sz w:val="20"/>
          <w:lang w:val="en-US"/>
        </w:rPr>
        <w:t xml:space="preserve">Gitlin, L. N., Hodgson, N., </w:t>
      </w:r>
      <w:proofErr w:type="spellStart"/>
      <w:r w:rsidRPr="00C91F30">
        <w:rPr>
          <w:sz w:val="20"/>
          <w:lang w:val="en-US"/>
        </w:rPr>
        <w:t>Jutkowitz</w:t>
      </w:r>
      <w:proofErr w:type="spellEnd"/>
      <w:r w:rsidRPr="00C91F30">
        <w:rPr>
          <w:sz w:val="20"/>
          <w:lang w:val="en-US"/>
        </w:rPr>
        <w:t xml:space="preserve">, E., </w:t>
      </w:r>
      <w:r w:rsidR="00BA4D27" w:rsidRPr="00C91F30">
        <w:rPr>
          <w:sz w:val="20"/>
          <w:lang w:val="en-US"/>
        </w:rPr>
        <w:t>and</w:t>
      </w:r>
      <w:r w:rsidRPr="00C91F30">
        <w:rPr>
          <w:sz w:val="20"/>
          <w:lang w:val="en-US"/>
        </w:rPr>
        <w:t xml:space="preserve"> </w:t>
      </w:r>
      <w:proofErr w:type="spellStart"/>
      <w:r w:rsidRPr="00C91F30">
        <w:rPr>
          <w:sz w:val="20"/>
          <w:lang w:val="en-US"/>
        </w:rPr>
        <w:t>Pizzi</w:t>
      </w:r>
      <w:proofErr w:type="spellEnd"/>
      <w:r w:rsidRPr="00C91F30">
        <w:rPr>
          <w:sz w:val="20"/>
          <w:lang w:val="en-US"/>
        </w:rPr>
        <w:t xml:space="preserve">, L. (2010). The cost-effectiveness of a nonpharmacologic intervention for individuals with dementia and family caregivers: the tailored activity program. The American journal of geriatric </w:t>
      </w:r>
      <w:proofErr w:type="gramStart"/>
      <w:r w:rsidRPr="00C91F30">
        <w:rPr>
          <w:sz w:val="20"/>
          <w:lang w:val="en-US"/>
        </w:rPr>
        <w:t>psychiatry :</w:t>
      </w:r>
      <w:proofErr w:type="gramEnd"/>
      <w:r w:rsidRPr="00C91F30">
        <w:rPr>
          <w:sz w:val="20"/>
          <w:lang w:val="en-US"/>
        </w:rPr>
        <w:t xml:space="preserve"> official journal of the American Association for Geriatric Psychiatry, 18(6), 510–519. https://doi.org/10.1097/JGP.0b013e3181c37d13</w:t>
      </w:r>
    </w:p>
    <w:p w14:paraId="383564C9" w14:textId="722EF926" w:rsidR="00B1436D" w:rsidRPr="00C91F30" w:rsidRDefault="00667132" w:rsidP="00B1436D">
      <w:pPr>
        <w:rPr>
          <w:sz w:val="20"/>
          <w:lang w:val="en-US"/>
        </w:rPr>
      </w:pPr>
      <w:proofErr w:type="spellStart"/>
      <w:r w:rsidRPr="00C91F30">
        <w:rPr>
          <w:sz w:val="20"/>
        </w:rPr>
        <w:t>Jutkowitz</w:t>
      </w:r>
      <w:proofErr w:type="spellEnd"/>
      <w:r w:rsidRPr="00C91F30">
        <w:rPr>
          <w:sz w:val="20"/>
        </w:rPr>
        <w:t xml:space="preserve">, E., Gitlin, L. N., </w:t>
      </w:r>
      <w:r w:rsidR="00BA4D27" w:rsidRPr="00C91F30">
        <w:rPr>
          <w:sz w:val="20"/>
        </w:rPr>
        <w:t>and</w:t>
      </w:r>
      <w:r w:rsidRPr="00C91F30">
        <w:rPr>
          <w:sz w:val="20"/>
        </w:rPr>
        <w:t xml:space="preserve"> </w:t>
      </w:r>
      <w:proofErr w:type="spellStart"/>
      <w:r w:rsidRPr="00C91F30">
        <w:rPr>
          <w:sz w:val="20"/>
        </w:rPr>
        <w:t>Pizzi</w:t>
      </w:r>
      <w:proofErr w:type="spellEnd"/>
      <w:r w:rsidRPr="00C91F30">
        <w:rPr>
          <w:sz w:val="20"/>
        </w:rPr>
        <w:t>, L. T. (2010). Evaluating willingness-to-pay thresholds for dementia caregiving interventions: application to the tailored activity program. </w:t>
      </w:r>
      <w:r w:rsidRPr="00C91F30">
        <w:rPr>
          <w:i/>
          <w:iCs/>
          <w:sz w:val="20"/>
        </w:rPr>
        <w:t xml:space="preserve">Value in </w:t>
      </w:r>
      <w:proofErr w:type="gramStart"/>
      <w:r w:rsidRPr="00C91F30">
        <w:rPr>
          <w:i/>
          <w:iCs/>
          <w:sz w:val="20"/>
        </w:rPr>
        <w:t>health :</w:t>
      </w:r>
      <w:proofErr w:type="gramEnd"/>
      <w:r w:rsidRPr="00C91F30">
        <w:rPr>
          <w:i/>
          <w:iCs/>
          <w:sz w:val="20"/>
        </w:rPr>
        <w:t xml:space="preserve"> the journal of the International Society for Pharmacoeconomics and Outcomes Research</w:t>
      </w:r>
      <w:r w:rsidRPr="00C91F30">
        <w:rPr>
          <w:sz w:val="20"/>
        </w:rPr>
        <w:t>, </w:t>
      </w:r>
      <w:r w:rsidRPr="00C91F30">
        <w:rPr>
          <w:i/>
          <w:iCs/>
          <w:sz w:val="20"/>
        </w:rPr>
        <w:t>13</w:t>
      </w:r>
      <w:r w:rsidRPr="00C91F30">
        <w:rPr>
          <w:sz w:val="20"/>
        </w:rPr>
        <w:t>(6), 720–725. https://doi.org/10.1111/j.1524-4733.2010.00739.x</w:t>
      </w:r>
    </w:p>
    <w:p w14:paraId="73685686" w14:textId="50092B5B" w:rsidR="00B1436D" w:rsidRPr="00C91F30" w:rsidRDefault="00667132" w:rsidP="00B1436D">
      <w:pPr>
        <w:rPr>
          <w:sz w:val="20"/>
          <w:lang w:val="en-US"/>
        </w:rPr>
      </w:pPr>
      <w:r w:rsidRPr="00C91F30">
        <w:rPr>
          <w:sz w:val="20"/>
        </w:rPr>
        <w:t xml:space="preserve">Magnusson, L., </w:t>
      </w:r>
      <w:r w:rsidR="00BA4D27" w:rsidRPr="00C91F30">
        <w:rPr>
          <w:sz w:val="20"/>
        </w:rPr>
        <w:t>and</w:t>
      </w:r>
      <w:r w:rsidRPr="00C91F30">
        <w:rPr>
          <w:sz w:val="20"/>
        </w:rPr>
        <w:t xml:space="preserve"> Hanson, E. (2005). Supporting frail older people and their family carers at home using information and communication technology: cost analysis. </w:t>
      </w:r>
      <w:r w:rsidRPr="00C91F30">
        <w:rPr>
          <w:i/>
          <w:iCs/>
          <w:sz w:val="20"/>
        </w:rPr>
        <w:t>Journal of advanced nursing</w:t>
      </w:r>
      <w:r w:rsidRPr="00C91F30">
        <w:rPr>
          <w:sz w:val="20"/>
        </w:rPr>
        <w:t>, </w:t>
      </w:r>
      <w:r w:rsidRPr="00C91F30">
        <w:rPr>
          <w:i/>
          <w:iCs/>
          <w:sz w:val="20"/>
        </w:rPr>
        <w:t>51</w:t>
      </w:r>
      <w:r w:rsidRPr="00C91F30">
        <w:rPr>
          <w:sz w:val="20"/>
        </w:rPr>
        <w:t>(6), 645–657. https://doi.org/10.1111/j.1365-2648.2005.03541.x</w:t>
      </w:r>
    </w:p>
    <w:p w14:paraId="04CC34EA" w14:textId="14F6E368" w:rsidR="00B1436D" w:rsidRPr="00C91F30" w:rsidRDefault="00667132" w:rsidP="00B1436D">
      <w:pPr>
        <w:rPr>
          <w:sz w:val="20"/>
          <w:lang w:val="en-US"/>
        </w:rPr>
      </w:pPr>
      <w:r w:rsidRPr="00C91F30">
        <w:rPr>
          <w:sz w:val="20"/>
        </w:rPr>
        <w:t xml:space="preserve">Nichols, L. O., Chang, C., Lummus, A., Burns, R., Martindale-Adams, J., Graney, M. J., Coon, D. W., </w:t>
      </w:r>
      <w:proofErr w:type="spellStart"/>
      <w:r w:rsidRPr="00C91F30">
        <w:rPr>
          <w:sz w:val="20"/>
        </w:rPr>
        <w:t>Czaja</w:t>
      </w:r>
      <w:proofErr w:type="spellEnd"/>
      <w:r w:rsidRPr="00C91F30">
        <w:rPr>
          <w:sz w:val="20"/>
        </w:rPr>
        <w:t xml:space="preserve">, S., </w:t>
      </w:r>
      <w:r w:rsidR="00BA4D27" w:rsidRPr="00C91F30">
        <w:rPr>
          <w:sz w:val="20"/>
        </w:rPr>
        <w:t>and</w:t>
      </w:r>
      <w:r w:rsidRPr="00C91F30">
        <w:rPr>
          <w:sz w:val="20"/>
        </w:rPr>
        <w:t xml:space="preserve"> Resources for Enhancing Alzheimer's Caregivers Health II Investigators (2008). The cost-effectiveness of a </w:t>
      </w:r>
      <w:proofErr w:type="spellStart"/>
      <w:r w:rsidRPr="00C91F30">
        <w:rPr>
          <w:sz w:val="20"/>
        </w:rPr>
        <w:t>behavior</w:t>
      </w:r>
      <w:proofErr w:type="spellEnd"/>
      <w:r w:rsidRPr="00C91F30">
        <w:rPr>
          <w:sz w:val="20"/>
        </w:rPr>
        <w:t xml:space="preserve"> intervention with caregivers of patients with Alzheimer's disease. </w:t>
      </w:r>
      <w:r w:rsidRPr="00C91F30">
        <w:rPr>
          <w:i/>
          <w:iCs/>
          <w:sz w:val="20"/>
        </w:rPr>
        <w:t>Journal of the American Geriatrics Society</w:t>
      </w:r>
      <w:r w:rsidRPr="00C91F30">
        <w:rPr>
          <w:sz w:val="20"/>
        </w:rPr>
        <w:t>, </w:t>
      </w:r>
      <w:r w:rsidRPr="00C91F30">
        <w:rPr>
          <w:i/>
          <w:iCs/>
          <w:sz w:val="20"/>
        </w:rPr>
        <w:t>56</w:t>
      </w:r>
      <w:r w:rsidRPr="00C91F30">
        <w:rPr>
          <w:sz w:val="20"/>
        </w:rPr>
        <w:t>(3), 413–420. https://doi.org/10.1111/j.1532-5415.2007.01569.x</w:t>
      </w:r>
    </w:p>
    <w:p w14:paraId="2916AD95" w14:textId="439EE7BD" w:rsidR="00B1436D" w:rsidRPr="00C91F30" w:rsidRDefault="002C41BF" w:rsidP="00B1436D">
      <w:pPr>
        <w:rPr>
          <w:sz w:val="20"/>
          <w:lang w:val="en-US"/>
        </w:rPr>
      </w:pPr>
      <w:r w:rsidRPr="00C91F30">
        <w:rPr>
          <w:sz w:val="20"/>
        </w:rPr>
        <w:t xml:space="preserve">Nichols, L. O., Martindale-Adams, J., Zhu, C. W., Kaplan, E. K., Zuber, J. K., </w:t>
      </w:r>
      <w:r w:rsidR="00BA4D27" w:rsidRPr="00C91F30">
        <w:rPr>
          <w:sz w:val="20"/>
        </w:rPr>
        <w:t>and</w:t>
      </w:r>
      <w:r w:rsidRPr="00C91F30">
        <w:rPr>
          <w:sz w:val="20"/>
        </w:rPr>
        <w:t xml:space="preserve"> Waters, T. M. (2017). Impact of the REACH II and REACH VA Dementia Caregiver Interventions on Healthcare Costs. </w:t>
      </w:r>
      <w:r w:rsidRPr="00C91F30">
        <w:rPr>
          <w:i/>
          <w:iCs/>
          <w:sz w:val="20"/>
        </w:rPr>
        <w:t>Journal of the American Geriatrics Society</w:t>
      </w:r>
      <w:r w:rsidRPr="00C91F30">
        <w:rPr>
          <w:sz w:val="20"/>
        </w:rPr>
        <w:t>, </w:t>
      </w:r>
      <w:r w:rsidRPr="00C91F30">
        <w:rPr>
          <w:i/>
          <w:iCs/>
          <w:sz w:val="20"/>
        </w:rPr>
        <w:t>65</w:t>
      </w:r>
      <w:r w:rsidRPr="00C91F30">
        <w:rPr>
          <w:sz w:val="20"/>
        </w:rPr>
        <w:t>(5), 931–936. https://doi.org/10.1111/jgs.14716</w:t>
      </w:r>
    </w:p>
    <w:p w14:paraId="660DE5EC" w14:textId="428F31E5" w:rsidR="00B1436D" w:rsidRPr="00C91F30" w:rsidRDefault="002C41BF" w:rsidP="00B1436D">
      <w:pPr>
        <w:rPr>
          <w:sz w:val="20"/>
          <w:lang w:val="en-US"/>
        </w:rPr>
      </w:pPr>
      <w:r w:rsidRPr="00C91F30">
        <w:rPr>
          <w:sz w:val="20"/>
        </w:rPr>
        <w:t xml:space="preserve">Reeves, P., Doran, C., Carey, M., Cameron, E., </w:t>
      </w:r>
      <w:proofErr w:type="spellStart"/>
      <w:r w:rsidRPr="00C91F30">
        <w:rPr>
          <w:sz w:val="20"/>
        </w:rPr>
        <w:t>Sanson</w:t>
      </w:r>
      <w:proofErr w:type="spellEnd"/>
      <w:r w:rsidRPr="00C91F30">
        <w:rPr>
          <w:sz w:val="20"/>
        </w:rPr>
        <w:t xml:space="preserve">-Fisher, R., Macrae, F., </w:t>
      </w:r>
      <w:r w:rsidR="00BA4D27" w:rsidRPr="00C91F30">
        <w:rPr>
          <w:sz w:val="20"/>
        </w:rPr>
        <w:t>and</w:t>
      </w:r>
      <w:r w:rsidRPr="00C91F30">
        <w:rPr>
          <w:sz w:val="20"/>
        </w:rPr>
        <w:t xml:space="preserve"> Hill, D. (2019). Costs and Cost-Effectiveness of Targeted, Personalized Risk Information to Increase Appropriate Screening by First-Degree Relatives of People </w:t>
      </w:r>
      <w:proofErr w:type="gramStart"/>
      <w:r w:rsidRPr="00C91F30">
        <w:rPr>
          <w:sz w:val="20"/>
        </w:rPr>
        <w:t>With</w:t>
      </w:r>
      <w:proofErr w:type="gramEnd"/>
      <w:r w:rsidRPr="00C91F30">
        <w:rPr>
          <w:sz w:val="20"/>
        </w:rPr>
        <w:t xml:space="preserve"> Colorectal Cancer. </w:t>
      </w:r>
      <w:r w:rsidRPr="00C91F30">
        <w:rPr>
          <w:i/>
          <w:iCs/>
          <w:sz w:val="20"/>
        </w:rPr>
        <w:t xml:space="preserve">Health education </w:t>
      </w:r>
      <w:r w:rsidR="00BA4D27" w:rsidRPr="00C91F30">
        <w:rPr>
          <w:i/>
          <w:iCs/>
          <w:sz w:val="20"/>
        </w:rPr>
        <w:t>and</w:t>
      </w:r>
      <w:r w:rsidRPr="00C91F30">
        <w:rPr>
          <w:i/>
          <w:iCs/>
          <w:sz w:val="20"/>
        </w:rPr>
        <w:t xml:space="preserve"> </w:t>
      </w:r>
      <w:proofErr w:type="spellStart"/>
      <w:proofErr w:type="gramStart"/>
      <w:r w:rsidRPr="00C91F30">
        <w:rPr>
          <w:i/>
          <w:iCs/>
          <w:sz w:val="20"/>
        </w:rPr>
        <w:t>behavior</w:t>
      </w:r>
      <w:proofErr w:type="spellEnd"/>
      <w:r w:rsidRPr="00C91F30">
        <w:rPr>
          <w:i/>
          <w:iCs/>
          <w:sz w:val="20"/>
        </w:rPr>
        <w:t xml:space="preserve"> :</w:t>
      </w:r>
      <w:proofErr w:type="gramEnd"/>
      <w:r w:rsidRPr="00C91F30">
        <w:rPr>
          <w:i/>
          <w:iCs/>
          <w:sz w:val="20"/>
        </w:rPr>
        <w:t xml:space="preserve"> the official publication of the Society for Public Health Education</w:t>
      </w:r>
      <w:r w:rsidRPr="00C91F30">
        <w:rPr>
          <w:sz w:val="20"/>
        </w:rPr>
        <w:t>, </w:t>
      </w:r>
      <w:r w:rsidRPr="00C91F30">
        <w:rPr>
          <w:i/>
          <w:iCs/>
          <w:sz w:val="20"/>
        </w:rPr>
        <w:t>46</w:t>
      </w:r>
      <w:r w:rsidRPr="00C91F30">
        <w:rPr>
          <w:sz w:val="20"/>
        </w:rPr>
        <w:t>(5), 798–808. https://doi.org/10.1177/1090198119835294</w:t>
      </w:r>
    </w:p>
    <w:p w14:paraId="3E3A82CC" w14:textId="4EF441B1" w:rsidR="00B1436D" w:rsidRPr="00C91F30" w:rsidRDefault="00B1436D" w:rsidP="00B1436D">
      <w:pPr>
        <w:rPr>
          <w:sz w:val="20"/>
          <w:lang w:val="en-US"/>
        </w:rPr>
      </w:pPr>
      <w:proofErr w:type="spellStart"/>
      <w:r w:rsidRPr="00C91F30">
        <w:rPr>
          <w:sz w:val="20"/>
          <w:lang w:val="en-US"/>
        </w:rPr>
        <w:t>Toseland</w:t>
      </w:r>
      <w:proofErr w:type="spellEnd"/>
      <w:r w:rsidRPr="00C91F30">
        <w:rPr>
          <w:sz w:val="20"/>
          <w:lang w:val="en-US"/>
        </w:rPr>
        <w:t xml:space="preserve"> R</w:t>
      </w:r>
      <w:r w:rsidR="002C41BF" w:rsidRPr="00C91F30">
        <w:rPr>
          <w:sz w:val="20"/>
          <w:lang w:val="en-US"/>
        </w:rPr>
        <w:t xml:space="preserve">. </w:t>
      </w:r>
      <w:r w:rsidRPr="00C91F30">
        <w:rPr>
          <w:sz w:val="20"/>
          <w:lang w:val="en-US"/>
        </w:rPr>
        <w:t>W</w:t>
      </w:r>
      <w:r w:rsidR="002C41BF" w:rsidRPr="00C91F30">
        <w:rPr>
          <w:sz w:val="20"/>
          <w:lang w:val="en-US"/>
        </w:rPr>
        <w:t>., and</w:t>
      </w:r>
      <w:r w:rsidRPr="00C91F30">
        <w:rPr>
          <w:sz w:val="20"/>
          <w:lang w:val="en-US"/>
        </w:rPr>
        <w:t xml:space="preserve"> Smith T</w:t>
      </w:r>
      <w:r w:rsidR="002C41BF" w:rsidRPr="00C91F30">
        <w:rPr>
          <w:sz w:val="20"/>
          <w:lang w:val="en-US"/>
        </w:rPr>
        <w:t xml:space="preserve">. </w:t>
      </w:r>
      <w:r w:rsidRPr="00C91F30">
        <w:rPr>
          <w:sz w:val="20"/>
          <w:lang w:val="en-US"/>
        </w:rPr>
        <w:t>L.</w:t>
      </w:r>
      <w:r w:rsidR="002C41BF" w:rsidRPr="00C91F30">
        <w:rPr>
          <w:sz w:val="20"/>
          <w:lang w:val="en-US"/>
        </w:rPr>
        <w:t xml:space="preserve"> (2016)</w:t>
      </w:r>
      <w:r w:rsidRPr="00C91F30">
        <w:rPr>
          <w:sz w:val="20"/>
          <w:lang w:val="en-US"/>
        </w:rPr>
        <w:t xml:space="preserve"> The impact of a caregiver health education program on health care costs. </w:t>
      </w:r>
      <w:r w:rsidRPr="00C91F30">
        <w:rPr>
          <w:i/>
          <w:iCs/>
          <w:sz w:val="20"/>
          <w:lang w:val="en-US"/>
        </w:rPr>
        <w:t>Research on Social Work Practice</w:t>
      </w:r>
      <w:r w:rsidR="002C41BF" w:rsidRPr="00C91F30">
        <w:rPr>
          <w:sz w:val="20"/>
          <w:lang w:val="en-US"/>
        </w:rPr>
        <w:t xml:space="preserve">, </w:t>
      </w:r>
      <w:r w:rsidRPr="00C91F30">
        <w:rPr>
          <w:sz w:val="20"/>
          <w:lang w:val="en-US"/>
        </w:rPr>
        <w:t>16(1)</w:t>
      </w:r>
      <w:r w:rsidR="002C41BF" w:rsidRPr="00C91F30">
        <w:rPr>
          <w:sz w:val="20"/>
          <w:lang w:val="en-US"/>
        </w:rPr>
        <w:t xml:space="preserve">, </w:t>
      </w:r>
      <w:r w:rsidRPr="00C91F30">
        <w:rPr>
          <w:sz w:val="20"/>
          <w:lang w:val="en-US"/>
        </w:rPr>
        <w:t>9–19.</w:t>
      </w:r>
      <w:r w:rsidR="002C41BF" w:rsidRPr="00C91F30">
        <w:t xml:space="preserve"> </w:t>
      </w:r>
      <w:r w:rsidR="002C41BF" w:rsidRPr="00C91F30">
        <w:rPr>
          <w:sz w:val="20"/>
          <w:lang w:val="en-US"/>
        </w:rPr>
        <w:t>https://doi.org/10.1177/1049731505276045</w:t>
      </w:r>
    </w:p>
    <w:p w14:paraId="65B8B3CF" w14:textId="01671C87" w:rsidR="00FF13B3" w:rsidRPr="00C91F30" w:rsidRDefault="002C41BF" w:rsidP="00B1436D">
      <w:pPr>
        <w:rPr>
          <w:sz w:val="20"/>
          <w:lang w:val="en-US"/>
        </w:rPr>
      </w:pPr>
      <w:proofErr w:type="spellStart"/>
      <w:r w:rsidRPr="00C91F30">
        <w:rPr>
          <w:sz w:val="20"/>
        </w:rPr>
        <w:t>Youens</w:t>
      </w:r>
      <w:proofErr w:type="spellEnd"/>
      <w:r w:rsidRPr="00C91F30">
        <w:rPr>
          <w:sz w:val="20"/>
        </w:rPr>
        <w:t xml:space="preserve">, D., Parsons, R., Toye, C., </w:t>
      </w:r>
      <w:proofErr w:type="spellStart"/>
      <w:r w:rsidRPr="00C91F30">
        <w:rPr>
          <w:sz w:val="20"/>
        </w:rPr>
        <w:t>Slatyer</w:t>
      </w:r>
      <w:proofErr w:type="spellEnd"/>
      <w:r w:rsidRPr="00C91F30">
        <w:rPr>
          <w:sz w:val="20"/>
        </w:rPr>
        <w:t xml:space="preserve">, S., Aoun, S., Hill, K. D., Skinner, M., Maher, S., Davis, S., </w:t>
      </w:r>
      <w:proofErr w:type="spellStart"/>
      <w:r w:rsidRPr="00C91F30">
        <w:rPr>
          <w:sz w:val="20"/>
        </w:rPr>
        <w:t>Osseiran-Moisson</w:t>
      </w:r>
      <w:proofErr w:type="spellEnd"/>
      <w:r w:rsidRPr="00C91F30">
        <w:rPr>
          <w:sz w:val="20"/>
        </w:rPr>
        <w:t xml:space="preserve">, R., </w:t>
      </w:r>
      <w:r w:rsidR="00BA4D27" w:rsidRPr="00C91F30">
        <w:rPr>
          <w:sz w:val="20"/>
        </w:rPr>
        <w:t>and</w:t>
      </w:r>
      <w:r w:rsidRPr="00C91F30">
        <w:rPr>
          <w:sz w:val="20"/>
        </w:rPr>
        <w:t xml:space="preserve"> </w:t>
      </w:r>
      <w:proofErr w:type="spellStart"/>
      <w:r w:rsidRPr="00C91F30">
        <w:rPr>
          <w:sz w:val="20"/>
        </w:rPr>
        <w:t>Moorin</w:t>
      </w:r>
      <w:proofErr w:type="spellEnd"/>
      <w:r w:rsidRPr="00C91F30">
        <w:rPr>
          <w:sz w:val="20"/>
        </w:rPr>
        <w:t>, R. (2019). The cost-effectiveness of a telephone-based intervention to support caregivers of older people discharged from hospital. </w:t>
      </w:r>
      <w:r w:rsidRPr="00C91F30">
        <w:rPr>
          <w:i/>
          <w:iCs/>
          <w:sz w:val="20"/>
        </w:rPr>
        <w:t>BMC geriatrics</w:t>
      </w:r>
      <w:r w:rsidRPr="00C91F30">
        <w:rPr>
          <w:sz w:val="20"/>
        </w:rPr>
        <w:t>, </w:t>
      </w:r>
      <w:r w:rsidRPr="00C91F30">
        <w:rPr>
          <w:i/>
          <w:iCs/>
          <w:sz w:val="20"/>
        </w:rPr>
        <w:t>19</w:t>
      </w:r>
      <w:r w:rsidRPr="00C91F30">
        <w:rPr>
          <w:sz w:val="20"/>
        </w:rPr>
        <w:t>(1), 68. https://doi.org/10.1186/s12877-019-1085-3</w:t>
      </w:r>
    </w:p>
    <w:p w14:paraId="79D6F505" w14:textId="77777777" w:rsidR="00DD527B" w:rsidRPr="00C91F30" w:rsidRDefault="00DD527B" w:rsidP="00DD527B">
      <w:pPr>
        <w:rPr>
          <w:b/>
          <w:lang w:val="en-US"/>
        </w:rPr>
      </w:pPr>
      <w:r w:rsidRPr="00C91F30">
        <w:rPr>
          <w:b/>
          <w:lang w:val="en-US"/>
        </w:rPr>
        <w:t>No intervention of interest: n=6</w:t>
      </w:r>
    </w:p>
    <w:p w14:paraId="5ACF9BDB" w14:textId="744BF1AC" w:rsidR="00F1046A" w:rsidRPr="00C91F30" w:rsidRDefault="00F1046A" w:rsidP="00B1436D">
      <w:pPr>
        <w:rPr>
          <w:sz w:val="20"/>
          <w:lang w:val="en-US"/>
        </w:rPr>
      </w:pPr>
      <w:r w:rsidRPr="00C91F30">
        <w:rPr>
          <w:sz w:val="20"/>
        </w:rPr>
        <w:t xml:space="preserve">Dixon, P., </w:t>
      </w:r>
      <w:r w:rsidR="00BA4D27" w:rsidRPr="00C91F30">
        <w:rPr>
          <w:sz w:val="20"/>
        </w:rPr>
        <w:t>and</w:t>
      </w:r>
      <w:r w:rsidRPr="00C91F30">
        <w:rPr>
          <w:sz w:val="20"/>
        </w:rPr>
        <w:t xml:space="preserve"> Round, J. (2019). Caring for Carers: Positive and Normative Challenges for Future Research on Carer </w:t>
      </w:r>
      <w:proofErr w:type="spellStart"/>
      <w:r w:rsidRPr="00C91F30">
        <w:rPr>
          <w:sz w:val="20"/>
        </w:rPr>
        <w:t>Spillover</w:t>
      </w:r>
      <w:proofErr w:type="spellEnd"/>
      <w:r w:rsidRPr="00C91F30">
        <w:rPr>
          <w:sz w:val="20"/>
        </w:rPr>
        <w:t xml:space="preserve"> Effects in Economic Evaluation. </w:t>
      </w:r>
      <w:r w:rsidRPr="00C91F30">
        <w:rPr>
          <w:i/>
          <w:iCs/>
          <w:sz w:val="20"/>
        </w:rPr>
        <w:t xml:space="preserve">Value in </w:t>
      </w:r>
      <w:proofErr w:type="gramStart"/>
      <w:r w:rsidRPr="00C91F30">
        <w:rPr>
          <w:i/>
          <w:iCs/>
          <w:sz w:val="20"/>
        </w:rPr>
        <w:t>health :</w:t>
      </w:r>
      <w:proofErr w:type="gramEnd"/>
      <w:r w:rsidRPr="00C91F30">
        <w:rPr>
          <w:i/>
          <w:iCs/>
          <w:sz w:val="20"/>
        </w:rPr>
        <w:t xml:space="preserve"> the journal of the International Society for Pharmacoeconomics and Outcomes Research</w:t>
      </w:r>
      <w:r w:rsidRPr="00C91F30">
        <w:rPr>
          <w:sz w:val="20"/>
        </w:rPr>
        <w:t>, </w:t>
      </w:r>
      <w:r w:rsidRPr="00C91F30">
        <w:rPr>
          <w:i/>
          <w:iCs/>
          <w:sz w:val="20"/>
        </w:rPr>
        <w:t>22</w:t>
      </w:r>
      <w:r w:rsidRPr="00C91F30">
        <w:rPr>
          <w:sz w:val="20"/>
        </w:rPr>
        <w:t>(5), 549–554. https://doi.org/10.1016/j.jval.2018.10.010</w:t>
      </w:r>
      <w:r w:rsidRPr="00C91F30">
        <w:rPr>
          <w:sz w:val="20"/>
          <w:lang w:val="en-US"/>
        </w:rPr>
        <w:t xml:space="preserve"> </w:t>
      </w:r>
    </w:p>
    <w:p w14:paraId="21DD4703" w14:textId="66EF728C" w:rsidR="00B1436D" w:rsidRPr="00C91F30" w:rsidRDefault="00F1046A" w:rsidP="00B1436D">
      <w:pPr>
        <w:rPr>
          <w:sz w:val="20"/>
          <w:lang w:val="en-US"/>
        </w:rPr>
      </w:pPr>
      <w:proofErr w:type="spellStart"/>
      <w:r w:rsidRPr="00C91F30">
        <w:rPr>
          <w:sz w:val="20"/>
        </w:rPr>
        <w:t>Hoefman</w:t>
      </w:r>
      <w:proofErr w:type="spellEnd"/>
      <w:r w:rsidRPr="00C91F30">
        <w:rPr>
          <w:sz w:val="20"/>
        </w:rPr>
        <w:t xml:space="preserve">, R. J., van </w:t>
      </w:r>
      <w:proofErr w:type="spellStart"/>
      <w:r w:rsidRPr="00C91F30">
        <w:rPr>
          <w:sz w:val="20"/>
        </w:rPr>
        <w:t>Exel</w:t>
      </w:r>
      <w:proofErr w:type="spellEnd"/>
      <w:r w:rsidRPr="00C91F30">
        <w:rPr>
          <w:sz w:val="20"/>
        </w:rPr>
        <w:t xml:space="preserve">, J., </w:t>
      </w:r>
      <w:r w:rsidR="00BA4D27" w:rsidRPr="00C91F30">
        <w:rPr>
          <w:sz w:val="20"/>
        </w:rPr>
        <w:t>and</w:t>
      </w:r>
      <w:r w:rsidRPr="00C91F30">
        <w:rPr>
          <w:sz w:val="20"/>
        </w:rPr>
        <w:t xml:space="preserve"> Brouwer, W. (2017). Measuring Care-Related Quality of Life of Caregivers for Use in Economic Evaluations: </w:t>
      </w:r>
      <w:proofErr w:type="spellStart"/>
      <w:r w:rsidRPr="00C91F30">
        <w:rPr>
          <w:sz w:val="20"/>
        </w:rPr>
        <w:t>CarerQol</w:t>
      </w:r>
      <w:proofErr w:type="spellEnd"/>
      <w:r w:rsidRPr="00C91F30">
        <w:rPr>
          <w:sz w:val="20"/>
        </w:rPr>
        <w:t xml:space="preserve"> Tariffs for Australia, Germany, Sweden, UK, and US. </w:t>
      </w:r>
      <w:proofErr w:type="spellStart"/>
      <w:r w:rsidRPr="00C91F30">
        <w:rPr>
          <w:i/>
          <w:iCs/>
          <w:sz w:val="20"/>
        </w:rPr>
        <w:t>PharmacoEconomics</w:t>
      </w:r>
      <w:proofErr w:type="spellEnd"/>
      <w:r w:rsidRPr="00C91F30">
        <w:rPr>
          <w:sz w:val="20"/>
        </w:rPr>
        <w:t>, </w:t>
      </w:r>
      <w:r w:rsidRPr="00C91F30">
        <w:rPr>
          <w:i/>
          <w:iCs/>
          <w:sz w:val="20"/>
        </w:rPr>
        <w:t>35</w:t>
      </w:r>
      <w:r w:rsidRPr="00C91F30">
        <w:rPr>
          <w:sz w:val="20"/>
        </w:rPr>
        <w:t>(4), 469–478. https://doi.org/10.1007/s40273-016-0477-x</w:t>
      </w:r>
    </w:p>
    <w:p w14:paraId="40F9F217" w14:textId="26D71F60" w:rsidR="00B1436D" w:rsidRPr="00C91F30" w:rsidRDefault="00F1046A" w:rsidP="00B1436D">
      <w:pPr>
        <w:rPr>
          <w:sz w:val="20"/>
          <w:lang w:val="en-US"/>
        </w:rPr>
      </w:pPr>
      <w:r w:rsidRPr="00C91F30">
        <w:rPr>
          <w:sz w:val="20"/>
        </w:rPr>
        <w:t xml:space="preserve">Li, C., </w:t>
      </w:r>
      <w:proofErr w:type="spellStart"/>
      <w:r w:rsidRPr="00C91F30">
        <w:rPr>
          <w:sz w:val="20"/>
        </w:rPr>
        <w:t>Zeliadt</w:t>
      </w:r>
      <w:proofErr w:type="spellEnd"/>
      <w:r w:rsidRPr="00C91F30">
        <w:rPr>
          <w:sz w:val="20"/>
        </w:rPr>
        <w:t xml:space="preserve">, S. B., Hall, I. J., Smith, J. L., Ekwueme, D. U., </w:t>
      </w:r>
      <w:proofErr w:type="spellStart"/>
      <w:r w:rsidRPr="00C91F30">
        <w:rPr>
          <w:sz w:val="20"/>
        </w:rPr>
        <w:t>Moinpour</w:t>
      </w:r>
      <w:proofErr w:type="spellEnd"/>
      <w:r w:rsidRPr="00C91F30">
        <w:rPr>
          <w:sz w:val="20"/>
        </w:rPr>
        <w:t xml:space="preserve">, C. M., Penson, D. F., Thompson, I. M., Keane, T. E., </w:t>
      </w:r>
      <w:r w:rsidR="00BA4D27" w:rsidRPr="00C91F30">
        <w:rPr>
          <w:sz w:val="20"/>
        </w:rPr>
        <w:t>and</w:t>
      </w:r>
      <w:r w:rsidRPr="00C91F30">
        <w:rPr>
          <w:sz w:val="20"/>
        </w:rPr>
        <w:t xml:space="preserve"> Ramsey, S. D. (2013). Burden among partner caregivers of patients diagnosed with localized prostate cancer within 1 year after diagnosis: an economic perspective. </w:t>
      </w:r>
      <w:r w:rsidRPr="00C91F30">
        <w:rPr>
          <w:i/>
          <w:iCs/>
          <w:sz w:val="20"/>
        </w:rPr>
        <w:t xml:space="preserve">Supportive care in </w:t>
      </w:r>
      <w:proofErr w:type="gramStart"/>
      <w:r w:rsidRPr="00C91F30">
        <w:rPr>
          <w:i/>
          <w:iCs/>
          <w:sz w:val="20"/>
        </w:rPr>
        <w:t>cancer :</w:t>
      </w:r>
      <w:proofErr w:type="gramEnd"/>
      <w:r w:rsidRPr="00C91F30">
        <w:rPr>
          <w:i/>
          <w:iCs/>
          <w:sz w:val="20"/>
        </w:rPr>
        <w:t xml:space="preserve"> official journal of the Multinational Association of Supportive Care in Cancer</w:t>
      </w:r>
      <w:r w:rsidRPr="00C91F30">
        <w:rPr>
          <w:sz w:val="20"/>
        </w:rPr>
        <w:t>, </w:t>
      </w:r>
      <w:r w:rsidRPr="00C91F30">
        <w:rPr>
          <w:i/>
          <w:iCs/>
          <w:sz w:val="20"/>
        </w:rPr>
        <w:t>21</w:t>
      </w:r>
      <w:r w:rsidRPr="00C91F30">
        <w:rPr>
          <w:sz w:val="20"/>
        </w:rPr>
        <w:t>(12), 3461–3469. https://doi.org/10.1007/s00520-013-1931-3</w:t>
      </w:r>
    </w:p>
    <w:p w14:paraId="4FC93871" w14:textId="70C24105" w:rsidR="00B1436D" w:rsidRPr="00C91F30" w:rsidRDefault="00F1046A" w:rsidP="00B1436D">
      <w:pPr>
        <w:rPr>
          <w:sz w:val="20"/>
          <w:lang w:val="en-US"/>
        </w:rPr>
      </w:pPr>
      <w:r w:rsidRPr="00C91F30">
        <w:rPr>
          <w:sz w:val="20"/>
        </w:rPr>
        <w:t xml:space="preserve">López-Villegas, A., </w:t>
      </w:r>
      <w:proofErr w:type="spellStart"/>
      <w:r w:rsidRPr="00C91F30">
        <w:rPr>
          <w:sz w:val="20"/>
        </w:rPr>
        <w:t>Catalán</w:t>
      </w:r>
      <w:proofErr w:type="spellEnd"/>
      <w:r w:rsidRPr="00C91F30">
        <w:rPr>
          <w:sz w:val="20"/>
        </w:rPr>
        <w:t>-Matamoros, D., Robles-</w:t>
      </w:r>
      <w:proofErr w:type="spellStart"/>
      <w:r w:rsidRPr="00C91F30">
        <w:rPr>
          <w:sz w:val="20"/>
        </w:rPr>
        <w:t>Musso</w:t>
      </w:r>
      <w:proofErr w:type="spellEnd"/>
      <w:r w:rsidRPr="00C91F30">
        <w:rPr>
          <w:sz w:val="20"/>
        </w:rPr>
        <w:t xml:space="preserve">, E., </w:t>
      </w:r>
      <w:r w:rsidR="00BA4D27" w:rsidRPr="00C91F30">
        <w:rPr>
          <w:sz w:val="20"/>
        </w:rPr>
        <w:t>and</w:t>
      </w:r>
      <w:r w:rsidRPr="00C91F30">
        <w:rPr>
          <w:sz w:val="20"/>
        </w:rPr>
        <w:t xml:space="preserve"> </w:t>
      </w:r>
      <w:proofErr w:type="spellStart"/>
      <w:r w:rsidRPr="00C91F30">
        <w:rPr>
          <w:sz w:val="20"/>
        </w:rPr>
        <w:t>Peiró</w:t>
      </w:r>
      <w:proofErr w:type="spellEnd"/>
      <w:r w:rsidRPr="00C91F30">
        <w:rPr>
          <w:sz w:val="20"/>
        </w:rPr>
        <w:t xml:space="preserve">, S. (2016). Workload, </w:t>
      </w:r>
      <w:proofErr w:type="gramStart"/>
      <w:r w:rsidRPr="00C91F30">
        <w:rPr>
          <w:sz w:val="20"/>
        </w:rPr>
        <w:t>time</w:t>
      </w:r>
      <w:proofErr w:type="gramEnd"/>
      <w:r w:rsidRPr="00C91F30">
        <w:rPr>
          <w:sz w:val="20"/>
        </w:rPr>
        <w:t xml:space="preserve"> and costs of the informal cares in patients with tele-monitoring of pacemakers: the PONIENTE study. </w:t>
      </w:r>
      <w:r w:rsidRPr="00C91F30">
        <w:rPr>
          <w:i/>
          <w:iCs/>
          <w:sz w:val="20"/>
        </w:rPr>
        <w:t xml:space="preserve">Clinical research in </w:t>
      </w:r>
      <w:proofErr w:type="gramStart"/>
      <w:r w:rsidRPr="00C91F30">
        <w:rPr>
          <w:i/>
          <w:iCs/>
          <w:sz w:val="20"/>
        </w:rPr>
        <w:t>cardiology :</w:t>
      </w:r>
      <w:proofErr w:type="gramEnd"/>
      <w:r w:rsidRPr="00C91F30">
        <w:rPr>
          <w:i/>
          <w:iCs/>
          <w:sz w:val="20"/>
        </w:rPr>
        <w:t xml:space="preserve"> official journal of the German Cardiac Society</w:t>
      </w:r>
      <w:r w:rsidRPr="00C91F30">
        <w:rPr>
          <w:sz w:val="20"/>
        </w:rPr>
        <w:t>, </w:t>
      </w:r>
      <w:r w:rsidRPr="00C91F30">
        <w:rPr>
          <w:i/>
          <w:iCs/>
          <w:sz w:val="20"/>
        </w:rPr>
        <w:t>105</w:t>
      </w:r>
      <w:r w:rsidRPr="00C91F30">
        <w:rPr>
          <w:sz w:val="20"/>
        </w:rPr>
        <w:t>(4), 307–313. https://doi.org/10.1007/s00392-015-0921-5</w:t>
      </w:r>
    </w:p>
    <w:p w14:paraId="758729F4" w14:textId="0894DC22" w:rsidR="00B1436D" w:rsidRPr="00C91F30" w:rsidRDefault="00407EAC" w:rsidP="00B1436D">
      <w:pPr>
        <w:rPr>
          <w:sz w:val="20"/>
          <w:lang w:val="en-US"/>
        </w:rPr>
      </w:pPr>
      <w:r w:rsidRPr="00C91F30">
        <w:rPr>
          <w:sz w:val="20"/>
        </w:rPr>
        <w:t>Ride J. (2018). Setting the Boundaries for Economic Evaluation: Investigating Time Horizon and Family Effects in the Case of Postnatal Depression. </w:t>
      </w:r>
      <w:r w:rsidRPr="00C91F30">
        <w:rPr>
          <w:i/>
          <w:iCs/>
          <w:sz w:val="20"/>
        </w:rPr>
        <w:t xml:space="preserve">Value in </w:t>
      </w:r>
      <w:proofErr w:type="gramStart"/>
      <w:r w:rsidRPr="00C91F30">
        <w:rPr>
          <w:i/>
          <w:iCs/>
          <w:sz w:val="20"/>
        </w:rPr>
        <w:t>health :</w:t>
      </w:r>
      <w:proofErr w:type="gramEnd"/>
      <w:r w:rsidRPr="00C91F30">
        <w:rPr>
          <w:i/>
          <w:iCs/>
          <w:sz w:val="20"/>
        </w:rPr>
        <w:t xml:space="preserve"> the journal of the International Society for Pharmacoeconomics and Outcomes Research</w:t>
      </w:r>
      <w:r w:rsidRPr="00C91F30">
        <w:rPr>
          <w:sz w:val="20"/>
        </w:rPr>
        <w:t>, </w:t>
      </w:r>
      <w:r w:rsidRPr="00C91F30">
        <w:rPr>
          <w:i/>
          <w:iCs/>
          <w:sz w:val="20"/>
        </w:rPr>
        <w:t>21</w:t>
      </w:r>
      <w:r w:rsidRPr="00C91F30">
        <w:rPr>
          <w:sz w:val="20"/>
        </w:rPr>
        <w:t>(5), 573–580. https://doi.org/10.1016/j.jval.2017.10.016</w:t>
      </w:r>
    </w:p>
    <w:p w14:paraId="5D616CDA" w14:textId="3DAD4F76" w:rsidR="00B1436D" w:rsidRPr="00C91F30" w:rsidRDefault="00B1436D" w:rsidP="00B1436D">
      <w:pPr>
        <w:rPr>
          <w:sz w:val="20"/>
          <w:lang w:val="en-US"/>
        </w:rPr>
      </w:pPr>
      <w:r w:rsidRPr="00C91F30">
        <w:rPr>
          <w:sz w:val="20"/>
          <w:lang w:val="en-US"/>
        </w:rPr>
        <w:t xml:space="preserve">Vicente, C., </w:t>
      </w:r>
      <w:proofErr w:type="spellStart"/>
      <w:r w:rsidRPr="00C91F30">
        <w:rPr>
          <w:sz w:val="20"/>
          <w:lang w:val="en-US"/>
        </w:rPr>
        <w:t>Sabapathy</w:t>
      </w:r>
      <w:proofErr w:type="spellEnd"/>
      <w:r w:rsidRPr="00C91F30">
        <w:rPr>
          <w:sz w:val="20"/>
          <w:lang w:val="en-US"/>
        </w:rPr>
        <w:t xml:space="preserve">, S., Formica, L., </w:t>
      </w:r>
      <w:proofErr w:type="spellStart"/>
      <w:r w:rsidRPr="00C91F30">
        <w:rPr>
          <w:sz w:val="20"/>
          <w:lang w:val="en-US"/>
        </w:rPr>
        <w:t>Maturi</w:t>
      </w:r>
      <w:proofErr w:type="spellEnd"/>
      <w:r w:rsidRPr="00C91F30">
        <w:rPr>
          <w:sz w:val="20"/>
          <w:lang w:val="en-US"/>
        </w:rPr>
        <w:t xml:space="preserve">, B., </w:t>
      </w:r>
      <w:proofErr w:type="spellStart"/>
      <w:r w:rsidRPr="00C91F30">
        <w:rPr>
          <w:sz w:val="20"/>
          <w:lang w:val="en-US"/>
        </w:rPr>
        <w:t>Piwko</w:t>
      </w:r>
      <w:proofErr w:type="spellEnd"/>
      <w:r w:rsidRPr="00C91F30">
        <w:rPr>
          <w:sz w:val="20"/>
          <w:lang w:val="en-US"/>
        </w:rPr>
        <w:t>, C.</w:t>
      </w:r>
      <w:r w:rsidR="00407EAC" w:rsidRPr="00C91F30">
        <w:rPr>
          <w:sz w:val="20"/>
          <w:lang w:val="en-US"/>
        </w:rPr>
        <w:t xml:space="preserve"> (2013)</w:t>
      </w:r>
      <w:r w:rsidRPr="00C91F30">
        <w:rPr>
          <w:sz w:val="20"/>
          <w:lang w:val="en-US"/>
        </w:rPr>
        <w:t xml:space="preserve"> Cost-utility analysis of tocilizumab in the treatment of active systemic juvenile idiopathic arthritis, </w:t>
      </w:r>
      <w:r w:rsidRPr="00C91F30">
        <w:rPr>
          <w:i/>
          <w:iCs/>
          <w:sz w:val="20"/>
          <w:lang w:val="en-US"/>
        </w:rPr>
        <w:t>Value in Health</w:t>
      </w:r>
      <w:r w:rsidRPr="00C91F30">
        <w:rPr>
          <w:sz w:val="20"/>
          <w:lang w:val="en-US"/>
        </w:rPr>
        <w:t>, 16 (3), A225,</w:t>
      </w:r>
      <w:r w:rsidR="00407EAC" w:rsidRPr="00C91F30">
        <w:rPr>
          <w:sz w:val="20"/>
          <w:lang w:val="en-US"/>
        </w:rPr>
        <w:t xml:space="preserve"> https://doi.org/10.1016/j.jval.2013.03.1142</w:t>
      </w:r>
    </w:p>
    <w:p w14:paraId="7D99C0BB" w14:textId="77777777" w:rsidR="00B1436D" w:rsidRPr="00C91F30" w:rsidRDefault="00DD527B" w:rsidP="00DD527B">
      <w:pPr>
        <w:rPr>
          <w:b/>
          <w:lang w:val="en-US"/>
        </w:rPr>
      </w:pPr>
      <w:r w:rsidRPr="00C91F30">
        <w:rPr>
          <w:b/>
          <w:lang w:val="en-US"/>
        </w:rPr>
        <w:t xml:space="preserve">Other reasons: n=3 </w:t>
      </w:r>
    </w:p>
    <w:p w14:paraId="0E83C876" w14:textId="0A99C61F" w:rsidR="00B1436D" w:rsidRPr="00C91F30" w:rsidRDefault="00B1436D" w:rsidP="00B1436D">
      <w:pPr>
        <w:rPr>
          <w:sz w:val="20"/>
          <w:lang w:val="en-US"/>
        </w:rPr>
      </w:pPr>
      <w:r w:rsidRPr="00C91F30">
        <w:rPr>
          <w:sz w:val="20"/>
          <w:lang w:val="en-US"/>
        </w:rPr>
        <w:t xml:space="preserve">Knapp, M., King, D., Romeo, R., </w:t>
      </w:r>
      <w:proofErr w:type="spellStart"/>
      <w:r w:rsidRPr="00C91F30">
        <w:rPr>
          <w:sz w:val="20"/>
          <w:lang w:val="en-US"/>
        </w:rPr>
        <w:t>Schehl</w:t>
      </w:r>
      <w:proofErr w:type="spellEnd"/>
      <w:r w:rsidRPr="00C91F30">
        <w:rPr>
          <w:sz w:val="20"/>
          <w:lang w:val="en-US"/>
        </w:rPr>
        <w:t>, B., Barber, J., Griffin, M., Rapaport, P., Livingston, D., Mummery, C., Walker, Z., Hoe, J., Sampson, E. L., Cooper, C., Livingston, G.</w:t>
      </w:r>
      <w:r w:rsidR="00407EAC" w:rsidRPr="00C91F30">
        <w:rPr>
          <w:sz w:val="20"/>
          <w:lang w:val="en-US"/>
        </w:rPr>
        <w:t xml:space="preserve"> (2013)</w:t>
      </w:r>
      <w:r w:rsidRPr="00C91F30">
        <w:rPr>
          <w:sz w:val="20"/>
          <w:lang w:val="en-US"/>
        </w:rPr>
        <w:t xml:space="preserve"> Cost effectiveness of a manual based coping strategy programme in promoting the mental health of family carers of people living with dementia (the START (</w:t>
      </w:r>
      <w:proofErr w:type="spellStart"/>
      <w:r w:rsidRPr="00C91F30">
        <w:rPr>
          <w:sz w:val="20"/>
          <w:lang w:val="en-US"/>
        </w:rPr>
        <w:t>STrAtegies</w:t>
      </w:r>
      <w:proofErr w:type="spellEnd"/>
      <w:r w:rsidRPr="00C91F30">
        <w:rPr>
          <w:sz w:val="20"/>
          <w:lang w:val="en-US"/>
        </w:rPr>
        <w:t xml:space="preserve"> for </w:t>
      </w:r>
      <w:proofErr w:type="spellStart"/>
      <w:r w:rsidRPr="00C91F30">
        <w:rPr>
          <w:sz w:val="20"/>
          <w:lang w:val="en-US"/>
        </w:rPr>
        <w:t>RelaTives</w:t>
      </w:r>
      <w:proofErr w:type="spellEnd"/>
      <w:r w:rsidRPr="00C91F30">
        <w:rPr>
          <w:sz w:val="20"/>
          <w:lang w:val="en-US"/>
        </w:rPr>
        <w:t xml:space="preserve">) study): a pragmatic </w:t>
      </w:r>
      <w:proofErr w:type="spellStart"/>
      <w:r w:rsidRPr="00C91F30">
        <w:rPr>
          <w:sz w:val="20"/>
          <w:lang w:val="en-US"/>
        </w:rPr>
        <w:t>randomised</w:t>
      </w:r>
      <w:proofErr w:type="spellEnd"/>
      <w:r w:rsidRPr="00C91F30">
        <w:rPr>
          <w:sz w:val="20"/>
          <w:lang w:val="en-US"/>
        </w:rPr>
        <w:t xml:space="preserve"> controlled trial (Structured abstract), </w:t>
      </w:r>
      <w:proofErr w:type="spellStart"/>
      <w:r w:rsidRPr="00C91F30">
        <w:rPr>
          <w:sz w:val="20"/>
          <w:lang w:val="en-US"/>
        </w:rPr>
        <w:t>Bmj</w:t>
      </w:r>
      <w:proofErr w:type="spellEnd"/>
      <w:r w:rsidRPr="00C91F30">
        <w:rPr>
          <w:sz w:val="20"/>
          <w:lang w:val="en-US"/>
        </w:rPr>
        <w:t>, 347, f6342</w:t>
      </w:r>
      <w:r w:rsidR="00407EAC" w:rsidRPr="00C91F30">
        <w:rPr>
          <w:sz w:val="20"/>
          <w:lang w:val="en-US"/>
        </w:rPr>
        <w:t xml:space="preserve"> https://doi.org/10.1136/bmj.f6342</w:t>
      </w:r>
    </w:p>
    <w:p w14:paraId="70AE1A86" w14:textId="6A5F0286" w:rsidR="00B1436D" w:rsidRPr="00C91F30" w:rsidRDefault="00407EAC" w:rsidP="00B1436D">
      <w:pPr>
        <w:rPr>
          <w:sz w:val="20"/>
          <w:lang w:val="en-US"/>
        </w:rPr>
      </w:pPr>
      <w:proofErr w:type="spellStart"/>
      <w:r w:rsidRPr="00C91F30">
        <w:rPr>
          <w:sz w:val="20"/>
        </w:rPr>
        <w:t>Søgaard</w:t>
      </w:r>
      <w:proofErr w:type="spellEnd"/>
      <w:r w:rsidRPr="00C91F30">
        <w:rPr>
          <w:sz w:val="20"/>
        </w:rPr>
        <w:t xml:space="preserve">, R., </w:t>
      </w:r>
      <w:proofErr w:type="spellStart"/>
      <w:r w:rsidRPr="00C91F30">
        <w:rPr>
          <w:sz w:val="20"/>
        </w:rPr>
        <w:t>Sørensen</w:t>
      </w:r>
      <w:proofErr w:type="spellEnd"/>
      <w:r w:rsidRPr="00C91F30">
        <w:rPr>
          <w:sz w:val="20"/>
        </w:rPr>
        <w:t xml:space="preserve">, J., </w:t>
      </w:r>
      <w:proofErr w:type="spellStart"/>
      <w:r w:rsidRPr="00C91F30">
        <w:rPr>
          <w:sz w:val="20"/>
        </w:rPr>
        <w:t>Waldorff</w:t>
      </w:r>
      <w:proofErr w:type="spellEnd"/>
      <w:r w:rsidRPr="00C91F30">
        <w:rPr>
          <w:sz w:val="20"/>
        </w:rPr>
        <w:t xml:space="preserve">, F. B., </w:t>
      </w:r>
      <w:proofErr w:type="spellStart"/>
      <w:r w:rsidRPr="00C91F30">
        <w:rPr>
          <w:sz w:val="20"/>
        </w:rPr>
        <w:t>Eckermann</w:t>
      </w:r>
      <w:proofErr w:type="spellEnd"/>
      <w:r w:rsidRPr="00C91F30">
        <w:rPr>
          <w:sz w:val="20"/>
        </w:rPr>
        <w:t xml:space="preserve">, A., Buss, D. V., </w:t>
      </w:r>
      <w:r w:rsidR="00BA4D27" w:rsidRPr="00C91F30">
        <w:rPr>
          <w:sz w:val="20"/>
        </w:rPr>
        <w:t>and</w:t>
      </w:r>
      <w:r w:rsidRPr="00C91F30">
        <w:rPr>
          <w:sz w:val="20"/>
        </w:rPr>
        <w:t xml:space="preserve"> Waldemar, G. (2009). Private costs almost equal health care costs when intervening in mild Alzheimer's: a cohort study alongside the DAISY trial. </w:t>
      </w:r>
      <w:r w:rsidRPr="00C91F30">
        <w:rPr>
          <w:i/>
          <w:iCs/>
          <w:sz w:val="20"/>
        </w:rPr>
        <w:t>BMC health services research</w:t>
      </w:r>
      <w:r w:rsidRPr="00C91F30">
        <w:rPr>
          <w:sz w:val="20"/>
        </w:rPr>
        <w:t>, </w:t>
      </w:r>
      <w:r w:rsidRPr="00C91F30">
        <w:rPr>
          <w:i/>
          <w:iCs/>
          <w:sz w:val="20"/>
        </w:rPr>
        <w:t>9</w:t>
      </w:r>
      <w:r w:rsidRPr="00C91F30">
        <w:rPr>
          <w:sz w:val="20"/>
        </w:rPr>
        <w:t>, 215. https://doi.org/10.1186/1472-6963-9-215</w:t>
      </w:r>
    </w:p>
    <w:p w14:paraId="472EFC80" w14:textId="05B0AC1D" w:rsidR="00F36EC2" w:rsidRPr="00C91F30" w:rsidRDefault="00407EAC">
      <w:pPr>
        <w:rPr>
          <w:rFonts w:asciiTheme="majorHAnsi" w:eastAsiaTheme="majorEastAsia" w:hAnsiTheme="majorHAnsi" w:cstheme="majorBidi"/>
          <w:b/>
          <w:sz w:val="24"/>
          <w:szCs w:val="32"/>
          <w:lang w:val="en-US"/>
        </w:rPr>
      </w:pPr>
      <w:r w:rsidRPr="00C91F30">
        <w:rPr>
          <w:sz w:val="20"/>
        </w:rPr>
        <w:t xml:space="preserve">Wilson, E., </w:t>
      </w:r>
      <w:proofErr w:type="spellStart"/>
      <w:r w:rsidRPr="00C91F30">
        <w:rPr>
          <w:sz w:val="20"/>
        </w:rPr>
        <w:t>Thalanany</w:t>
      </w:r>
      <w:proofErr w:type="spellEnd"/>
      <w:r w:rsidRPr="00C91F30">
        <w:rPr>
          <w:sz w:val="20"/>
        </w:rPr>
        <w:t xml:space="preserve">, M., Shepstone, L., Charlesworth, G., Poland, F., Harvey, I., Price, D., Reynolds, S., </w:t>
      </w:r>
      <w:r w:rsidR="00BA4D27" w:rsidRPr="00C91F30">
        <w:rPr>
          <w:sz w:val="20"/>
        </w:rPr>
        <w:t>and</w:t>
      </w:r>
      <w:r w:rsidRPr="00C91F30">
        <w:rPr>
          <w:sz w:val="20"/>
        </w:rPr>
        <w:t xml:space="preserve"> </w:t>
      </w:r>
      <w:proofErr w:type="spellStart"/>
      <w:r w:rsidRPr="00C91F30">
        <w:rPr>
          <w:sz w:val="20"/>
        </w:rPr>
        <w:t>Mugford</w:t>
      </w:r>
      <w:proofErr w:type="spellEnd"/>
      <w:r w:rsidRPr="00C91F30">
        <w:rPr>
          <w:sz w:val="20"/>
        </w:rPr>
        <w:t>, M. (2009). Befriending carers of people with dementia: a cost utility analysis. </w:t>
      </w:r>
      <w:r w:rsidRPr="00C91F30">
        <w:rPr>
          <w:i/>
          <w:iCs/>
          <w:sz w:val="20"/>
        </w:rPr>
        <w:t>International journal of geriatric psychiatry</w:t>
      </w:r>
      <w:r w:rsidRPr="00C91F30">
        <w:rPr>
          <w:sz w:val="20"/>
        </w:rPr>
        <w:t>, </w:t>
      </w:r>
      <w:r w:rsidRPr="00C91F30">
        <w:rPr>
          <w:i/>
          <w:iCs/>
          <w:sz w:val="20"/>
        </w:rPr>
        <w:t>24</w:t>
      </w:r>
      <w:r w:rsidRPr="00C91F30">
        <w:rPr>
          <w:sz w:val="20"/>
        </w:rPr>
        <w:t>(6), 610–623. https://doi.org/10.1002/gps.2164</w:t>
      </w:r>
      <w:r w:rsidRPr="00C91F30">
        <w:rPr>
          <w:b/>
          <w:sz w:val="20"/>
          <w:lang w:val="en-US"/>
        </w:rPr>
        <w:t xml:space="preserve"> </w:t>
      </w:r>
      <w:r w:rsidR="00F36EC2" w:rsidRPr="00C91F30">
        <w:rPr>
          <w:b/>
          <w:sz w:val="24"/>
          <w:lang w:val="en-US"/>
        </w:rPr>
        <w:br w:type="page"/>
      </w:r>
    </w:p>
    <w:p w14:paraId="28EDEC1F" w14:textId="77777777" w:rsidR="00D757B4" w:rsidRPr="00C91F30" w:rsidRDefault="00D757B4" w:rsidP="00D757B4">
      <w:pPr>
        <w:pStyle w:val="Titolo1"/>
        <w:rPr>
          <w:b/>
          <w:color w:val="auto"/>
          <w:sz w:val="24"/>
          <w:lang w:val="en-US"/>
        </w:rPr>
      </w:pPr>
      <w:bookmarkStart w:id="1" w:name="_Toc40455498"/>
      <w:r w:rsidRPr="00C91F30">
        <w:rPr>
          <w:b/>
          <w:color w:val="auto"/>
          <w:sz w:val="24"/>
          <w:lang w:val="en-US"/>
        </w:rPr>
        <w:t>1.2 NICE Applicability checklist: scoring instruction</w:t>
      </w:r>
      <w:bookmarkEnd w:id="1"/>
    </w:p>
    <w:tbl>
      <w:tblPr>
        <w:tblStyle w:val="Grigliatabella"/>
        <w:tblW w:w="9923" w:type="dxa"/>
        <w:tblInd w:w="-289" w:type="dxa"/>
        <w:tblLook w:val="04A0" w:firstRow="1" w:lastRow="0" w:firstColumn="1" w:lastColumn="0" w:noHBand="0" w:noVBand="1"/>
      </w:tblPr>
      <w:tblGrid>
        <w:gridCol w:w="2127"/>
        <w:gridCol w:w="1134"/>
        <w:gridCol w:w="6662"/>
      </w:tblGrid>
      <w:tr w:rsidR="00565D0D" w:rsidRPr="00C91F30" w14:paraId="145F1C9D" w14:textId="77777777" w:rsidTr="00796324">
        <w:trPr>
          <w:trHeight w:val="285"/>
          <w:tblHeader/>
        </w:trPr>
        <w:tc>
          <w:tcPr>
            <w:tcW w:w="2127" w:type="dxa"/>
            <w:vMerge w:val="restart"/>
            <w:noWrap/>
            <w:vAlign w:val="center"/>
          </w:tcPr>
          <w:p w14:paraId="4A882DD7" w14:textId="77777777" w:rsidR="00565D0D" w:rsidRPr="00C91F30" w:rsidRDefault="00565D0D" w:rsidP="00702E3F">
            <w:pPr>
              <w:rPr>
                <w:b/>
                <w:sz w:val="20"/>
                <w:szCs w:val="20"/>
              </w:rPr>
            </w:pPr>
            <w:r w:rsidRPr="00C91F30">
              <w:rPr>
                <w:b/>
                <w:sz w:val="20"/>
                <w:szCs w:val="20"/>
              </w:rPr>
              <w:t>Quality item</w:t>
            </w:r>
          </w:p>
          <w:p w14:paraId="65535D02" w14:textId="77777777" w:rsidR="00565D0D" w:rsidRPr="00C91F30" w:rsidRDefault="00565D0D" w:rsidP="00702E3F">
            <w:pPr>
              <w:rPr>
                <w:b/>
                <w:sz w:val="18"/>
                <w:szCs w:val="20"/>
              </w:rPr>
            </w:pPr>
          </w:p>
          <w:p w14:paraId="4A23EFA4" w14:textId="77777777" w:rsidR="00565D0D" w:rsidRPr="00C91F30" w:rsidRDefault="00565D0D" w:rsidP="00702E3F">
            <w:pPr>
              <w:rPr>
                <w:b/>
                <w:sz w:val="20"/>
                <w:szCs w:val="20"/>
              </w:rPr>
            </w:pPr>
            <w:r w:rsidRPr="00C91F30">
              <w:rPr>
                <w:b/>
                <w:sz w:val="18"/>
                <w:szCs w:val="20"/>
              </w:rPr>
              <w:t>(</w:t>
            </w:r>
            <w:r w:rsidRPr="00C91F30">
              <w:rPr>
                <w:b/>
                <w:i/>
                <w:sz w:val="18"/>
                <w:szCs w:val="20"/>
              </w:rPr>
              <w:t>Full question</w:t>
            </w:r>
            <w:r w:rsidRPr="00C91F30">
              <w:rPr>
                <w:b/>
                <w:sz w:val="18"/>
                <w:szCs w:val="20"/>
              </w:rPr>
              <w:t>)</w:t>
            </w:r>
          </w:p>
        </w:tc>
        <w:tc>
          <w:tcPr>
            <w:tcW w:w="7796" w:type="dxa"/>
            <w:gridSpan w:val="2"/>
            <w:tcBorders>
              <w:bottom w:val="nil"/>
            </w:tcBorders>
            <w:vAlign w:val="center"/>
          </w:tcPr>
          <w:p w14:paraId="5FAD3F37" w14:textId="57706DD5" w:rsidR="00565D0D" w:rsidRPr="00C91F30" w:rsidRDefault="00565D0D" w:rsidP="00FC131F">
            <w:pPr>
              <w:jc w:val="center"/>
              <w:rPr>
                <w:b/>
                <w:sz w:val="20"/>
                <w:szCs w:val="20"/>
              </w:rPr>
            </w:pPr>
            <w:r w:rsidRPr="00C91F30">
              <w:rPr>
                <w:b/>
                <w:sz w:val="20"/>
                <w:szCs w:val="20"/>
              </w:rPr>
              <w:t>Scoring instructions</w:t>
            </w:r>
            <w:hyperlink r:id="rId8" w:anchor="notes-on-use-of-methodology-checklist-economic-evaluations" w:history="1">
              <w:r w:rsidRPr="00C91F30">
                <w:rPr>
                  <w:rStyle w:val="Collegamentoipertestuale"/>
                  <w:b/>
                  <w:szCs w:val="20"/>
                  <w:vertAlign w:val="superscript"/>
                </w:rPr>
                <w:t>1</w:t>
              </w:r>
            </w:hyperlink>
          </w:p>
        </w:tc>
      </w:tr>
      <w:tr w:rsidR="00565D0D" w:rsidRPr="00C91F30" w14:paraId="4B07CFC4" w14:textId="77777777" w:rsidTr="00796324">
        <w:trPr>
          <w:trHeight w:val="285"/>
          <w:tblHeader/>
        </w:trPr>
        <w:tc>
          <w:tcPr>
            <w:tcW w:w="2127" w:type="dxa"/>
            <w:vMerge/>
            <w:noWrap/>
            <w:vAlign w:val="center"/>
          </w:tcPr>
          <w:p w14:paraId="39FEAC73" w14:textId="77777777" w:rsidR="00565D0D" w:rsidRPr="00C91F30" w:rsidRDefault="00565D0D" w:rsidP="00702E3F">
            <w:pPr>
              <w:rPr>
                <w:b/>
                <w:sz w:val="20"/>
                <w:szCs w:val="20"/>
              </w:rPr>
            </w:pPr>
          </w:p>
        </w:tc>
        <w:tc>
          <w:tcPr>
            <w:tcW w:w="1134" w:type="dxa"/>
            <w:tcBorders>
              <w:top w:val="nil"/>
              <w:bottom w:val="single" w:sz="4" w:space="0" w:color="auto"/>
              <w:right w:val="nil"/>
            </w:tcBorders>
            <w:vAlign w:val="center"/>
          </w:tcPr>
          <w:p w14:paraId="0409A693" w14:textId="7BB37ECE" w:rsidR="00565D0D" w:rsidRPr="00C91F30" w:rsidRDefault="00565D0D" w:rsidP="00FC131F">
            <w:pPr>
              <w:jc w:val="center"/>
              <w:rPr>
                <w:b/>
                <w:i/>
                <w:iCs/>
                <w:sz w:val="18"/>
                <w:szCs w:val="18"/>
              </w:rPr>
            </w:pPr>
            <w:r w:rsidRPr="00C91F30">
              <w:rPr>
                <w:b/>
                <w:i/>
                <w:iCs/>
                <w:sz w:val="18"/>
                <w:szCs w:val="18"/>
              </w:rPr>
              <w:t>Answer</w:t>
            </w:r>
          </w:p>
        </w:tc>
        <w:tc>
          <w:tcPr>
            <w:tcW w:w="6662" w:type="dxa"/>
            <w:tcBorders>
              <w:top w:val="nil"/>
              <w:left w:val="nil"/>
              <w:bottom w:val="single" w:sz="4" w:space="0" w:color="auto"/>
            </w:tcBorders>
            <w:vAlign w:val="center"/>
          </w:tcPr>
          <w:p w14:paraId="7A2A7CEF" w14:textId="719EDABE" w:rsidR="00565D0D" w:rsidRPr="00C91F30" w:rsidRDefault="00565D0D" w:rsidP="00796324">
            <w:pPr>
              <w:rPr>
                <w:b/>
                <w:i/>
                <w:iCs/>
                <w:sz w:val="18"/>
                <w:szCs w:val="18"/>
              </w:rPr>
            </w:pPr>
            <w:r w:rsidRPr="00C91F30">
              <w:rPr>
                <w:b/>
                <w:i/>
                <w:iCs/>
                <w:sz w:val="18"/>
                <w:szCs w:val="18"/>
              </w:rPr>
              <w:t>Instructions, quoted test (refer to “The guidelines manual” for full details</w:t>
            </w:r>
            <w:hyperlink r:id="rId9" w:anchor="notes-on-use-of-methodology-checklist-economic-evaluations" w:history="1">
              <w:r w:rsidRPr="00C91F30">
                <w:rPr>
                  <w:rStyle w:val="Collegamentoipertestuale"/>
                  <w:b/>
                  <w:i/>
                  <w:iCs/>
                  <w:sz w:val="18"/>
                  <w:szCs w:val="18"/>
                  <w:vertAlign w:val="superscript"/>
                </w:rPr>
                <w:t>1</w:t>
              </w:r>
            </w:hyperlink>
            <w:r w:rsidRPr="00C91F30">
              <w:rPr>
                <w:rStyle w:val="Collegamentoipertestuale"/>
                <w:b/>
                <w:color w:val="auto"/>
                <w:sz w:val="18"/>
                <w:szCs w:val="18"/>
                <w:u w:val="none"/>
              </w:rPr>
              <w:t>)</w:t>
            </w:r>
          </w:p>
        </w:tc>
      </w:tr>
      <w:tr w:rsidR="00A57895" w:rsidRPr="00C91F30" w14:paraId="52632018" w14:textId="77777777" w:rsidTr="00796324">
        <w:trPr>
          <w:trHeight w:val="696"/>
        </w:trPr>
        <w:tc>
          <w:tcPr>
            <w:tcW w:w="2127" w:type="dxa"/>
            <w:vMerge w:val="restart"/>
            <w:noWrap/>
            <w:vAlign w:val="center"/>
            <w:hideMark/>
          </w:tcPr>
          <w:p w14:paraId="1FD981A3" w14:textId="77777777" w:rsidR="00A57895" w:rsidRPr="00C91F30" w:rsidRDefault="00A57895" w:rsidP="00702E3F">
            <w:pPr>
              <w:rPr>
                <w:sz w:val="20"/>
                <w:szCs w:val="20"/>
              </w:rPr>
            </w:pPr>
            <w:r w:rsidRPr="00C91F30">
              <w:rPr>
                <w:sz w:val="20"/>
                <w:szCs w:val="20"/>
              </w:rPr>
              <w:t>#1 Study population</w:t>
            </w:r>
          </w:p>
          <w:p w14:paraId="764F1271" w14:textId="77777777" w:rsidR="00A57895" w:rsidRPr="00C91F30" w:rsidRDefault="00A57895" w:rsidP="00702E3F">
            <w:pPr>
              <w:rPr>
                <w:sz w:val="18"/>
                <w:szCs w:val="20"/>
              </w:rPr>
            </w:pPr>
          </w:p>
          <w:p w14:paraId="52837D26" w14:textId="77777777" w:rsidR="00A57895" w:rsidRPr="00C91F30" w:rsidRDefault="00A57895" w:rsidP="00702E3F">
            <w:pPr>
              <w:rPr>
                <w:sz w:val="20"/>
                <w:szCs w:val="20"/>
              </w:rPr>
            </w:pPr>
            <w:r w:rsidRPr="00C91F30">
              <w:rPr>
                <w:i/>
                <w:sz w:val="19"/>
                <w:szCs w:val="19"/>
              </w:rPr>
              <w:t>(Is the study population appropriate for the guideline?)</w:t>
            </w:r>
          </w:p>
        </w:tc>
        <w:tc>
          <w:tcPr>
            <w:tcW w:w="1134" w:type="dxa"/>
            <w:tcBorders>
              <w:bottom w:val="nil"/>
              <w:right w:val="nil"/>
            </w:tcBorders>
            <w:vAlign w:val="center"/>
          </w:tcPr>
          <w:p w14:paraId="62281101" w14:textId="2F6D134A" w:rsidR="00A57895" w:rsidRPr="00C91F30" w:rsidRDefault="00A57895"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1964FDA3" w14:textId="7421CFDD" w:rsidR="00A57895" w:rsidRPr="00C91F30" w:rsidRDefault="00A57895" w:rsidP="00702E3F">
            <w:pPr>
              <w:rPr>
                <w:i/>
                <w:iCs/>
                <w:sz w:val="19"/>
                <w:szCs w:val="19"/>
              </w:rPr>
            </w:pPr>
            <w:r w:rsidRPr="00C91F30">
              <w:rPr>
                <w:i/>
                <w:iCs/>
                <w:sz w:val="19"/>
                <w:szCs w:val="19"/>
              </w:rPr>
              <w:t>[…] if the study population is fully in line with that in the guideline question(s) and if the study differentiates appropriately between important subgroups</w:t>
            </w:r>
          </w:p>
        </w:tc>
      </w:tr>
      <w:tr w:rsidR="00A57895" w:rsidRPr="00C91F30" w14:paraId="2F3B6AD6" w14:textId="77777777" w:rsidTr="00796324">
        <w:trPr>
          <w:trHeight w:val="696"/>
        </w:trPr>
        <w:tc>
          <w:tcPr>
            <w:tcW w:w="2127" w:type="dxa"/>
            <w:vMerge/>
            <w:noWrap/>
            <w:vAlign w:val="center"/>
          </w:tcPr>
          <w:p w14:paraId="4D8179D8" w14:textId="77777777" w:rsidR="00A57895" w:rsidRPr="00C91F30" w:rsidRDefault="00A57895" w:rsidP="00702E3F">
            <w:pPr>
              <w:rPr>
                <w:sz w:val="20"/>
                <w:szCs w:val="20"/>
              </w:rPr>
            </w:pPr>
          </w:p>
        </w:tc>
        <w:tc>
          <w:tcPr>
            <w:tcW w:w="1134" w:type="dxa"/>
            <w:tcBorders>
              <w:top w:val="nil"/>
              <w:bottom w:val="nil"/>
              <w:right w:val="nil"/>
            </w:tcBorders>
            <w:vAlign w:val="center"/>
          </w:tcPr>
          <w:p w14:paraId="7B2C2C08" w14:textId="28548A90" w:rsidR="00A57895" w:rsidRPr="00C91F30" w:rsidRDefault="00A57895" w:rsidP="00FC131F">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68A22391" w14:textId="3E183BB3" w:rsidR="00A57895" w:rsidRPr="00C91F30" w:rsidRDefault="00A57895" w:rsidP="00702E3F">
            <w:pPr>
              <w:rPr>
                <w:i/>
                <w:iCs/>
                <w:sz w:val="19"/>
                <w:szCs w:val="19"/>
              </w:rPr>
            </w:pPr>
            <w:r w:rsidRPr="00C91F30">
              <w:rPr>
                <w:i/>
                <w:iCs/>
                <w:sz w:val="19"/>
                <w:szCs w:val="19"/>
              </w:rPr>
              <w:t>[…] if the study population is similar to that in the guideline question(s) but: (</w:t>
            </w:r>
            <w:proofErr w:type="spellStart"/>
            <w:r w:rsidRPr="00C91F30">
              <w:rPr>
                <w:i/>
                <w:iCs/>
                <w:sz w:val="19"/>
                <w:szCs w:val="19"/>
              </w:rPr>
              <w:t>i</w:t>
            </w:r>
            <w:proofErr w:type="spellEnd"/>
            <w:r w:rsidRPr="00C91F30">
              <w:rPr>
                <w:i/>
                <w:iCs/>
                <w:sz w:val="19"/>
                <w:szCs w:val="19"/>
              </w:rPr>
              <w:t>) it differs in some important respects; or (ii) the study fails to differentiate between important subgroups</w:t>
            </w:r>
          </w:p>
        </w:tc>
      </w:tr>
      <w:tr w:rsidR="00A57895" w:rsidRPr="00C91F30" w14:paraId="703EB9B3" w14:textId="77777777" w:rsidTr="00796324">
        <w:trPr>
          <w:trHeight w:val="696"/>
        </w:trPr>
        <w:tc>
          <w:tcPr>
            <w:tcW w:w="2127" w:type="dxa"/>
            <w:vMerge/>
            <w:noWrap/>
            <w:vAlign w:val="center"/>
          </w:tcPr>
          <w:p w14:paraId="157E6292" w14:textId="77777777" w:rsidR="00A57895" w:rsidRPr="00C91F30" w:rsidRDefault="00A57895" w:rsidP="00702E3F">
            <w:pPr>
              <w:rPr>
                <w:sz w:val="20"/>
                <w:szCs w:val="20"/>
              </w:rPr>
            </w:pPr>
          </w:p>
        </w:tc>
        <w:tc>
          <w:tcPr>
            <w:tcW w:w="1134" w:type="dxa"/>
            <w:tcBorders>
              <w:top w:val="nil"/>
              <w:bottom w:val="single" w:sz="4" w:space="0" w:color="auto"/>
              <w:right w:val="nil"/>
            </w:tcBorders>
            <w:vAlign w:val="center"/>
          </w:tcPr>
          <w:p w14:paraId="2C9831D0" w14:textId="1925E824" w:rsidR="00A57895" w:rsidRPr="00C91F30" w:rsidRDefault="00A57895" w:rsidP="00FC131F">
            <w:pPr>
              <w:jc w:val="center"/>
              <w:rPr>
                <w:i/>
                <w:iCs/>
                <w:sz w:val="19"/>
                <w:szCs w:val="19"/>
              </w:rPr>
            </w:pPr>
            <w:r w:rsidRPr="00C91F30">
              <w:rPr>
                <w:i/>
                <w:iCs/>
                <w:sz w:val="19"/>
                <w:szCs w:val="19"/>
              </w:rPr>
              <w:t>No</w:t>
            </w:r>
          </w:p>
        </w:tc>
        <w:tc>
          <w:tcPr>
            <w:tcW w:w="6662" w:type="dxa"/>
            <w:tcBorders>
              <w:top w:val="nil"/>
              <w:left w:val="nil"/>
              <w:bottom w:val="single" w:sz="4" w:space="0" w:color="auto"/>
            </w:tcBorders>
            <w:vAlign w:val="center"/>
          </w:tcPr>
          <w:p w14:paraId="65BBC9EF" w14:textId="448BF5B1" w:rsidR="00A57895" w:rsidRPr="00C91F30" w:rsidRDefault="00A57895" w:rsidP="00702E3F">
            <w:pPr>
              <w:rPr>
                <w:i/>
                <w:iCs/>
                <w:sz w:val="19"/>
                <w:szCs w:val="19"/>
              </w:rPr>
            </w:pPr>
            <w:r w:rsidRPr="00C91F30">
              <w:rPr>
                <w:i/>
                <w:iCs/>
                <w:sz w:val="19"/>
                <w:szCs w:val="19"/>
              </w:rPr>
              <w:t>[…] if the study population is substantively different from that in the guideline question(s)</w:t>
            </w:r>
          </w:p>
        </w:tc>
      </w:tr>
      <w:tr w:rsidR="00FC131F" w:rsidRPr="00C91F30" w14:paraId="74E80F0A" w14:textId="77777777" w:rsidTr="00796324">
        <w:trPr>
          <w:trHeight w:val="464"/>
        </w:trPr>
        <w:tc>
          <w:tcPr>
            <w:tcW w:w="2127" w:type="dxa"/>
            <w:vMerge w:val="restart"/>
            <w:noWrap/>
            <w:vAlign w:val="center"/>
            <w:hideMark/>
          </w:tcPr>
          <w:p w14:paraId="3FD3164E" w14:textId="48009A25" w:rsidR="00FC131F" w:rsidRPr="00C91F30" w:rsidRDefault="00FC131F" w:rsidP="00FC131F">
            <w:pPr>
              <w:rPr>
                <w:sz w:val="20"/>
                <w:szCs w:val="20"/>
              </w:rPr>
            </w:pPr>
            <w:r w:rsidRPr="00C91F30">
              <w:rPr>
                <w:sz w:val="20"/>
                <w:szCs w:val="20"/>
              </w:rPr>
              <w:t>#2 Interventions and services</w:t>
            </w:r>
          </w:p>
          <w:p w14:paraId="200B8328" w14:textId="77777777" w:rsidR="00FC131F" w:rsidRPr="00C91F30" w:rsidRDefault="00FC131F" w:rsidP="00FC131F">
            <w:pPr>
              <w:rPr>
                <w:sz w:val="18"/>
                <w:szCs w:val="20"/>
              </w:rPr>
            </w:pPr>
          </w:p>
          <w:p w14:paraId="74B360AE" w14:textId="6C7267F6" w:rsidR="00FC131F" w:rsidRPr="00C91F30" w:rsidRDefault="00FC131F" w:rsidP="00FC131F">
            <w:pPr>
              <w:rPr>
                <w:sz w:val="20"/>
                <w:szCs w:val="20"/>
              </w:rPr>
            </w:pPr>
            <w:r w:rsidRPr="00C91F30">
              <w:rPr>
                <w:i/>
                <w:sz w:val="19"/>
                <w:szCs w:val="19"/>
              </w:rPr>
              <w:t>(Are the interventions and services appropriate for the guideline?)</w:t>
            </w:r>
          </w:p>
        </w:tc>
        <w:tc>
          <w:tcPr>
            <w:tcW w:w="1134" w:type="dxa"/>
            <w:tcBorders>
              <w:bottom w:val="nil"/>
              <w:right w:val="nil"/>
            </w:tcBorders>
            <w:vAlign w:val="center"/>
          </w:tcPr>
          <w:p w14:paraId="6D63EFD6" w14:textId="7D356B08" w:rsidR="00FC131F" w:rsidRPr="00C91F30" w:rsidRDefault="00FC131F"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2090FA89" w14:textId="6F449BA8" w:rsidR="00FC131F" w:rsidRPr="00C91F30" w:rsidRDefault="00B8748F" w:rsidP="00FC131F">
            <w:pPr>
              <w:rPr>
                <w:i/>
                <w:iCs/>
                <w:sz w:val="19"/>
                <w:szCs w:val="19"/>
              </w:rPr>
            </w:pPr>
            <w:r w:rsidRPr="00C91F30">
              <w:rPr>
                <w:i/>
                <w:iCs/>
                <w:sz w:val="19"/>
                <w:szCs w:val="19"/>
              </w:rPr>
              <w:t xml:space="preserve">[…] </w:t>
            </w:r>
            <w:r w:rsidR="00FC131F" w:rsidRPr="00C91F30">
              <w:rPr>
                <w:i/>
                <w:iCs/>
                <w:sz w:val="19"/>
                <w:szCs w:val="19"/>
              </w:rPr>
              <w:t>if the analysis includes all options considered relevant for the guideline, even if it also includes other options that are not relevant</w:t>
            </w:r>
          </w:p>
        </w:tc>
      </w:tr>
      <w:tr w:rsidR="00FC131F" w:rsidRPr="00C91F30" w14:paraId="63A49E2B" w14:textId="77777777" w:rsidTr="00796324">
        <w:trPr>
          <w:trHeight w:val="464"/>
        </w:trPr>
        <w:tc>
          <w:tcPr>
            <w:tcW w:w="2127" w:type="dxa"/>
            <w:vMerge/>
            <w:noWrap/>
            <w:vAlign w:val="center"/>
          </w:tcPr>
          <w:p w14:paraId="72CF476C" w14:textId="77777777" w:rsidR="00FC131F" w:rsidRPr="00C91F30" w:rsidRDefault="00FC131F" w:rsidP="00FC131F">
            <w:pPr>
              <w:rPr>
                <w:sz w:val="20"/>
                <w:szCs w:val="20"/>
              </w:rPr>
            </w:pPr>
          </w:p>
        </w:tc>
        <w:tc>
          <w:tcPr>
            <w:tcW w:w="1134" w:type="dxa"/>
            <w:tcBorders>
              <w:top w:val="nil"/>
              <w:bottom w:val="nil"/>
              <w:right w:val="nil"/>
            </w:tcBorders>
            <w:vAlign w:val="center"/>
          </w:tcPr>
          <w:p w14:paraId="14F3E4DC" w14:textId="0558018E" w:rsidR="00FC131F" w:rsidRPr="00C91F30" w:rsidRDefault="00FC131F" w:rsidP="00FC131F">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6B9F91AE" w14:textId="1D5434B2" w:rsidR="00FC131F" w:rsidRPr="00C91F30" w:rsidRDefault="00B8748F" w:rsidP="00FC131F">
            <w:pPr>
              <w:rPr>
                <w:i/>
                <w:iCs/>
                <w:sz w:val="19"/>
                <w:szCs w:val="19"/>
              </w:rPr>
            </w:pPr>
            <w:r w:rsidRPr="00C91F30">
              <w:rPr>
                <w:i/>
                <w:iCs/>
                <w:sz w:val="19"/>
                <w:szCs w:val="19"/>
              </w:rPr>
              <w:t>[…] if the analysis omits one or more relevant options but still contains comparisons likely to be useful for the guideline</w:t>
            </w:r>
          </w:p>
        </w:tc>
      </w:tr>
      <w:tr w:rsidR="00FC131F" w:rsidRPr="00C91F30" w14:paraId="26F83417" w14:textId="77777777" w:rsidTr="00796324">
        <w:trPr>
          <w:trHeight w:val="464"/>
        </w:trPr>
        <w:tc>
          <w:tcPr>
            <w:tcW w:w="2127" w:type="dxa"/>
            <w:vMerge/>
            <w:noWrap/>
            <w:vAlign w:val="center"/>
          </w:tcPr>
          <w:p w14:paraId="3D54CF6F" w14:textId="77777777" w:rsidR="00FC131F" w:rsidRPr="00C91F30" w:rsidRDefault="00FC131F" w:rsidP="00FC131F">
            <w:pPr>
              <w:rPr>
                <w:sz w:val="20"/>
                <w:szCs w:val="20"/>
              </w:rPr>
            </w:pPr>
          </w:p>
        </w:tc>
        <w:tc>
          <w:tcPr>
            <w:tcW w:w="1134" w:type="dxa"/>
            <w:tcBorders>
              <w:top w:val="nil"/>
              <w:bottom w:val="single" w:sz="4" w:space="0" w:color="auto"/>
              <w:right w:val="nil"/>
            </w:tcBorders>
            <w:vAlign w:val="center"/>
          </w:tcPr>
          <w:p w14:paraId="79A699CE" w14:textId="1C404A94" w:rsidR="00FC131F" w:rsidRPr="00C91F30" w:rsidRDefault="00FC131F" w:rsidP="00FC131F">
            <w:pPr>
              <w:jc w:val="center"/>
              <w:rPr>
                <w:i/>
                <w:iCs/>
                <w:sz w:val="19"/>
                <w:szCs w:val="19"/>
              </w:rPr>
            </w:pPr>
            <w:r w:rsidRPr="00C91F30">
              <w:rPr>
                <w:i/>
                <w:iCs/>
                <w:sz w:val="19"/>
                <w:szCs w:val="19"/>
              </w:rPr>
              <w:t>No</w:t>
            </w:r>
          </w:p>
        </w:tc>
        <w:tc>
          <w:tcPr>
            <w:tcW w:w="6662" w:type="dxa"/>
            <w:tcBorders>
              <w:top w:val="nil"/>
              <w:left w:val="nil"/>
              <w:bottom w:val="single" w:sz="4" w:space="0" w:color="auto"/>
            </w:tcBorders>
            <w:vAlign w:val="center"/>
          </w:tcPr>
          <w:p w14:paraId="076774CB" w14:textId="4E6027E7" w:rsidR="00FC131F" w:rsidRPr="00C91F30" w:rsidRDefault="00B8748F" w:rsidP="00FC131F">
            <w:pPr>
              <w:rPr>
                <w:i/>
                <w:iCs/>
                <w:sz w:val="19"/>
                <w:szCs w:val="19"/>
              </w:rPr>
            </w:pPr>
            <w:r w:rsidRPr="00C91F30">
              <w:rPr>
                <w:i/>
                <w:iCs/>
                <w:sz w:val="19"/>
                <w:szCs w:val="19"/>
              </w:rPr>
              <w:t>[…] if the analysis does not contain any relevant comparisons.</w:t>
            </w:r>
          </w:p>
        </w:tc>
      </w:tr>
      <w:tr w:rsidR="00FC131F" w:rsidRPr="00C91F30" w14:paraId="51EB627D" w14:textId="77777777" w:rsidTr="00796324">
        <w:trPr>
          <w:trHeight w:val="611"/>
        </w:trPr>
        <w:tc>
          <w:tcPr>
            <w:tcW w:w="2127" w:type="dxa"/>
            <w:vMerge w:val="restart"/>
            <w:noWrap/>
            <w:vAlign w:val="center"/>
            <w:hideMark/>
          </w:tcPr>
          <w:p w14:paraId="0595F875" w14:textId="5D094726" w:rsidR="00FC131F" w:rsidRPr="00C91F30" w:rsidRDefault="00FC131F" w:rsidP="00FC131F">
            <w:pPr>
              <w:rPr>
                <w:sz w:val="20"/>
                <w:szCs w:val="20"/>
              </w:rPr>
            </w:pPr>
            <w:r w:rsidRPr="00C91F30">
              <w:rPr>
                <w:sz w:val="20"/>
                <w:szCs w:val="20"/>
              </w:rPr>
              <w:t>#3 UK NHS context</w:t>
            </w:r>
          </w:p>
          <w:p w14:paraId="656963DD" w14:textId="77777777" w:rsidR="00FC131F" w:rsidRPr="00C91F30" w:rsidRDefault="00FC131F" w:rsidP="00FC131F">
            <w:pPr>
              <w:rPr>
                <w:sz w:val="18"/>
                <w:szCs w:val="20"/>
              </w:rPr>
            </w:pPr>
          </w:p>
          <w:p w14:paraId="1728FA71" w14:textId="05231F12" w:rsidR="00FC131F" w:rsidRPr="00C91F30" w:rsidRDefault="00FC131F" w:rsidP="00FC131F">
            <w:pPr>
              <w:rPr>
                <w:sz w:val="20"/>
                <w:szCs w:val="20"/>
              </w:rPr>
            </w:pPr>
            <w:r w:rsidRPr="00C91F30">
              <w:rPr>
                <w:i/>
                <w:sz w:val="19"/>
                <w:szCs w:val="19"/>
              </w:rPr>
              <w:t>(Is the healthcare system in which the study was conducted sufficiently similar to the current UK NHS context?)</w:t>
            </w:r>
          </w:p>
        </w:tc>
        <w:tc>
          <w:tcPr>
            <w:tcW w:w="1134" w:type="dxa"/>
            <w:tcBorders>
              <w:bottom w:val="nil"/>
              <w:right w:val="nil"/>
            </w:tcBorders>
            <w:vAlign w:val="center"/>
          </w:tcPr>
          <w:p w14:paraId="1EFB89E6" w14:textId="6979C6C3" w:rsidR="00FC131F" w:rsidRPr="00C91F30" w:rsidRDefault="00FC131F"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1A1C7CC5" w14:textId="76EDA73D" w:rsidR="00FC131F" w:rsidRPr="00C91F30" w:rsidRDefault="00A81D4C" w:rsidP="00FC131F">
            <w:pPr>
              <w:rPr>
                <w:i/>
                <w:iCs/>
                <w:sz w:val="19"/>
                <w:szCs w:val="19"/>
              </w:rPr>
            </w:pPr>
            <w:r w:rsidRPr="00C91F30">
              <w:rPr>
                <w:i/>
                <w:iCs/>
                <w:sz w:val="19"/>
                <w:szCs w:val="19"/>
              </w:rPr>
              <w:t xml:space="preserve">[…] </w:t>
            </w:r>
            <w:r w:rsidR="00FC131F" w:rsidRPr="00C91F30">
              <w:rPr>
                <w:i/>
                <w:iCs/>
                <w:sz w:val="19"/>
                <w:szCs w:val="19"/>
              </w:rPr>
              <w:t>if the study was conducted within the UK and is sufficiently recent to reflect current NHS practice. For non-UK or older UK studies</w:t>
            </w:r>
          </w:p>
        </w:tc>
      </w:tr>
      <w:tr w:rsidR="00FC131F" w:rsidRPr="00C91F30" w14:paraId="5753030E" w14:textId="77777777" w:rsidTr="00796324">
        <w:trPr>
          <w:trHeight w:val="612"/>
        </w:trPr>
        <w:tc>
          <w:tcPr>
            <w:tcW w:w="2127" w:type="dxa"/>
            <w:vMerge/>
            <w:noWrap/>
            <w:vAlign w:val="center"/>
          </w:tcPr>
          <w:p w14:paraId="52DAA3AF" w14:textId="77777777" w:rsidR="00FC131F" w:rsidRPr="00C91F30" w:rsidRDefault="00FC131F" w:rsidP="00FC131F">
            <w:pPr>
              <w:rPr>
                <w:sz w:val="20"/>
                <w:szCs w:val="20"/>
              </w:rPr>
            </w:pPr>
          </w:p>
        </w:tc>
        <w:tc>
          <w:tcPr>
            <w:tcW w:w="1134" w:type="dxa"/>
            <w:tcBorders>
              <w:top w:val="nil"/>
              <w:bottom w:val="nil"/>
              <w:right w:val="nil"/>
            </w:tcBorders>
            <w:vAlign w:val="center"/>
          </w:tcPr>
          <w:p w14:paraId="28C651FC" w14:textId="7FCB0D1D" w:rsidR="00FC131F" w:rsidRPr="00C91F30" w:rsidRDefault="00FC131F" w:rsidP="00FC131F">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5B43E91E" w14:textId="055CAC9D" w:rsidR="00FC131F" w:rsidRPr="00C91F30" w:rsidRDefault="00A81D4C" w:rsidP="00FC131F">
            <w:pPr>
              <w:rPr>
                <w:i/>
                <w:iCs/>
                <w:sz w:val="19"/>
                <w:szCs w:val="19"/>
              </w:rPr>
            </w:pPr>
            <w:r w:rsidRPr="00C91F30">
              <w:rPr>
                <w:i/>
                <w:iCs/>
                <w:sz w:val="19"/>
                <w:szCs w:val="19"/>
              </w:rPr>
              <w:t>[…] if differences in the healthcare setting are unlikely to substantively change the cost-effectiveness estimates</w:t>
            </w:r>
          </w:p>
        </w:tc>
      </w:tr>
      <w:tr w:rsidR="00FC131F" w:rsidRPr="00C91F30" w14:paraId="73E83C32" w14:textId="77777777" w:rsidTr="00796324">
        <w:trPr>
          <w:trHeight w:val="612"/>
        </w:trPr>
        <w:tc>
          <w:tcPr>
            <w:tcW w:w="2127" w:type="dxa"/>
            <w:vMerge/>
            <w:noWrap/>
            <w:vAlign w:val="center"/>
          </w:tcPr>
          <w:p w14:paraId="26A92427" w14:textId="77777777" w:rsidR="00FC131F" w:rsidRPr="00C91F30" w:rsidRDefault="00FC131F" w:rsidP="00FC131F">
            <w:pPr>
              <w:rPr>
                <w:sz w:val="20"/>
                <w:szCs w:val="20"/>
              </w:rPr>
            </w:pPr>
          </w:p>
        </w:tc>
        <w:tc>
          <w:tcPr>
            <w:tcW w:w="1134" w:type="dxa"/>
            <w:tcBorders>
              <w:top w:val="nil"/>
              <w:bottom w:val="single" w:sz="4" w:space="0" w:color="auto"/>
              <w:right w:val="nil"/>
            </w:tcBorders>
            <w:vAlign w:val="center"/>
          </w:tcPr>
          <w:p w14:paraId="41DCAD81" w14:textId="2BC30F6B" w:rsidR="00FC131F" w:rsidRPr="00C91F30" w:rsidRDefault="00FC131F" w:rsidP="00FC131F">
            <w:pPr>
              <w:jc w:val="center"/>
              <w:rPr>
                <w:i/>
                <w:iCs/>
                <w:sz w:val="19"/>
                <w:szCs w:val="19"/>
              </w:rPr>
            </w:pPr>
            <w:r w:rsidRPr="00C91F30">
              <w:rPr>
                <w:i/>
                <w:iCs/>
                <w:sz w:val="19"/>
                <w:szCs w:val="19"/>
              </w:rPr>
              <w:t>No</w:t>
            </w:r>
          </w:p>
        </w:tc>
        <w:tc>
          <w:tcPr>
            <w:tcW w:w="6662" w:type="dxa"/>
            <w:tcBorders>
              <w:top w:val="nil"/>
              <w:left w:val="nil"/>
              <w:bottom w:val="single" w:sz="4" w:space="0" w:color="auto"/>
            </w:tcBorders>
            <w:vAlign w:val="center"/>
          </w:tcPr>
          <w:p w14:paraId="49F916B0" w14:textId="5A917C41" w:rsidR="00FC131F" w:rsidRPr="00C91F30" w:rsidRDefault="00A81D4C" w:rsidP="00FC131F">
            <w:pPr>
              <w:rPr>
                <w:i/>
                <w:iCs/>
                <w:sz w:val="19"/>
                <w:szCs w:val="19"/>
              </w:rPr>
            </w:pPr>
            <w:r w:rsidRPr="00C91F30">
              <w:rPr>
                <w:i/>
                <w:iCs/>
                <w:sz w:val="19"/>
                <w:szCs w:val="19"/>
              </w:rPr>
              <w:t>[…] if the healthcare setting is so different that the results are unlikely to be applicable in the current NHS.</w:t>
            </w:r>
          </w:p>
        </w:tc>
      </w:tr>
      <w:tr w:rsidR="00FC131F" w:rsidRPr="00C91F30" w14:paraId="5855AA6B" w14:textId="77777777" w:rsidTr="00796324">
        <w:trPr>
          <w:trHeight w:val="1160"/>
        </w:trPr>
        <w:tc>
          <w:tcPr>
            <w:tcW w:w="2127" w:type="dxa"/>
            <w:vMerge w:val="restart"/>
            <w:noWrap/>
            <w:vAlign w:val="center"/>
            <w:hideMark/>
          </w:tcPr>
          <w:p w14:paraId="4E2E35D8" w14:textId="1348864F" w:rsidR="00FC131F" w:rsidRPr="00C91F30" w:rsidRDefault="00FC131F" w:rsidP="00FC131F">
            <w:pPr>
              <w:rPr>
                <w:sz w:val="20"/>
                <w:szCs w:val="20"/>
              </w:rPr>
            </w:pPr>
            <w:r w:rsidRPr="00C91F30">
              <w:rPr>
                <w:sz w:val="20"/>
                <w:szCs w:val="20"/>
              </w:rPr>
              <w:t>#4 Costing perspective</w:t>
            </w:r>
          </w:p>
          <w:p w14:paraId="5DD4708A" w14:textId="77777777" w:rsidR="00FC131F" w:rsidRPr="00C91F30" w:rsidRDefault="00FC131F" w:rsidP="00FC131F">
            <w:pPr>
              <w:rPr>
                <w:sz w:val="18"/>
                <w:szCs w:val="20"/>
              </w:rPr>
            </w:pPr>
          </w:p>
          <w:p w14:paraId="39EE4C81" w14:textId="395104F3" w:rsidR="00FC131F" w:rsidRPr="00C91F30" w:rsidRDefault="00FC131F" w:rsidP="00FC131F">
            <w:pPr>
              <w:rPr>
                <w:sz w:val="20"/>
                <w:szCs w:val="20"/>
              </w:rPr>
            </w:pPr>
            <w:r w:rsidRPr="00C91F30">
              <w:rPr>
                <w:i/>
                <w:sz w:val="19"/>
                <w:szCs w:val="19"/>
              </w:rPr>
              <w:t>(Are costs measured from the NHS and personal social services (PSS) perspective?)</w:t>
            </w:r>
          </w:p>
        </w:tc>
        <w:tc>
          <w:tcPr>
            <w:tcW w:w="1134" w:type="dxa"/>
            <w:tcBorders>
              <w:bottom w:val="nil"/>
              <w:right w:val="nil"/>
            </w:tcBorders>
            <w:vAlign w:val="center"/>
          </w:tcPr>
          <w:p w14:paraId="461B3F24" w14:textId="75333557" w:rsidR="00FC131F" w:rsidRPr="00C91F30" w:rsidRDefault="00FC131F"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4E72D9FB" w14:textId="77777777" w:rsidR="00A81D4C" w:rsidRPr="00C91F30" w:rsidRDefault="00A81D4C" w:rsidP="00FC131F">
            <w:pPr>
              <w:rPr>
                <w:i/>
                <w:iCs/>
                <w:sz w:val="19"/>
                <w:szCs w:val="19"/>
              </w:rPr>
            </w:pPr>
            <w:r w:rsidRPr="00C91F30">
              <w:rPr>
                <w:i/>
                <w:iCs/>
                <w:sz w:val="19"/>
                <w:szCs w:val="19"/>
              </w:rPr>
              <w:t xml:space="preserve">[…] </w:t>
            </w:r>
            <w:r w:rsidR="00FC131F" w:rsidRPr="00C91F30">
              <w:rPr>
                <w:i/>
                <w:iCs/>
                <w:sz w:val="19"/>
                <w:szCs w:val="19"/>
              </w:rPr>
              <w:t>if the study only includes costs for resource items that would be paid for by the NHS and PSS</w:t>
            </w:r>
          </w:p>
          <w:p w14:paraId="05F9B9B3" w14:textId="2721589D" w:rsidR="00FC131F" w:rsidRPr="00C91F30" w:rsidRDefault="00A81D4C" w:rsidP="00FC131F">
            <w:pPr>
              <w:rPr>
                <w:i/>
                <w:iCs/>
                <w:sz w:val="19"/>
                <w:szCs w:val="19"/>
              </w:rPr>
            </w:pPr>
            <w:r w:rsidRPr="00C91F30">
              <w:rPr>
                <w:i/>
                <w:iCs/>
                <w:sz w:val="19"/>
                <w:szCs w:val="19"/>
              </w:rPr>
              <w:t xml:space="preserve">[…] </w:t>
            </w:r>
            <w:r w:rsidR="00FC131F" w:rsidRPr="00C91F30">
              <w:rPr>
                <w:i/>
                <w:iCs/>
                <w:sz w:val="19"/>
                <w:szCs w:val="19"/>
              </w:rPr>
              <w:t>if other costs have been included in the study, but the results are presented in such a way that the cost effectiveness can be calculated from an NHS and PSS perspective</w:t>
            </w:r>
          </w:p>
        </w:tc>
      </w:tr>
      <w:tr w:rsidR="00FC131F" w:rsidRPr="00C91F30" w14:paraId="1447D428" w14:textId="77777777" w:rsidTr="00796324">
        <w:trPr>
          <w:trHeight w:val="1160"/>
        </w:trPr>
        <w:tc>
          <w:tcPr>
            <w:tcW w:w="2127" w:type="dxa"/>
            <w:vMerge/>
            <w:noWrap/>
            <w:vAlign w:val="center"/>
          </w:tcPr>
          <w:p w14:paraId="7A28F0E5" w14:textId="77777777" w:rsidR="00FC131F" w:rsidRPr="00C91F30" w:rsidRDefault="00FC131F" w:rsidP="00FC131F">
            <w:pPr>
              <w:rPr>
                <w:sz w:val="20"/>
                <w:szCs w:val="20"/>
              </w:rPr>
            </w:pPr>
          </w:p>
        </w:tc>
        <w:tc>
          <w:tcPr>
            <w:tcW w:w="1134" w:type="dxa"/>
            <w:tcBorders>
              <w:top w:val="nil"/>
              <w:bottom w:val="nil"/>
              <w:right w:val="nil"/>
            </w:tcBorders>
            <w:vAlign w:val="center"/>
          </w:tcPr>
          <w:p w14:paraId="0FAE86B8" w14:textId="489230A8" w:rsidR="00FC131F" w:rsidRPr="00C91F30" w:rsidRDefault="00FC131F" w:rsidP="00FC131F">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3572E855" w14:textId="47E9C0AC" w:rsidR="00FC131F" w:rsidRPr="00C91F30" w:rsidRDefault="00A81D4C" w:rsidP="00A81D4C">
            <w:pPr>
              <w:rPr>
                <w:i/>
                <w:iCs/>
                <w:sz w:val="19"/>
                <w:szCs w:val="19"/>
              </w:rPr>
            </w:pPr>
            <w:r w:rsidRPr="00C91F30">
              <w:rPr>
                <w:i/>
                <w:iCs/>
                <w:sz w:val="19"/>
                <w:szCs w:val="19"/>
              </w:rPr>
              <w:t>[…] if the study has taken a wider perspective but the other non-NHS/PSS costs are small in relation to the total expected costs and are unlikely to change the cost-effectiveness results</w:t>
            </w:r>
          </w:p>
        </w:tc>
      </w:tr>
      <w:tr w:rsidR="00FC131F" w:rsidRPr="00C91F30" w14:paraId="66068BE3" w14:textId="77777777" w:rsidTr="00796324">
        <w:trPr>
          <w:trHeight w:val="1160"/>
        </w:trPr>
        <w:tc>
          <w:tcPr>
            <w:tcW w:w="2127" w:type="dxa"/>
            <w:vMerge/>
            <w:noWrap/>
            <w:vAlign w:val="center"/>
          </w:tcPr>
          <w:p w14:paraId="22A2BCC1" w14:textId="77777777" w:rsidR="00FC131F" w:rsidRPr="00C91F30" w:rsidRDefault="00FC131F" w:rsidP="00FC131F">
            <w:pPr>
              <w:rPr>
                <w:sz w:val="20"/>
                <w:szCs w:val="20"/>
              </w:rPr>
            </w:pPr>
          </w:p>
        </w:tc>
        <w:tc>
          <w:tcPr>
            <w:tcW w:w="1134" w:type="dxa"/>
            <w:tcBorders>
              <w:top w:val="nil"/>
              <w:bottom w:val="single" w:sz="4" w:space="0" w:color="auto"/>
              <w:right w:val="nil"/>
            </w:tcBorders>
            <w:vAlign w:val="center"/>
          </w:tcPr>
          <w:p w14:paraId="582FF0C2" w14:textId="2B618628" w:rsidR="00FC131F" w:rsidRPr="00C91F30" w:rsidRDefault="00FC131F" w:rsidP="00FC131F">
            <w:pPr>
              <w:jc w:val="center"/>
              <w:rPr>
                <w:i/>
                <w:iCs/>
                <w:sz w:val="19"/>
                <w:szCs w:val="19"/>
              </w:rPr>
            </w:pPr>
            <w:r w:rsidRPr="00C91F30">
              <w:rPr>
                <w:i/>
                <w:iCs/>
                <w:sz w:val="19"/>
                <w:szCs w:val="19"/>
              </w:rPr>
              <w:t>No</w:t>
            </w:r>
          </w:p>
        </w:tc>
        <w:tc>
          <w:tcPr>
            <w:tcW w:w="6662" w:type="dxa"/>
            <w:tcBorders>
              <w:top w:val="nil"/>
              <w:left w:val="nil"/>
              <w:bottom w:val="single" w:sz="4" w:space="0" w:color="auto"/>
            </w:tcBorders>
            <w:vAlign w:val="center"/>
          </w:tcPr>
          <w:p w14:paraId="29302168" w14:textId="6D9154A2" w:rsidR="00A81D4C" w:rsidRPr="00C91F30" w:rsidRDefault="00A81D4C" w:rsidP="00A81D4C">
            <w:pPr>
              <w:rPr>
                <w:i/>
                <w:iCs/>
                <w:sz w:val="19"/>
                <w:szCs w:val="19"/>
              </w:rPr>
            </w:pPr>
            <w:r w:rsidRPr="00C91F30">
              <w:rPr>
                <w:i/>
                <w:iCs/>
                <w:sz w:val="19"/>
                <w:szCs w:val="19"/>
              </w:rPr>
              <w:t>[…] if non-NHS/PSS costs are significant and are likely to change the cost-effectiveness results</w:t>
            </w:r>
          </w:p>
          <w:p w14:paraId="4234289B" w14:textId="7A8C7F90" w:rsidR="00FC131F" w:rsidRPr="00C91F30" w:rsidRDefault="00A81D4C" w:rsidP="00A81D4C">
            <w:pPr>
              <w:rPr>
                <w:i/>
                <w:iCs/>
                <w:sz w:val="19"/>
                <w:szCs w:val="19"/>
              </w:rPr>
            </w:pPr>
            <w:r w:rsidRPr="00C91F30">
              <w:rPr>
                <w:i/>
                <w:iCs/>
                <w:sz w:val="19"/>
                <w:szCs w:val="19"/>
              </w:rPr>
              <w:t>[…] if the economic study includes non-health costs in such a way that they cannot be separated out from NHS/PSS costs […]</w:t>
            </w:r>
          </w:p>
        </w:tc>
      </w:tr>
      <w:tr w:rsidR="00FC131F" w:rsidRPr="00C91F30" w14:paraId="5207B0C3" w14:textId="77777777" w:rsidTr="00796324">
        <w:trPr>
          <w:trHeight w:val="464"/>
        </w:trPr>
        <w:tc>
          <w:tcPr>
            <w:tcW w:w="2127" w:type="dxa"/>
            <w:vMerge w:val="restart"/>
            <w:noWrap/>
            <w:vAlign w:val="center"/>
            <w:hideMark/>
          </w:tcPr>
          <w:p w14:paraId="6977B305" w14:textId="5610CF70" w:rsidR="00FC131F" w:rsidRPr="00C91F30" w:rsidRDefault="00FC131F" w:rsidP="00FC131F">
            <w:pPr>
              <w:rPr>
                <w:sz w:val="20"/>
                <w:szCs w:val="20"/>
              </w:rPr>
            </w:pPr>
            <w:r w:rsidRPr="00C91F30">
              <w:rPr>
                <w:sz w:val="20"/>
                <w:szCs w:val="20"/>
              </w:rPr>
              <w:t>#5 Measurement of health effects</w:t>
            </w:r>
          </w:p>
          <w:p w14:paraId="301BB317" w14:textId="77777777" w:rsidR="00FC131F" w:rsidRPr="00C91F30" w:rsidRDefault="00FC131F" w:rsidP="00FC131F">
            <w:pPr>
              <w:rPr>
                <w:sz w:val="18"/>
                <w:szCs w:val="20"/>
              </w:rPr>
            </w:pPr>
          </w:p>
          <w:p w14:paraId="31B23EE4" w14:textId="2B29AEBA" w:rsidR="00FC131F" w:rsidRPr="00C91F30" w:rsidRDefault="00FC131F" w:rsidP="00FC131F">
            <w:pPr>
              <w:rPr>
                <w:sz w:val="20"/>
                <w:szCs w:val="20"/>
              </w:rPr>
            </w:pPr>
            <w:r w:rsidRPr="00C91F30">
              <w:rPr>
                <w:i/>
                <w:sz w:val="19"/>
                <w:szCs w:val="19"/>
              </w:rPr>
              <w:t>(Are non-direct health effects on individuals excluded)</w:t>
            </w:r>
          </w:p>
        </w:tc>
        <w:tc>
          <w:tcPr>
            <w:tcW w:w="1134" w:type="dxa"/>
            <w:tcBorders>
              <w:bottom w:val="nil"/>
              <w:right w:val="nil"/>
            </w:tcBorders>
            <w:vAlign w:val="center"/>
          </w:tcPr>
          <w:p w14:paraId="47373A3E" w14:textId="5764804D" w:rsidR="00FC131F" w:rsidRPr="00C91F30" w:rsidRDefault="00FC131F"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1E2379E3" w14:textId="1635D390" w:rsidR="00FC131F" w:rsidRPr="00C91F30" w:rsidRDefault="00A81D4C" w:rsidP="00FC131F">
            <w:pPr>
              <w:rPr>
                <w:i/>
                <w:iCs/>
                <w:sz w:val="19"/>
                <w:szCs w:val="19"/>
              </w:rPr>
            </w:pPr>
            <w:r w:rsidRPr="00C91F30">
              <w:rPr>
                <w:i/>
                <w:iCs/>
                <w:sz w:val="19"/>
                <w:szCs w:val="19"/>
              </w:rPr>
              <w:t xml:space="preserve">[…] </w:t>
            </w:r>
            <w:r w:rsidR="00FC131F" w:rsidRPr="00C91F30">
              <w:rPr>
                <w:i/>
                <w:iCs/>
                <w:sz w:val="19"/>
                <w:szCs w:val="19"/>
              </w:rPr>
              <w:t>if the measure of health outcome used in the analysis excludes non-health effects (or if such effects can be excluded from the results) results</w:t>
            </w:r>
          </w:p>
        </w:tc>
      </w:tr>
      <w:tr w:rsidR="00FC131F" w:rsidRPr="00C91F30" w14:paraId="499AE99D" w14:textId="77777777" w:rsidTr="00796324">
        <w:trPr>
          <w:trHeight w:val="464"/>
        </w:trPr>
        <w:tc>
          <w:tcPr>
            <w:tcW w:w="2127" w:type="dxa"/>
            <w:vMerge/>
            <w:noWrap/>
            <w:vAlign w:val="center"/>
          </w:tcPr>
          <w:p w14:paraId="2F6313E8" w14:textId="77777777" w:rsidR="00FC131F" w:rsidRPr="00C91F30" w:rsidRDefault="00FC131F" w:rsidP="00FC131F">
            <w:pPr>
              <w:rPr>
                <w:sz w:val="20"/>
                <w:szCs w:val="20"/>
              </w:rPr>
            </w:pPr>
          </w:p>
        </w:tc>
        <w:tc>
          <w:tcPr>
            <w:tcW w:w="1134" w:type="dxa"/>
            <w:tcBorders>
              <w:top w:val="nil"/>
              <w:bottom w:val="nil"/>
              <w:right w:val="nil"/>
            </w:tcBorders>
            <w:vAlign w:val="center"/>
          </w:tcPr>
          <w:p w14:paraId="06FF79E3" w14:textId="459AE6A9" w:rsidR="00FC131F" w:rsidRPr="00C91F30" w:rsidRDefault="00FC131F" w:rsidP="00FC131F">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11F39B56" w14:textId="26F90FA5" w:rsidR="00FC131F" w:rsidRPr="00C91F30" w:rsidRDefault="00A81D4C" w:rsidP="00FC131F">
            <w:pPr>
              <w:rPr>
                <w:i/>
                <w:iCs/>
                <w:sz w:val="19"/>
                <w:szCs w:val="19"/>
              </w:rPr>
            </w:pPr>
            <w:r w:rsidRPr="00C91F30">
              <w:rPr>
                <w:i/>
                <w:iCs/>
                <w:sz w:val="19"/>
                <w:szCs w:val="19"/>
              </w:rPr>
              <w:t>[…]  if the analysis includes some non-health effects but these are small and unlikely to change the cost-effectiveness results</w:t>
            </w:r>
          </w:p>
        </w:tc>
      </w:tr>
      <w:tr w:rsidR="00FC131F" w:rsidRPr="00C91F30" w14:paraId="35E2A11B" w14:textId="77777777" w:rsidTr="00796324">
        <w:trPr>
          <w:trHeight w:val="464"/>
        </w:trPr>
        <w:tc>
          <w:tcPr>
            <w:tcW w:w="2127" w:type="dxa"/>
            <w:vMerge/>
            <w:noWrap/>
            <w:vAlign w:val="center"/>
          </w:tcPr>
          <w:p w14:paraId="57010ECA" w14:textId="77777777" w:rsidR="00FC131F" w:rsidRPr="00C91F30" w:rsidRDefault="00FC131F" w:rsidP="00FC131F">
            <w:pPr>
              <w:rPr>
                <w:sz w:val="20"/>
                <w:szCs w:val="20"/>
              </w:rPr>
            </w:pPr>
          </w:p>
        </w:tc>
        <w:tc>
          <w:tcPr>
            <w:tcW w:w="1134" w:type="dxa"/>
            <w:tcBorders>
              <w:top w:val="nil"/>
              <w:bottom w:val="single" w:sz="4" w:space="0" w:color="auto"/>
              <w:right w:val="nil"/>
            </w:tcBorders>
            <w:vAlign w:val="center"/>
          </w:tcPr>
          <w:p w14:paraId="5EA144A8" w14:textId="628FAF51" w:rsidR="00FC131F" w:rsidRPr="00C91F30" w:rsidRDefault="00FC131F" w:rsidP="00FC131F">
            <w:pPr>
              <w:jc w:val="center"/>
              <w:rPr>
                <w:i/>
                <w:iCs/>
                <w:sz w:val="19"/>
                <w:szCs w:val="19"/>
              </w:rPr>
            </w:pPr>
            <w:r w:rsidRPr="00C91F30">
              <w:rPr>
                <w:i/>
                <w:iCs/>
                <w:sz w:val="19"/>
                <w:szCs w:val="19"/>
              </w:rPr>
              <w:t>No</w:t>
            </w:r>
          </w:p>
        </w:tc>
        <w:tc>
          <w:tcPr>
            <w:tcW w:w="6662" w:type="dxa"/>
            <w:tcBorders>
              <w:top w:val="nil"/>
              <w:left w:val="nil"/>
              <w:bottom w:val="single" w:sz="4" w:space="0" w:color="auto"/>
            </w:tcBorders>
            <w:vAlign w:val="center"/>
          </w:tcPr>
          <w:p w14:paraId="6BD3C2BC" w14:textId="3627983E" w:rsidR="00FC131F" w:rsidRPr="00C91F30" w:rsidRDefault="00A81D4C" w:rsidP="00FC131F">
            <w:pPr>
              <w:rPr>
                <w:i/>
                <w:iCs/>
                <w:sz w:val="19"/>
                <w:szCs w:val="19"/>
              </w:rPr>
            </w:pPr>
            <w:r w:rsidRPr="00C91F30">
              <w:rPr>
                <w:i/>
                <w:iCs/>
                <w:sz w:val="19"/>
                <w:szCs w:val="19"/>
              </w:rPr>
              <w:t>[…] if the analysis includes significant non-health effects that are likely to change the cost-effectiveness</w:t>
            </w:r>
          </w:p>
        </w:tc>
      </w:tr>
      <w:tr w:rsidR="00A81D4C" w:rsidRPr="00C91F30" w14:paraId="1AA56080" w14:textId="77777777" w:rsidTr="00796324">
        <w:trPr>
          <w:trHeight w:val="696"/>
        </w:trPr>
        <w:tc>
          <w:tcPr>
            <w:tcW w:w="2127" w:type="dxa"/>
            <w:vMerge w:val="restart"/>
            <w:noWrap/>
            <w:vAlign w:val="center"/>
            <w:hideMark/>
          </w:tcPr>
          <w:p w14:paraId="0C1504A1" w14:textId="7B0E43D6" w:rsidR="00A81D4C" w:rsidRPr="00C91F30" w:rsidRDefault="00A81D4C" w:rsidP="00FC131F">
            <w:pPr>
              <w:rPr>
                <w:sz w:val="20"/>
                <w:szCs w:val="20"/>
              </w:rPr>
            </w:pPr>
            <w:r w:rsidRPr="00C91F30">
              <w:rPr>
                <w:sz w:val="20"/>
                <w:szCs w:val="20"/>
              </w:rPr>
              <w:t>#6 Discounting rate</w:t>
            </w:r>
          </w:p>
          <w:p w14:paraId="1D5F5B86" w14:textId="77777777" w:rsidR="00A81D4C" w:rsidRPr="00C91F30" w:rsidRDefault="00A81D4C" w:rsidP="00FC131F">
            <w:pPr>
              <w:rPr>
                <w:sz w:val="18"/>
                <w:szCs w:val="20"/>
              </w:rPr>
            </w:pPr>
          </w:p>
          <w:p w14:paraId="6E46DEA5" w14:textId="172DEF2A" w:rsidR="00A81D4C" w:rsidRPr="00C91F30" w:rsidRDefault="00A81D4C" w:rsidP="00FC131F">
            <w:pPr>
              <w:rPr>
                <w:sz w:val="20"/>
                <w:szCs w:val="20"/>
              </w:rPr>
            </w:pPr>
            <w:r w:rsidRPr="00C91F30">
              <w:rPr>
                <w:i/>
                <w:sz w:val="19"/>
                <w:szCs w:val="19"/>
              </w:rPr>
              <w:t>(Are both costs and health effects discounted at an annual rate of 3.5%?)</w:t>
            </w:r>
          </w:p>
        </w:tc>
        <w:tc>
          <w:tcPr>
            <w:tcW w:w="1134" w:type="dxa"/>
            <w:tcBorders>
              <w:bottom w:val="nil"/>
              <w:right w:val="nil"/>
            </w:tcBorders>
            <w:vAlign w:val="center"/>
          </w:tcPr>
          <w:p w14:paraId="4C99BE8F" w14:textId="3D45B308" w:rsidR="00A81D4C" w:rsidRPr="00C91F30" w:rsidRDefault="00A81D4C"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2FD85E46" w14:textId="0A62296C" w:rsidR="00A81D4C" w:rsidRPr="00C91F30" w:rsidRDefault="00FC5499" w:rsidP="00FC131F">
            <w:pPr>
              <w:rPr>
                <w:i/>
                <w:iCs/>
                <w:sz w:val="19"/>
                <w:szCs w:val="19"/>
              </w:rPr>
            </w:pPr>
            <w:r w:rsidRPr="00C91F30">
              <w:rPr>
                <w:i/>
                <w:iCs/>
                <w:sz w:val="19"/>
                <w:szCs w:val="19"/>
              </w:rPr>
              <w:t xml:space="preserve">[…] </w:t>
            </w:r>
            <w:r w:rsidR="00A81D4C" w:rsidRPr="00C91F30">
              <w:rPr>
                <w:i/>
                <w:iCs/>
                <w:sz w:val="19"/>
                <w:szCs w:val="19"/>
              </w:rPr>
              <w:t xml:space="preserve">if both costs and health effects (for example, quality-adjusted life years [QALYs]) are discounted at 3.5% per year. </w:t>
            </w:r>
          </w:p>
        </w:tc>
      </w:tr>
      <w:tr w:rsidR="00A81D4C" w:rsidRPr="00C91F30" w14:paraId="27E1E97F" w14:textId="77777777" w:rsidTr="00796324">
        <w:trPr>
          <w:trHeight w:val="696"/>
        </w:trPr>
        <w:tc>
          <w:tcPr>
            <w:tcW w:w="2127" w:type="dxa"/>
            <w:vMerge/>
            <w:noWrap/>
            <w:vAlign w:val="center"/>
          </w:tcPr>
          <w:p w14:paraId="51DC0463" w14:textId="77777777" w:rsidR="00A81D4C" w:rsidRPr="00C91F30" w:rsidRDefault="00A81D4C" w:rsidP="00FC131F">
            <w:pPr>
              <w:rPr>
                <w:sz w:val="20"/>
                <w:szCs w:val="20"/>
              </w:rPr>
            </w:pPr>
          </w:p>
        </w:tc>
        <w:tc>
          <w:tcPr>
            <w:tcW w:w="1134" w:type="dxa"/>
            <w:tcBorders>
              <w:top w:val="nil"/>
              <w:bottom w:val="nil"/>
              <w:right w:val="nil"/>
            </w:tcBorders>
            <w:vAlign w:val="center"/>
          </w:tcPr>
          <w:p w14:paraId="00A12801" w14:textId="35F2165E" w:rsidR="00A81D4C" w:rsidRPr="00C91F30" w:rsidRDefault="00A81D4C" w:rsidP="00FC131F">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41886044" w14:textId="65787BA9" w:rsidR="00A81D4C" w:rsidRPr="00C91F30" w:rsidRDefault="00FC5499" w:rsidP="00FC131F">
            <w:pPr>
              <w:rPr>
                <w:i/>
                <w:iCs/>
                <w:sz w:val="19"/>
                <w:szCs w:val="19"/>
              </w:rPr>
            </w:pPr>
            <w:r w:rsidRPr="00C91F30">
              <w:rPr>
                <w:i/>
                <w:iCs/>
                <w:sz w:val="19"/>
                <w:szCs w:val="19"/>
              </w:rPr>
              <w:t xml:space="preserve">[…] </w:t>
            </w:r>
            <w:r w:rsidR="00A81D4C" w:rsidRPr="00C91F30">
              <w:rPr>
                <w:i/>
                <w:iCs/>
                <w:sz w:val="19"/>
                <w:szCs w:val="19"/>
              </w:rPr>
              <w:t xml:space="preserve">if costs and health effects are discounted at a rate similar to 3.5% (for example, costs and effects are both discounted at 3% per year). </w:t>
            </w:r>
          </w:p>
        </w:tc>
      </w:tr>
      <w:tr w:rsidR="00A81D4C" w:rsidRPr="00C91F30" w14:paraId="4FD2DF09" w14:textId="77777777" w:rsidTr="00796324">
        <w:trPr>
          <w:trHeight w:val="696"/>
        </w:trPr>
        <w:tc>
          <w:tcPr>
            <w:tcW w:w="2127" w:type="dxa"/>
            <w:vMerge/>
            <w:noWrap/>
            <w:vAlign w:val="center"/>
          </w:tcPr>
          <w:p w14:paraId="20C77572" w14:textId="77777777" w:rsidR="00A81D4C" w:rsidRPr="00C91F30" w:rsidRDefault="00A81D4C" w:rsidP="00FC131F">
            <w:pPr>
              <w:rPr>
                <w:sz w:val="20"/>
                <w:szCs w:val="20"/>
              </w:rPr>
            </w:pPr>
          </w:p>
        </w:tc>
        <w:tc>
          <w:tcPr>
            <w:tcW w:w="1134" w:type="dxa"/>
            <w:tcBorders>
              <w:top w:val="nil"/>
              <w:bottom w:val="nil"/>
              <w:right w:val="nil"/>
            </w:tcBorders>
            <w:vAlign w:val="center"/>
          </w:tcPr>
          <w:p w14:paraId="1EF154C2" w14:textId="2350F389" w:rsidR="00A81D4C" w:rsidRPr="00C91F30" w:rsidRDefault="00A81D4C" w:rsidP="00FC131F">
            <w:pPr>
              <w:jc w:val="center"/>
              <w:rPr>
                <w:i/>
                <w:iCs/>
                <w:sz w:val="19"/>
                <w:szCs w:val="19"/>
              </w:rPr>
            </w:pPr>
            <w:r w:rsidRPr="00C91F30">
              <w:rPr>
                <w:i/>
                <w:iCs/>
                <w:sz w:val="19"/>
                <w:szCs w:val="19"/>
              </w:rPr>
              <w:t>No</w:t>
            </w:r>
          </w:p>
        </w:tc>
        <w:tc>
          <w:tcPr>
            <w:tcW w:w="6662" w:type="dxa"/>
            <w:tcBorders>
              <w:top w:val="nil"/>
              <w:left w:val="nil"/>
              <w:bottom w:val="nil"/>
            </w:tcBorders>
            <w:vAlign w:val="center"/>
          </w:tcPr>
          <w:p w14:paraId="2B4D4EC0" w14:textId="26CCA955" w:rsidR="00A81D4C" w:rsidRPr="00C91F30" w:rsidRDefault="00FC5499" w:rsidP="00FC131F">
            <w:pPr>
              <w:rPr>
                <w:b/>
                <w:bCs/>
                <w:i/>
                <w:iCs/>
                <w:sz w:val="19"/>
                <w:szCs w:val="19"/>
              </w:rPr>
            </w:pPr>
            <w:r w:rsidRPr="00C91F30">
              <w:rPr>
                <w:i/>
                <w:iCs/>
                <w:sz w:val="19"/>
                <w:szCs w:val="19"/>
              </w:rPr>
              <w:t xml:space="preserve">[…] </w:t>
            </w:r>
            <w:r w:rsidR="00A81D4C" w:rsidRPr="00C91F30">
              <w:rPr>
                <w:i/>
                <w:iCs/>
                <w:sz w:val="19"/>
                <w:szCs w:val="19"/>
              </w:rPr>
              <w:t>if costs and/or health effects are not discounted, or if they are discounted at a rate (or rates) different from 3.5% (for example, 5% for both costs and effects, or 6% for costs and 1.5% for effects)</w:t>
            </w:r>
            <w:r w:rsidRPr="00C91F30">
              <w:rPr>
                <w:i/>
                <w:iCs/>
                <w:sz w:val="19"/>
                <w:szCs w:val="19"/>
              </w:rPr>
              <w:t xml:space="preserve"> […]</w:t>
            </w:r>
          </w:p>
        </w:tc>
      </w:tr>
      <w:tr w:rsidR="00A81D4C" w:rsidRPr="00C91F30" w14:paraId="4A9FCF9A" w14:textId="77777777" w:rsidTr="00796324">
        <w:trPr>
          <w:trHeight w:val="696"/>
        </w:trPr>
        <w:tc>
          <w:tcPr>
            <w:tcW w:w="2127" w:type="dxa"/>
            <w:vMerge/>
            <w:noWrap/>
            <w:vAlign w:val="center"/>
          </w:tcPr>
          <w:p w14:paraId="552DFBE0" w14:textId="77777777" w:rsidR="00A81D4C" w:rsidRPr="00C91F30" w:rsidRDefault="00A81D4C" w:rsidP="00FC131F">
            <w:pPr>
              <w:rPr>
                <w:sz w:val="20"/>
                <w:szCs w:val="20"/>
              </w:rPr>
            </w:pPr>
          </w:p>
        </w:tc>
        <w:tc>
          <w:tcPr>
            <w:tcW w:w="1134" w:type="dxa"/>
            <w:tcBorders>
              <w:top w:val="nil"/>
              <w:bottom w:val="single" w:sz="4" w:space="0" w:color="auto"/>
              <w:right w:val="nil"/>
            </w:tcBorders>
            <w:vAlign w:val="center"/>
          </w:tcPr>
          <w:p w14:paraId="6024B124" w14:textId="39269558" w:rsidR="00A81D4C" w:rsidRPr="00C91F30" w:rsidRDefault="00FC5499" w:rsidP="00FC131F">
            <w:pPr>
              <w:jc w:val="center"/>
              <w:rPr>
                <w:i/>
                <w:iCs/>
                <w:sz w:val="19"/>
                <w:szCs w:val="19"/>
              </w:rPr>
            </w:pPr>
            <w:r w:rsidRPr="00C91F30">
              <w:rPr>
                <w:i/>
                <w:iCs/>
                <w:sz w:val="19"/>
                <w:szCs w:val="19"/>
              </w:rPr>
              <w:t>NA</w:t>
            </w:r>
          </w:p>
        </w:tc>
        <w:tc>
          <w:tcPr>
            <w:tcW w:w="6662" w:type="dxa"/>
            <w:tcBorders>
              <w:top w:val="nil"/>
              <w:left w:val="nil"/>
              <w:bottom w:val="single" w:sz="4" w:space="0" w:color="auto"/>
            </w:tcBorders>
            <w:vAlign w:val="center"/>
          </w:tcPr>
          <w:p w14:paraId="7AAC9A13" w14:textId="2A8A9BD3" w:rsidR="00A81D4C" w:rsidRPr="00C91F30" w:rsidRDefault="00A81D4C" w:rsidP="00FC131F">
            <w:pPr>
              <w:rPr>
                <w:i/>
                <w:iCs/>
                <w:sz w:val="19"/>
                <w:szCs w:val="19"/>
              </w:rPr>
            </w:pPr>
            <w:r w:rsidRPr="00C91F30">
              <w:rPr>
                <w:i/>
                <w:iCs/>
                <w:sz w:val="19"/>
                <w:szCs w:val="19"/>
              </w:rPr>
              <w:t>If all costs and health effects accrue within a short time (roughly a year)</w:t>
            </w:r>
            <w:r w:rsidR="00FC5499" w:rsidRPr="00C91F30">
              <w:rPr>
                <w:i/>
                <w:iCs/>
                <w:sz w:val="19"/>
                <w:szCs w:val="19"/>
              </w:rPr>
              <w:t xml:space="preserve"> […]</w:t>
            </w:r>
          </w:p>
        </w:tc>
      </w:tr>
      <w:tr w:rsidR="00FC131F" w:rsidRPr="00C91F30" w14:paraId="21113DD0" w14:textId="77777777" w:rsidTr="00796324">
        <w:trPr>
          <w:trHeight w:val="888"/>
        </w:trPr>
        <w:tc>
          <w:tcPr>
            <w:tcW w:w="2127" w:type="dxa"/>
            <w:vMerge w:val="restart"/>
            <w:noWrap/>
            <w:vAlign w:val="center"/>
            <w:hideMark/>
          </w:tcPr>
          <w:p w14:paraId="5573C366" w14:textId="08CF7CD9" w:rsidR="00FC131F" w:rsidRPr="00C91F30" w:rsidRDefault="00FC131F" w:rsidP="00FC131F">
            <w:pPr>
              <w:rPr>
                <w:sz w:val="20"/>
                <w:szCs w:val="20"/>
              </w:rPr>
            </w:pPr>
            <w:r w:rsidRPr="00C91F30">
              <w:rPr>
                <w:sz w:val="20"/>
                <w:szCs w:val="20"/>
              </w:rPr>
              <w:t>#7 Valuation of health effects</w:t>
            </w:r>
          </w:p>
          <w:p w14:paraId="551C0309" w14:textId="77777777" w:rsidR="00FC131F" w:rsidRPr="00C91F30" w:rsidRDefault="00FC131F" w:rsidP="00FC131F">
            <w:pPr>
              <w:rPr>
                <w:sz w:val="18"/>
                <w:szCs w:val="20"/>
              </w:rPr>
            </w:pPr>
          </w:p>
          <w:p w14:paraId="2EAD4816" w14:textId="06FE01C2" w:rsidR="00FC131F" w:rsidRPr="00C91F30" w:rsidRDefault="00FC131F" w:rsidP="00FC131F">
            <w:pPr>
              <w:rPr>
                <w:sz w:val="20"/>
                <w:szCs w:val="20"/>
              </w:rPr>
            </w:pPr>
            <w:r w:rsidRPr="00C91F30">
              <w:rPr>
                <w:i/>
                <w:sz w:val="19"/>
                <w:szCs w:val="19"/>
              </w:rPr>
              <w:t>(Is the value of health effects expressed in terms of quality-adjusted life years (QALYs)?)</w:t>
            </w:r>
          </w:p>
        </w:tc>
        <w:tc>
          <w:tcPr>
            <w:tcW w:w="1134" w:type="dxa"/>
            <w:tcBorders>
              <w:bottom w:val="nil"/>
              <w:right w:val="nil"/>
            </w:tcBorders>
            <w:vAlign w:val="center"/>
          </w:tcPr>
          <w:p w14:paraId="5C7D8AF8" w14:textId="739B8B02" w:rsidR="00FC131F" w:rsidRPr="00C91F30" w:rsidRDefault="00FC131F"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48B34956" w14:textId="43B57AC7" w:rsidR="00FC131F" w:rsidRPr="00C91F30" w:rsidRDefault="005B3A39" w:rsidP="00FC131F">
            <w:pPr>
              <w:rPr>
                <w:i/>
                <w:iCs/>
                <w:sz w:val="19"/>
                <w:szCs w:val="19"/>
              </w:rPr>
            </w:pPr>
            <w:r w:rsidRPr="00C91F30">
              <w:rPr>
                <w:i/>
                <w:iCs/>
                <w:sz w:val="19"/>
                <w:szCs w:val="19"/>
              </w:rPr>
              <w:t xml:space="preserve">[…] </w:t>
            </w:r>
            <w:r w:rsidR="00FC131F" w:rsidRPr="00C91F30">
              <w:rPr>
                <w:i/>
                <w:iCs/>
                <w:sz w:val="19"/>
                <w:szCs w:val="19"/>
              </w:rPr>
              <w:t xml:space="preserve">if the effectiveness of the intervention is measured using QALYs; </w:t>
            </w:r>
          </w:p>
        </w:tc>
      </w:tr>
      <w:tr w:rsidR="00FC131F" w:rsidRPr="00C91F30" w14:paraId="786D7962" w14:textId="77777777" w:rsidTr="00796324">
        <w:trPr>
          <w:trHeight w:val="889"/>
        </w:trPr>
        <w:tc>
          <w:tcPr>
            <w:tcW w:w="2127" w:type="dxa"/>
            <w:vMerge/>
            <w:noWrap/>
            <w:vAlign w:val="center"/>
          </w:tcPr>
          <w:p w14:paraId="58853FF5" w14:textId="77777777" w:rsidR="00FC131F" w:rsidRPr="00C91F30" w:rsidRDefault="00FC131F" w:rsidP="00FC131F">
            <w:pPr>
              <w:rPr>
                <w:sz w:val="20"/>
                <w:szCs w:val="20"/>
              </w:rPr>
            </w:pPr>
          </w:p>
        </w:tc>
        <w:tc>
          <w:tcPr>
            <w:tcW w:w="1134" w:type="dxa"/>
            <w:tcBorders>
              <w:top w:val="nil"/>
              <w:bottom w:val="single" w:sz="4" w:space="0" w:color="auto"/>
              <w:right w:val="nil"/>
            </w:tcBorders>
            <w:vAlign w:val="center"/>
          </w:tcPr>
          <w:p w14:paraId="0AF38C93" w14:textId="3845B89F" w:rsidR="00FC131F" w:rsidRPr="00C91F30" w:rsidRDefault="00FC131F" w:rsidP="00FC131F">
            <w:pPr>
              <w:jc w:val="center"/>
              <w:rPr>
                <w:i/>
                <w:iCs/>
                <w:sz w:val="19"/>
                <w:szCs w:val="19"/>
              </w:rPr>
            </w:pPr>
            <w:r w:rsidRPr="00C91F30">
              <w:rPr>
                <w:i/>
                <w:iCs/>
                <w:sz w:val="19"/>
                <w:szCs w:val="19"/>
              </w:rPr>
              <w:t>No</w:t>
            </w:r>
          </w:p>
        </w:tc>
        <w:tc>
          <w:tcPr>
            <w:tcW w:w="6662" w:type="dxa"/>
            <w:tcBorders>
              <w:top w:val="nil"/>
              <w:left w:val="nil"/>
              <w:bottom w:val="single" w:sz="4" w:space="0" w:color="auto"/>
            </w:tcBorders>
            <w:vAlign w:val="center"/>
          </w:tcPr>
          <w:p w14:paraId="6B619D6D" w14:textId="44C7AD8A" w:rsidR="005B3A39" w:rsidRPr="00C91F30" w:rsidRDefault="005B3A39" w:rsidP="00FC131F">
            <w:pPr>
              <w:rPr>
                <w:i/>
                <w:iCs/>
                <w:sz w:val="19"/>
                <w:szCs w:val="19"/>
              </w:rPr>
            </w:pPr>
            <w:r w:rsidRPr="00C91F30">
              <w:rPr>
                <w:i/>
                <w:iCs/>
                <w:sz w:val="19"/>
                <w:szCs w:val="19"/>
              </w:rPr>
              <w:t>[…] if the effectiveness of the intervention is not measured using QALYs</w:t>
            </w:r>
          </w:p>
          <w:p w14:paraId="363A67FE" w14:textId="77777777" w:rsidR="005B3A39" w:rsidRPr="00C91F30" w:rsidRDefault="005B3A39" w:rsidP="00FC131F">
            <w:pPr>
              <w:rPr>
                <w:i/>
                <w:iCs/>
                <w:sz w:val="19"/>
                <w:szCs w:val="19"/>
              </w:rPr>
            </w:pPr>
            <w:r w:rsidRPr="00C91F30">
              <w:rPr>
                <w:i/>
                <w:iCs/>
                <w:sz w:val="19"/>
                <w:szCs w:val="19"/>
              </w:rPr>
              <w:t>[…] when a QALY cannot be obtained or where the assumptions underlying QALYs are considered inappropriate</w:t>
            </w:r>
          </w:p>
          <w:p w14:paraId="3C648C77" w14:textId="28A0CF1F" w:rsidR="00FC131F" w:rsidRPr="00C91F30" w:rsidRDefault="005B3A39" w:rsidP="00FC131F">
            <w:pPr>
              <w:rPr>
                <w:i/>
                <w:iCs/>
                <w:sz w:val="19"/>
                <w:szCs w:val="19"/>
              </w:rPr>
            </w:pPr>
            <w:r w:rsidRPr="00C91F30">
              <w:rPr>
                <w:i/>
                <w:iCs/>
                <w:sz w:val="19"/>
                <w:szCs w:val="19"/>
              </w:rPr>
              <w:t>[…] if it does not include QALYs but it is still thought to be useful for GDG decision-making: for example, if the clinical evidence indicates that an intervention might be dominant, and estimates of the relative costs of the interventions from a cost-minimisation study are likely to be useful […]</w:t>
            </w:r>
          </w:p>
        </w:tc>
      </w:tr>
      <w:tr w:rsidR="005B3A39" w:rsidRPr="00C91F30" w14:paraId="475EA8C7" w14:textId="77777777" w:rsidTr="00796324">
        <w:trPr>
          <w:trHeight w:val="696"/>
        </w:trPr>
        <w:tc>
          <w:tcPr>
            <w:tcW w:w="2127" w:type="dxa"/>
            <w:vMerge w:val="restart"/>
            <w:noWrap/>
            <w:vAlign w:val="center"/>
            <w:hideMark/>
          </w:tcPr>
          <w:p w14:paraId="2D7D18AC" w14:textId="7C31898F" w:rsidR="005B3A39" w:rsidRPr="00C91F30" w:rsidRDefault="005B3A39" w:rsidP="00FC131F">
            <w:pPr>
              <w:rPr>
                <w:sz w:val="20"/>
                <w:szCs w:val="20"/>
              </w:rPr>
            </w:pPr>
            <w:r w:rsidRPr="00C91F30">
              <w:rPr>
                <w:sz w:val="20"/>
                <w:szCs w:val="20"/>
              </w:rPr>
              <w:t>#8 Valuation of health-related quality of life</w:t>
            </w:r>
          </w:p>
          <w:p w14:paraId="33285C98" w14:textId="77777777" w:rsidR="005B3A39" w:rsidRPr="00C91F30" w:rsidRDefault="005B3A39" w:rsidP="00FC131F">
            <w:pPr>
              <w:rPr>
                <w:sz w:val="18"/>
                <w:szCs w:val="20"/>
              </w:rPr>
            </w:pPr>
          </w:p>
          <w:p w14:paraId="2E751274" w14:textId="69420343" w:rsidR="005B3A39" w:rsidRPr="00C91F30" w:rsidRDefault="005B3A39" w:rsidP="00FC131F">
            <w:pPr>
              <w:rPr>
                <w:sz w:val="20"/>
                <w:szCs w:val="20"/>
              </w:rPr>
            </w:pPr>
            <w:r w:rsidRPr="00C91F30">
              <w:rPr>
                <w:i/>
                <w:sz w:val="19"/>
                <w:szCs w:val="19"/>
              </w:rPr>
              <w:t>(Are changes in health-related quality of life (</w:t>
            </w:r>
            <w:proofErr w:type="spellStart"/>
            <w:r w:rsidRPr="00C91F30">
              <w:rPr>
                <w:i/>
                <w:sz w:val="19"/>
                <w:szCs w:val="19"/>
              </w:rPr>
              <w:t>HRQoL</w:t>
            </w:r>
            <w:proofErr w:type="spellEnd"/>
            <w:r w:rsidRPr="00C91F30">
              <w:rPr>
                <w:i/>
                <w:sz w:val="19"/>
                <w:szCs w:val="19"/>
              </w:rPr>
              <w:t>) reported directly from patients and/or carers?)</w:t>
            </w:r>
          </w:p>
        </w:tc>
        <w:tc>
          <w:tcPr>
            <w:tcW w:w="1134" w:type="dxa"/>
            <w:tcBorders>
              <w:bottom w:val="nil"/>
              <w:right w:val="nil"/>
            </w:tcBorders>
            <w:vAlign w:val="center"/>
          </w:tcPr>
          <w:p w14:paraId="694AB13A" w14:textId="65C8866C" w:rsidR="005B3A39" w:rsidRPr="00C91F30" w:rsidRDefault="005B3A39" w:rsidP="00FC131F">
            <w:pPr>
              <w:jc w:val="center"/>
              <w:rPr>
                <w:i/>
                <w:iCs/>
                <w:sz w:val="19"/>
                <w:szCs w:val="19"/>
              </w:rPr>
            </w:pPr>
            <w:r w:rsidRPr="00C91F30">
              <w:rPr>
                <w:i/>
                <w:iCs/>
                <w:sz w:val="19"/>
                <w:szCs w:val="19"/>
              </w:rPr>
              <w:t>Yes</w:t>
            </w:r>
          </w:p>
        </w:tc>
        <w:tc>
          <w:tcPr>
            <w:tcW w:w="6662" w:type="dxa"/>
            <w:tcBorders>
              <w:left w:val="nil"/>
              <w:bottom w:val="nil"/>
            </w:tcBorders>
            <w:vAlign w:val="center"/>
          </w:tcPr>
          <w:p w14:paraId="5C51C0CF" w14:textId="3654D2B1" w:rsidR="005B3A39" w:rsidRPr="00C91F30" w:rsidRDefault="005B3A39" w:rsidP="00FC131F">
            <w:pPr>
              <w:rPr>
                <w:i/>
                <w:iCs/>
                <w:sz w:val="19"/>
                <w:szCs w:val="19"/>
              </w:rPr>
            </w:pPr>
            <w:r w:rsidRPr="00C91F30">
              <w:rPr>
                <w:i/>
                <w:iCs/>
                <w:sz w:val="19"/>
                <w:szCs w:val="19"/>
              </w:rPr>
              <w:t xml:space="preserve">[…] if changes in patients' </w:t>
            </w:r>
            <w:proofErr w:type="spellStart"/>
            <w:r w:rsidRPr="00C91F30">
              <w:rPr>
                <w:i/>
                <w:iCs/>
                <w:sz w:val="19"/>
                <w:szCs w:val="19"/>
              </w:rPr>
              <w:t>HRQoL</w:t>
            </w:r>
            <w:proofErr w:type="spellEnd"/>
            <w:r w:rsidRPr="00C91F30">
              <w:rPr>
                <w:i/>
                <w:iCs/>
                <w:sz w:val="19"/>
                <w:szCs w:val="19"/>
              </w:rPr>
              <w:t xml:space="preserve"> are estimated by the patients themselves </w:t>
            </w:r>
          </w:p>
        </w:tc>
      </w:tr>
      <w:tr w:rsidR="005B3A39" w:rsidRPr="00C91F30" w14:paraId="370ACAA7" w14:textId="77777777" w:rsidTr="00796324">
        <w:trPr>
          <w:trHeight w:val="696"/>
        </w:trPr>
        <w:tc>
          <w:tcPr>
            <w:tcW w:w="2127" w:type="dxa"/>
            <w:vMerge/>
            <w:noWrap/>
            <w:vAlign w:val="center"/>
          </w:tcPr>
          <w:p w14:paraId="7E957B20" w14:textId="77777777" w:rsidR="005B3A39" w:rsidRPr="00C91F30" w:rsidRDefault="005B3A39" w:rsidP="00FC131F">
            <w:pPr>
              <w:rPr>
                <w:sz w:val="20"/>
                <w:szCs w:val="20"/>
              </w:rPr>
            </w:pPr>
          </w:p>
        </w:tc>
        <w:tc>
          <w:tcPr>
            <w:tcW w:w="1134" w:type="dxa"/>
            <w:tcBorders>
              <w:top w:val="nil"/>
              <w:bottom w:val="nil"/>
              <w:right w:val="nil"/>
            </w:tcBorders>
            <w:vAlign w:val="center"/>
          </w:tcPr>
          <w:p w14:paraId="47A175CF" w14:textId="58D9D532" w:rsidR="005B3A39" w:rsidRPr="00C91F30" w:rsidRDefault="005B3A39" w:rsidP="00FC131F">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1831515B" w14:textId="070BA439" w:rsidR="005B3A39" w:rsidRPr="00C91F30" w:rsidRDefault="005B3A39" w:rsidP="00FC131F">
            <w:pPr>
              <w:rPr>
                <w:i/>
                <w:iCs/>
                <w:sz w:val="19"/>
                <w:szCs w:val="19"/>
              </w:rPr>
            </w:pPr>
            <w:r w:rsidRPr="00C91F30">
              <w:rPr>
                <w:i/>
                <w:iCs/>
                <w:sz w:val="19"/>
                <w:szCs w:val="19"/>
              </w:rPr>
              <w:t xml:space="preserve">[…] if estimates of patients' </w:t>
            </w:r>
            <w:proofErr w:type="spellStart"/>
            <w:r w:rsidRPr="00C91F30">
              <w:rPr>
                <w:i/>
                <w:iCs/>
                <w:sz w:val="19"/>
                <w:szCs w:val="19"/>
              </w:rPr>
              <w:t>HRQoL</w:t>
            </w:r>
            <w:proofErr w:type="spellEnd"/>
            <w:r w:rsidRPr="00C91F30">
              <w:rPr>
                <w:i/>
                <w:iCs/>
                <w:sz w:val="19"/>
                <w:szCs w:val="19"/>
              </w:rPr>
              <w:t xml:space="preserve"> are provided by carers. </w:t>
            </w:r>
          </w:p>
        </w:tc>
      </w:tr>
      <w:tr w:rsidR="005B3A39" w:rsidRPr="00C91F30" w14:paraId="6819FCAC" w14:textId="77777777" w:rsidTr="00796324">
        <w:trPr>
          <w:trHeight w:val="696"/>
        </w:trPr>
        <w:tc>
          <w:tcPr>
            <w:tcW w:w="2127" w:type="dxa"/>
            <w:vMerge/>
            <w:noWrap/>
            <w:vAlign w:val="center"/>
          </w:tcPr>
          <w:p w14:paraId="340D4428" w14:textId="77777777" w:rsidR="005B3A39" w:rsidRPr="00C91F30" w:rsidRDefault="005B3A39" w:rsidP="00FC131F">
            <w:pPr>
              <w:rPr>
                <w:sz w:val="20"/>
                <w:szCs w:val="20"/>
              </w:rPr>
            </w:pPr>
          </w:p>
        </w:tc>
        <w:tc>
          <w:tcPr>
            <w:tcW w:w="1134" w:type="dxa"/>
            <w:tcBorders>
              <w:top w:val="nil"/>
              <w:bottom w:val="nil"/>
              <w:right w:val="nil"/>
            </w:tcBorders>
            <w:vAlign w:val="center"/>
          </w:tcPr>
          <w:p w14:paraId="7BFC840D" w14:textId="54E67D77" w:rsidR="005B3A39" w:rsidRPr="00C91F30" w:rsidRDefault="005B3A39" w:rsidP="00FC131F">
            <w:pPr>
              <w:jc w:val="center"/>
              <w:rPr>
                <w:i/>
                <w:iCs/>
                <w:sz w:val="19"/>
                <w:szCs w:val="19"/>
              </w:rPr>
            </w:pPr>
            <w:r w:rsidRPr="00C91F30">
              <w:rPr>
                <w:i/>
                <w:iCs/>
                <w:sz w:val="19"/>
                <w:szCs w:val="19"/>
              </w:rPr>
              <w:t>No</w:t>
            </w:r>
          </w:p>
        </w:tc>
        <w:tc>
          <w:tcPr>
            <w:tcW w:w="6662" w:type="dxa"/>
            <w:tcBorders>
              <w:top w:val="nil"/>
              <w:left w:val="nil"/>
              <w:bottom w:val="nil"/>
            </w:tcBorders>
            <w:vAlign w:val="center"/>
          </w:tcPr>
          <w:p w14:paraId="2162D88A" w14:textId="398017B8" w:rsidR="005B3A39" w:rsidRPr="00C91F30" w:rsidRDefault="005B3A39" w:rsidP="00FC131F">
            <w:pPr>
              <w:rPr>
                <w:i/>
                <w:iCs/>
                <w:sz w:val="19"/>
                <w:szCs w:val="19"/>
              </w:rPr>
            </w:pPr>
            <w:r w:rsidRPr="00C91F30">
              <w:rPr>
                <w:i/>
                <w:iCs/>
                <w:sz w:val="19"/>
                <w:szCs w:val="19"/>
              </w:rPr>
              <w:t>[…] if estimates come from healthcare professionals or researchers […]</w:t>
            </w:r>
          </w:p>
        </w:tc>
      </w:tr>
      <w:tr w:rsidR="005B3A39" w:rsidRPr="00C91F30" w14:paraId="110047E4" w14:textId="77777777" w:rsidTr="00796324">
        <w:trPr>
          <w:trHeight w:val="696"/>
        </w:trPr>
        <w:tc>
          <w:tcPr>
            <w:tcW w:w="2127" w:type="dxa"/>
            <w:vMerge/>
            <w:noWrap/>
            <w:vAlign w:val="center"/>
          </w:tcPr>
          <w:p w14:paraId="1140FFE9" w14:textId="77777777" w:rsidR="005B3A39" w:rsidRPr="00C91F30" w:rsidRDefault="005B3A39" w:rsidP="005B3A39">
            <w:pPr>
              <w:rPr>
                <w:sz w:val="20"/>
                <w:szCs w:val="20"/>
              </w:rPr>
            </w:pPr>
          </w:p>
        </w:tc>
        <w:tc>
          <w:tcPr>
            <w:tcW w:w="1134" w:type="dxa"/>
            <w:tcBorders>
              <w:top w:val="nil"/>
              <w:bottom w:val="single" w:sz="4" w:space="0" w:color="auto"/>
              <w:right w:val="nil"/>
            </w:tcBorders>
            <w:vAlign w:val="center"/>
          </w:tcPr>
          <w:p w14:paraId="05A64625" w14:textId="29682DCD" w:rsidR="005B3A39" w:rsidRPr="00C91F30" w:rsidRDefault="005B3A39" w:rsidP="005B3A39">
            <w:pPr>
              <w:jc w:val="center"/>
              <w:rPr>
                <w:i/>
                <w:iCs/>
                <w:sz w:val="19"/>
                <w:szCs w:val="19"/>
              </w:rPr>
            </w:pPr>
            <w:r w:rsidRPr="00C91F30">
              <w:rPr>
                <w:i/>
                <w:iCs/>
                <w:sz w:val="19"/>
                <w:szCs w:val="19"/>
              </w:rPr>
              <w:t>NA</w:t>
            </w:r>
          </w:p>
        </w:tc>
        <w:tc>
          <w:tcPr>
            <w:tcW w:w="6662" w:type="dxa"/>
            <w:tcBorders>
              <w:top w:val="nil"/>
              <w:left w:val="nil"/>
              <w:bottom w:val="single" w:sz="4" w:space="0" w:color="auto"/>
            </w:tcBorders>
            <w:vAlign w:val="center"/>
          </w:tcPr>
          <w:p w14:paraId="56DDAB45" w14:textId="1DA0D874" w:rsidR="005B3A39" w:rsidRPr="00C91F30" w:rsidRDefault="005B3A39" w:rsidP="005B3A39">
            <w:pPr>
              <w:rPr>
                <w:i/>
                <w:iCs/>
                <w:sz w:val="19"/>
                <w:szCs w:val="19"/>
              </w:rPr>
            </w:pPr>
            <w:r w:rsidRPr="00C91F30">
              <w:rPr>
                <w:i/>
                <w:iCs/>
                <w:sz w:val="19"/>
                <w:szCs w:val="19"/>
              </w:rPr>
              <w:t xml:space="preserve">[…] if the cost-effectiveness study does not include estimates of </w:t>
            </w:r>
            <w:proofErr w:type="spellStart"/>
            <w:r w:rsidRPr="00C91F30">
              <w:rPr>
                <w:i/>
                <w:iCs/>
                <w:sz w:val="19"/>
                <w:szCs w:val="19"/>
              </w:rPr>
              <w:t>HRQoL</w:t>
            </w:r>
            <w:proofErr w:type="spellEnd"/>
            <w:r w:rsidRPr="00C91F30">
              <w:rPr>
                <w:i/>
                <w:iCs/>
                <w:sz w:val="19"/>
                <w:szCs w:val="19"/>
              </w:rPr>
              <w:t xml:space="preserve"> (for example, studies reporting 'cost per life year gained' or cost-minimisation studies).</w:t>
            </w:r>
          </w:p>
        </w:tc>
      </w:tr>
      <w:tr w:rsidR="00302EA9" w:rsidRPr="00C91F30" w14:paraId="537A8319" w14:textId="77777777" w:rsidTr="00796324">
        <w:trPr>
          <w:trHeight w:val="464"/>
        </w:trPr>
        <w:tc>
          <w:tcPr>
            <w:tcW w:w="2127" w:type="dxa"/>
            <w:vMerge w:val="restart"/>
            <w:noWrap/>
            <w:vAlign w:val="center"/>
            <w:hideMark/>
          </w:tcPr>
          <w:p w14:paraId="157DC37F" w14:textId="2780BD5D" w:rsidR="00302EA9" w:rsidRPr="00C91F30" w:rsidRDefault="00302EA9" w:rsidP="005B3A39">
            <w:pPr>
              <w:rPr>
                <w:sz w:val="20"/>
                <w:szCs w:val="20"/>
              </w:rPr>
            </w:pPr>
            <w:r w:rsidRPr="00C91F30">
              <w:rPr>
                <w:sz w:val="20"/>
                <w:szCs w:val="20"/>
              </w:rPr>
              <w:t>#9 Valuation of health utilities</w:t>
            </w:r>
          </w:p>
          <w:p w14:paraId="14C19384" w14:textId="77777777" w:rsidR="00302EA9" w:rsidRPr="00C91F30" w:rsidRDefault="00302EA9" w:rsidP="005B3A39">
            <w:pPr>
              <w:rPr>
                <w:sz w:val="18"/>
                <w:szCs w:val="20"/>
              </w:rPr>
            </w:pPr>
          </w:p>
          <w:p w14:paraId="6144E127" w14:textId="6B3F9E68" w:rsidR="00302EA9" w:rsidRPr="00C91F30" w:rsidRDefault="00302EA9" w:rsidP="005B3A39">
            <w:pPr>
              <w:rPr>
                <w:sz w:val="19"/>
                <w:szCs w:val="19"/>
              </w:rPr>
            </w:pPr>
            <w:r w:rsidRPr="00C91F30">
              <w:rPr>
                <w:sz w:val="19"/>
                <w:szCs w:val="19"/>
              </w:rPr>
              <w:t>(</w:t>
            </w:r>
            <w:r w:rsidRPr="00C91F30">
              <w:rPr>
                <w:i/>
                <w:sz w:val="19"/>
                <w:szCs w:val="19"/>
              </w:rPr>
              <w:t xml:space="preserve">Is the valuation of changes in </w:t>
            </w:r>
            <w:proofErr w:type="spellStart"/>
            <w:r w:rsidRPr="00C91F30">
              <w:rPr>
                <w:i/>
                <w:sz w:val="19"/>
                <w:szCs w:val="19"/>
              </w:rPr>
              <w:t>HRQoL</w:t>
            </w:r>
            <w:proofErr w:type="spellEnd"/>
            <w:r w:rsidRPr="00C91F30">
              <w:rPr>
                <w:i/>
                <w:sz w:val="19"/>
                <w:szCs w:val="19"/>
              </w:rPr>
              <w:t xml:space="preserve"> (utilities) obtained from a representative sample of the general public?</w:t>
            </w:r>
            <w:r w:rsidRPr="00C91F30">
              <w:rPr>
                <w:sz w:val="19"/>
                <w:szCs w:val="19"/>
              </w:rPr>
              <w:t>)</w:t>
            </w:r>
          </w:p>
        </w:tc>
        <w:tc>
          <w:tcPr>
            <w:tcW w:w="1134" w:type="dxa"/>
            <w:tcBorders>
              <w:bottom w:val="nil"/>
              <w:right w:val="nil"/>
            </w:tcBorders>
            <w:vAlign w:val="center"/>
          </w:tcPr>
          <w:p w14:paraId="5E343A22" w14:textId="75AD99D6" w:rsidR="00302EA9" w:rsidRPr="00C91F30" w:rsidRDefault="00302EA9" w:rsidP="00302EA9">
            <w:pPr>
              <w:jc w:val="center"/>
              <w:rPr>
                <w:i/>
                <w:iCs/>
                <w:sz w:val="19"/>
                <w:szCs w:val="19"/>
              </w:rPr>
            </w:pPr>
            <w:r w:rsidRPr="00C91F30">
              <w:rPr>
                <w:i/>
                <w:iCs/>
                <w:sz w:val="19"/>
                <w:szCs w:val="19"/>
              </w:rPr>
              <w:t>Yes</w:t>
            </w:r>
          </w:p>
        </w:tc>
        <w:tc>
          <w:tcPr>
            <w:tcW w:w="6662" w:type="dxa"/>
            <w:tcBorders>
              <w:left w:val="nil"/>
              <w:bottom w:val="nil"/>
            </w:tcBorders>
            <w:vAlign w:val="center"/>
          </w:tcPr>
          <w:p w14:paraId="2A7E89D5" w14:textId="75B4118A" w:rsidR="00302EA9" w:rsidRPr="00C91F30" w:rsidRDefault="00302EA9" w:rsidP="00302EA9">
            <w:pPr>
              <w:rPr>
                <w:i/>
                <w:iCs/>
                <w:sz w:val="19"/>
                <w:szCs w:val="19"/>
              </w:rPr>
            </w:pPr>
            <w:r w:rsidRPr="00C91F30">
              <w:rPr>
                <w:i/>
                <w:iCs/>
                <w:sz w:val="19"/>
                <w:szCs w:val="19"/>
              </w:rPr>
              <w:t xml:space="preserve">[…] if </w:t>
            </w:r>
            <w:proofErr w:type="spellStart"/>
            <w:r w:rsidRPr="00C91F30">
              <w:rPr>
                <w:i/>
                <w:iCs/>
                <w:sz w:val="19"/>
                <w:szCs w:val="19"/>
              </w:rPr>
              <w:t>HRQoL</w:t>
            </w:r>
            <w:proofErr w:type="spellEnd"/>
            <w:r w:rsidRPr="00C91F30">
              <w:rPr>
                <w:i/>
                <w:iCs/>
                <w:sz w:val="19"/>
                <w:szCs w:val="19"/>
              </w:rPr>
              <w:t xml:space="preserve"> valuations were obtained using the EQ-5D UK tariff</w:t>
            </w:r>
          </w:p>
        </w:tc>
      </w:tr>
      <w:tr w:rsidR="00302EA9" w:rsidRPr="00C91F30" w14:paraId="63D6C438" w14:textId="77777777" w:rsidTr="00796324">
        <w:trPr>
          <w:trHeight w:val="464"/>
        </w:trPr>
        <w:tc>
          <w:tcPr>
            <w:tcW w:w="2127" w:type="dxa"/>
            <w:vMerge/>
            <w:noWrap/>
            <w:vAlign w:val="center"/>
          </w:tcPr>
          <w:p w14:paraId="6CD93C79" w14:textId="77777777" w:rsidR="00302EA9" w:rsidRPr="00C91F30" w:rsidRDefault="00302EA9" w:rsidP="005B3A39">
            <w:pPr>
              <w:rPr>
                <w:sz w:val="20"/>
                <w:szCs w:val="20"/>
              </w:rPr>
            </w:pPr>
          </w:p>
        </w:tc>
        <w:tc>
          <w:tcPr>
            <w:tcW w:w="1134" w:type="dxa"/>
            <w:tcBorders>
              <w:top w:val="nil"/>
              <w:bottom w:val="nil"/>
              <w:right w:val="nil"/>
            </w:tcBorders>
            <w:vAlign w:val="center"/>
          </w:tcPr>
          <w:p w14:paraId="64F1DECC" w14:textId="7E7A0318" w:rsidR="00302EA9" w:rsidRPr="00C91F30" w:rsidRDefault="00302EA9" w:rsidP="00302EA9">
            <w:pPr>
              <w:jc w:val="center"/>
              <w:rPr>
                <w:i/>
                <w:iCs/>
                <w:sz w:val="19"/>
                <w:szCs w:val="19"/>
              </w:rPr>
            </w:pPr>
            <w:r w:rsidRPr="00C91F30">
              <w:rPr>
                <w:i/>
                <w:iCs/>
                <w:sz w:val="19"/>
                <w:szCs w:val="19"/>
              </w:rPr>
              <w:t>Partly</w:t>
            </w:r>
          </w:p>
        </w:tc>
        <w:tc>
          <w:tcPr>
            <w:tcW w:w="6662" w:type="dxa"/>
            <w:tcBorders>
              <w:top w:val="nil"/>
              <w:left w:val="nil"/>
              <w:bottom w:val="nil"/>
            </w:tcBorders>
            <w:vAlign w:val="center"/>
          </w:tcPr>
          <w:p w14:paraId="2DFD273B" w14:textId="18DDEF85" w:rsidR="00302EA9" w:rsidRPr="00C91F30" w:rsidRDefault="00302EA9" w:rsidP="00302EA9">
            <w:pPr>
              <w:rPr>
                <w:sz w:val="20"/>
                <w:szCs w:val="20"/>
              </w:rPr>
            </w:pPr>
            <w:r w:rsidRPr="00C91F30">
              <w:rPr>
                <w:i/>
                <w:iCs/>
                <w:sz w:val="19"/>
                <w:szCs w:val="19"/>
              </w:rPr>
              <w:t>[…] if the valuation methods were comparable to those used for the EQ-5D.</w:t>
            </w:r>
          </w:p>
        </w:tc>
      </w:tr>
      <w:tr w:rsidR="00302EA9" w:rsidRPr="00C91F30" w14:paraId="480ABE6D" w14:textId="77777777" w:rsidTr="00796324">
        <w:trPr>
          <w:trHeight w:val="464"/>
        </w:trPr>
        <w:tc>
          <w:tcPr>
            <w:tcW w:w="2127" w:type="dxa"/>
            <w:vMerge/>
            <w:noWrap/>
            <w:vAlign w:val="center"/>
          </w:tcPr>
          <w:p w14:paraId="3C6F7C4D" w14:textId="77777777" w:rsidR="00302EA9" w:rsidRPr="00C91F30" w:rsidRDefault="00302EA9" w:rsidP="005B3A39">
            <w:pPr>
              <w:rPr>
                <w:sz w:val="20"/>
                <w:szCs w:val="20"/>
              </w:rPr>
            </w:pPr>
          </w:p>
        </w:tc>
        <w:tc>
          <w:tcPr>
            <w:tcW w:w="1134" w:type="dxa"/>
            <w:tcBorders>
              <w:top w:val="nil"/>
              <w:bottom w:val="nil"/>
              <w:right w:val="nil"/>
            </w:tcBorders>
            <w:vAlign w:val="center"/>
          </w:tcPr>
          <w:p w14:paraId="1C0079EE" w14:textId="775795EB" w:rsidR="00302EA9" w:rsidRPr="00C91F30" w:rsidRDefault="00302EA9" w:rsidP="00302EA9">
            <w:pPr>
              <w:jc w:val="center"/>
              <w:rPr>
                <w:i/>
                <w:iCs/>
                <w:sz w:val="19"/>
                <w:szCs w:val="19"/>
              </w:rPr>
            </w:pPr>
            <w:r w:rsidRPr="00C91F30">
              <w:rPr>
                <w:i/>
                <w:iCs/>
                <w:sz w:val="19"/>
                <w:szCs w:val="19"/>
              </w:rPr>
              <w:t>No</w:t>
            </w:r>
          </w:p>
        </w:tc>
        <w:tc>
          <w:tcPr>
            <w:tcW w:w="6662" w:type="dxa"/>
            <w:tcBorders>
              <w:top w:val="nil"/>
              <w:left w:val="nil"/>
              <w:bottom w:val="nil"/>
            </w:tcBorders>
            <w:vAlign w:val="center"/>
          </w:tcPr>
          <w:p w14:paraId="59525EC6" w14:textId="153A73D2" w:rsidR="00302EA9" w:rsidRPr="00C91F30" w:rsidRDefault="00302EA9" w:rsidP="00302EA9">
            <w:pPr>
              <w:rPr>
                <w:sz w:val="20"/>
                <w:szCs w:val="20"/>
              </w:rPr>
            </w:pPr>
            <w:r w:rsidRPr="00C91F30">
              <w:rPr>
                <w:i/>
                <w:iCs/>
                <w:sz w:val="19"/>
                <w:szCs w:val="19"/>
              </w:rPr>
              <w:t>[…] if other valuation methods were used.</w:t>
            </w:r>
          </w:p>
        </w:tc>
      </w:tr>
      <w:tr w:rsidR="00302EA9" w:rsidRPr="00C91F30" w14:paraId="5AB47C0C" w14:textId="77777777" w:rsidTr="00796324">
        <w:trPr>
          <w:trHeight w:val="464"/>
        </w:trPr>
        <w:tc>
          <w:tcPr>
            <w:tcW w:w="2127" w:type="dxa"/>
            <w:vMerge/>
            <w:noWrap/>
            <w:vAlign w:val="center"/>
          </w:tcPr>
          <w:p w14:paraId="6F00CFC5" w14:textId="77777777" w:rsidR="00302EA9" w:rsidRPr="00C91F30" w:rsidRDefault="00302EA9" w:rsidP="005B3A39">
            <w:pPr>
              <w:rPr>
                <w:sz w:val="20"/>
                <w:szCs w:val="20"/>
              </w:rPr>
            </w:pPr>
          </w:p>
        </w:tc>
        <w:tc>
          <w:tcPr>
            <w:tcW w:w="1134" w:type="dxa"/>
            <w:tcBorders>
              <w:top w:val="nil"/>
              <w:right w:val="nil"/>
            </w:tcBorders>
            <w:vAlign w:val="center"/>
          </w:tcPr>
          <w:p w14:paraId="0D2FBBC5" w14:textId="38A1E294" w:rsidR="00302EA9" w:rsidRPr="00C91F30" w:rsidRDefault="00302EA9" w:rsidP="00302EA9">
            <w:pPr>
              <w:jc w:val="center"/>
              <w:rPr>
                <w:i/>
                <w:iCs/>
                <w:sz w:val="19"/>
                <w:szCs w:val="19"/>
              </w:rPr>
            </w:pPr>
            <w:r w:rsidRPr="00C91F30">
              <w:rPr>
                <w:i/>
                <w:iCs/>
                <w:sz w:val="19"/>
                <w:szCs w:val="19"/>
              </w:rPr>
              <w:t>NA</w:t>
            </w:r>
          </w:p>
        </w:tc>
        <w:tc>
          <w:tcPr>
            <w:tcW w:w="6662" w:type="dxa"/>
            <w:tcBorders>
              <w:top w:val="nil"/>
              <w:left w:val="nil"/>
            </w:tcBorders>
            <w:vAlign w:val="center"/>
          </w:tcPr>
          <w:p w14:paraId="7B432A23" w14:textId="3C97712F" w:rsidR="00302EA9" w:rsidRPr="00C91F30" w:rsidRDefault="00302EA9" w:rsidP="00302EA9">
            <w:pPr>
              <w:rPr>
                <w:i/>
                <w:iCs/>
                <w:sz w:val="19"/>
                <w:szCs w:val="19"/>
              </w:rPr>
            </w:pPr>
            <w:r w:rsidRPr="00C91F30">
              <w:rPr>
                <w:i/>
                <w:iCs/>
                <w:sz w:val="19"/>
                <w:szCs w:val="19"/>
              </w:rPr>
              <w:t xml:space="preserve">[…] if the study does not apply valuations to </w:t>
            </w:r>
            <w:proofErr w:type="spellStart"/>
            <w:r w:rsidRPr="00C91F30">
              <w:rPr>
                <w:i/>
                <w:iCs/>
                <w:sz w:val="19"/>
                <w:szCs w:val="19"/>
              </w:rPr>
              <w:t>HRQoL</w:t>
            </w:r>
            <w:proofErr w:type="spellEnd"/>
            <w:r w:rsidRPr="00C91F30">
              <w:rPr>
                <w:i/>
                <w:iCs/>
                <w:sz w:val="19"/>
                <w:szCs w:val="19"/>
              </w:rPr>
              <w:t xml:space="preserve"> (for studies not reporting QALYs) […]</w:t>
            </w:r>
          </w:p>
        </w:tc>
      </w:tr>
      <w:tr w:rsidR="005B3A39" w:rsidRPr="00C91F30" w14:paraId="54924701" w14:textId="77777777" w:rsidTr="00796324">
        <w:trPr>
          <w:trHeight w:val="20"/>
        </w:trPr>
        <w:tc>
          <w:tcPr>
            <w:tcW w:w="2127" w:type="dxa"/>
            <w:noWrap/>
            <w:vAlign w:val="center"/>
            <w:hideMark/>
          </w:tcPr>
          <w:p w14:paraId="01C8370C" w14:textId="77777777" w:rsidR="005B3A39" w:rsidRPr="00C91F30" w:rsidRDefault="005B3A39" w:rsidP="005B3A39">
            <w:pPr>
              <w:rPr>
                <w:sz w:val="20"/>
                <w:szCs w:val="20"/>
              </w:rPr>
            </w:pPr>
            <w:r w:rsidRPr="00C91F30">
              <w:rPr>
                <w:sz w:val="20"/>
                <w:szCs w:val="20"/>
              </w:rPr>
              <w:t>Overall assessment</w:t>
            </w:r>
          </w:p>
        </w:tc>
        <w:tc>
          <w:tcPr>
            <w:tcW w:w="7796" w:type="dxa"/>
            <w:gridSpan w:val="2"/>
            <w:vAlign w:val="center"/>
            <w:hideMark/>
          </w:tcPr>
          <w:p w14:paraId="5D67DACD" w14:textId="6ED69E0F" w:rsidR="005B3A39" w:rsidRPr="00C91F30" w:rsidRDefault="005B3A39" w:rsidP="005B3A39">
            <w:pPr>
              <w:rPr>
                <w:sz w:val="20"/>
                <w:szCs w:val="20"/>
              </w:rPr>
            </w:pPr>
            <w:r w:rsidRPr="00C91F30">
              <w:rPr>
                <w:sz w:val="20"/>
                <w:szCs w:val="20"/>
              </w:rPr>
              <w:t xml:space="preserve">1. </w:t>
            </w:r>
            <w:r w:rsidRPr="00C91F30">
              <w:rPr>
                <w:b/>
                <w:bCs/>
                <w:sz w:val="20"/>
                <w:szCs w:val="20"/>
              </w:rPr>
              <w:t>Directly applicable</w:t>
            </w:r>
            <w:r w:rsidR="00302EA9" w:rsidRPr="00C91F30">
              <w:rPr>
                <w:sz w:val="20"/>
                <w:szCs w:val="20"/>
              </w:rPr>
              <w:t>:</w:t>
            </w:r>
            <w:r w:rsidRPr="00C91F30">
              <w:rPr>
                <w:sz w:val="20"/>
                <w:szCs w:val="20"/>
              </w:rPr>
              <w:t xml:space="preserve"> the study meets all applicability </w:t>
            </w:r>
            <w:proofErr w:type="gramStart"/>
            <w:r w:rsidRPr="00C91F30">
              <w:rPr>
                <w:sz w:val="20"/>
                <w:szCs w:val="20"/>
              </w:rPr>
              <w:t>criteria, or</w:t>
            </w:r>
            <w:proofErr w:type="gramEnd"/>
            <w:r w:rsidRPr="00C91F30">
              <w:rPr>
                <w:sz w:val="20"/>
                <w:szCs w:val="20"/>
              </w:rPr>
              <w:t xml:space="preserve"> fails to meet one or more applicability criteria but this is unlikely to change the conclusions about cost effectiveness.</w:t>
            </w:r>
            <w:r w:rsidRPr="00C91F30">
              <w:rPr>
                <w:sz w:val="20"/>
                <w:szCs w:val="20"/>
              </w:rPr>
              <w:br/>
              <w:t xml:space="preserve">2. </w:t>
            </w:r>
            <w:r w:rsidRPr="00C91F30">
              <w:rPr>
                <w:b/>
                <w:bCs/>
                <w:sz w:val="20"/>
                <w:szCs w:val="20"/>
              </w:rPr>
              <w:t>Partially applicable</w:t>
            </w:r>
            <w:r w:rsidR="00302EA9" w:rsidRPr="00C91F30">
              <w:rPr>
                <w:sz w:val="20"/>
                <w:szCs w:val="20"/>
              </w:rPr>
              <w:t>:</w:t>
            </w:r>
            <w:r w:rsidRPr="00C91F30">
              <w:rPr>
                <w:sz w:val="20"/>
                <w:szCs w:val="20"/>
              </w:rPr>
              <w:t xml:space="preserve"> the study fails to meet one or more applicability criteria, and this could change the conclusions about cost effectiveness. </w:t>
            </w:r>
          </w:p>
          <w:p w14:paraId="78F470A4" w14:textId="0D34D4CD" w:rsidR="005B3A39" w:rsidRPr="00C91F30" w:rsidRDefault="005B3A39" w:rsidP="005B3A39">
            <w:pPr>
              <w:rPr>
                <w:sz w:val="20"/>
                <w:szCs w:val="20"/>
              </w:rPr>
            </w:pPr>
            <w:r w:rsidRPr="00C91F30">
              <w:rPr>
                <w:sz w:val="20"/>
                <w:szCs w:val="20"/>
              </w:rPr>
              <w:t xml:space="preserve">3. </w:t>
            </w:r>
            <w:r w:rsidRPr="00C91F30">
              <w:rPr>
                <w:b/>
                <w:bCs/>
                <w:sz w:val="20"/>
                <w:szCs w:val="20"/>
              </w:rPr>
              <w:t>Not applicable</w:t>
            </w:r>
            <w:r w:rsidR="00302EA9" w:rsidRPr="00C91F30">
              <w:rPr>
                <w:sz w:val="20"/>
                <w:szCs w:val="20"/>
              </w:rPr>
              <w:t>:</w:t>
            </w:r>
            <w:r w:rsidRPr="00C91F30">
              <w:rPr>
                <w:sz w:val="20"/>
                <w:szCs w:val="20"/>
              </w:rPr>
              <w:t xml:space="preserve"> the study fails to meet one or more applicability criteria, and this is likely to change the conclusions about cost effectiveness. Such studies would usually be excluded from further consideration and there is no need to continue with the rest of the checklist.</w:t>
            </w:r>
          </w:p>
        </w:tc>
      </w:tr>
    </w:tbl>
    <w:p w14:paraId="0ABAD2D9" w14:textId="77777777" w:rsidR="00D757B4" w:rsidRPr="00C91F30" w:rsidRDefault="00D757B4" w:rsidP="00D757B4">
      <w:r w:rsidRPr="00C91F30">
        <w:t xml:space="preserve">1 </w:t>
      </w:r>
      <w:hyperlink r:id="rId10" w:anchor="notes-on-use-of-methodology-checklist-economic-evaluations" w:history="1">
        <w:r w:rsidRPr="00C91F30">
          <w:rPr>
            <w:rStyle w:val="Collegamentoipertestuale"/>
          </w:rPr>
          <w:t>https://www.nice.org.uk/process/pmg6/resources/the-guidelines-manual-appendices-bi-2549703709/chapter/appendix-g-methodology-checklist-economic-evaluations#notes-on-use-of-methodology-checklist-economic-evaluations</w:t>
        </w:r>
      </w:hyperlink>
    </w:p>
    <w:p w14:paraId="3C378E5F" w14:textId="77777777" w:rsidR="00D757B4" w:rsidRPr="00C91F30" w:rsidRDefault="00D757B4" w:rsidP="00D757B4">
      <w:pPr>
        <w:rPr>
          <w:lang w:val="en-US"/>
        </w:rPr>
        <w:sectPr w:rsidR="00D757B4" w:rsidRPr="00C91F30">
          <w:pgSz w:w="11906" w:h="16838"/>
          <w:pgMar w:top="1440" w:right="1440" w:bottom="1440" w:left="1440" w:header="708" w:footer="708" w:gutter="0"/>
          <w:cols w:space="708"/>
          <w:docGrid w:linePitch="360"/>
        </w:sectPr>
      </w:pPr>
      <w:r w:rsidRPr="00C91F30">
        <w:rPr>
          <w:lang w:val="en-US"/>
        </w:rPr>
        <w:br w:type="page"/>
      </w:r>
    </w:p>
    <w:p w14:paraId="3A5DAD8D" w14:textId="77777777" w:rsidR="00D757B4" w:rsidRPr="00C91F30" w:rsidRDefault="00D757B4" w:rsidP="00D757B4">
      <w:pPr>
        <w:rPr>
          <w:lang w:val="en-US"/>
        </w:rPr>
      </w:pPr>
    </w:p>
    <w:p w14:paraId="70999ADB" w14:textId="18C397B3" w:rsidR="003009B9" w:rsidRPr="00C91F30" w:rsidRDefault="003009B9" w:rsidP="003009B9">
      <w:pPr>
        <w:pStyle w:val="Titolo1"/>
        <w:rPr>
          <w:b/>
          <w:color w:val="auto"/>
          <w:sz w:val="24"/>
          <w:lang w:val="en-US"/>
        </w:rPr>
      </w:pPr>
      <w:bookmarkStart w:id="2" w:name="_Toc40455499"/>
      <w:r w:rsidRPr="00C91F30">
        <w:rPr>
          <w:b/>
          <w:color w:val="auto"/>
          <w:sz w:val="24"/>
          <w:lang w:val="en-US"/>
        </w:rPr>
        <w:t>1.</w:t>
      </w:r>
      <w:r w:rsidR="00D757B4" w:rsidRPr="00C91F30">
        <w:rPr>
          <w:b/>
          <w:color w:val="auto"/>
          <w:sz w:val="24"/>
          <w:lang w:val="en-US"/>
        </w:rPr>
        <w:t>3</w:t>
      </w:r>
      <w:r w:rsidRPr="00C91F30">
        <w:rPr>
          <w:b/>
          <w:color w:val="auto"/>
          <w:sz w:val="24"/>
          <w:lang w:val="en-US"/>
        </w:rPr>
        <w:t xml:space="preserve"> NICE Methodology checklist: scoring instruction</w:t>
      </w:r>
      <w:bookmarkEnd w:id="2"/>
    </w:p>
    <w:tbl>
      <w:tblPr>
        <w:tblStyle w:val="Grigliatabella"/>
        <w:tblW w:w="9923" w:type="dxa"/>
        <w:tblInd w:w="-289" w:type="dxa"/>
        <w:tblLook w:val="04A0" w:firstRow="1" w:lastRow="0" w:firstColumn="1" w:lastColumn="0" w:noHBand="0" w:noVBand="1"/>
      </w:tblPr>
      <w:tblGrid>
        <w:gridCol w:w="2127"/>
        <w:gridCol w:w="992"/>
        <w:gridCol w:w="6804"/>
      </w:tblGrid>
      <w:tr w:rsidR="00796324" w:rsidRPr="00C91F30" w14:paraId="6CA93AAF" w14:textId="77777777" w:rsidTr="00796324">
        <w:trPr>
          <w:trHeight w:val="285"/>
          <w:tblHeader/>
        </w:trPr>
        <w:tc>
          <w:tcPr>
            <w:tcW w:w="2127" w:type="dxa"/>
            <w:vMerge w:val="restart"/>
            <w:noWrap/>
            <w:vAlign w:val="center"/>
          </w:tcPr>
          <w:p w14:paraId="4FD6B406" w14:textId="77777777" w:rsidR="00796324" w:rsidRPr="00C91F30" w:rsidRDefault="00796324" w:rsidP="00796324">
            <w:pPr>
              <w:rPr>
                <w:b/>
                <w:sz w:val="20"/>
                <w:szCs w:val="20"/>
              </w:rPr>
            </w:pPr>
            <w:r w:rsidRPr="00C91F30">
              <w:rPr>
                <w:b/>
                <w:sz w:val="20"/>
                <w:szCs w:val="20"/>
              </w:rPr>
              <w:t>Quality item</w:t>
            </w:r>
          </w:p>
          <w:p w14:paraId="7AC53CBE" w14:textId="77777777" w:rsidR="00796324" w:rsidRPr="00C91F30" w:rsidRDefault="00796324" w:rsidP="00796324">
            <w:pPr>
              <w:rPr>
                <w:b/>
                <w:sz w:val="18"/>
                <w:szCs w:val="20"/>
              </w:rPr>
            </w:pPr>
          </w:p>
          <w:p w14:paraId="7BB83ACF" w14:textId="77777777" w:rsidR="00796324" w:rsidRPr="00C91F30" w:rsidRDefault="00796324" w:rsidP="00796324">
            <w:pPr>
              <w:rPr>
                <w:b/>
                <w:sz w:val="20"/>
                <w:szCs w:val="20"/>
              </w:rPr>
            </w:pPr>
            <w:r w:rsidRPr="00C91F30">
              <w:rPr>
                <w:b/>
                <w:sz w:val="18"/>
                <w:szCs w:val="20"/>
              </w:rPr>
              <w:t>(</w:t>
            </w:r>
            <w:r w:rsidRPr="00C91F30">
              <w:rPr>
                <w:b/>
                <w:i/>
                <w:sz w:val="18"/>
                <w:szCs w:val="20"/>
              </w:rPr>
              <w:t>Full question</w:t>
            </w:r>
            <w:r w:rsidRPr="00C91F30">
              <w:rPr>
                <w:b/>
                <w:sz w:val="18"/>
                <w:szCs w:val="20"/>
              </w:rPr>
              <w:t>)</w:t>
            </w:r>
          </w:p>
        </w:tc>
        <w:tc>
          <w:tcPr>
            <w:tcW w:w="7796" w:type="dxa"/>
            <w:gridSpan w:val="2"/>
            <w:tcBorders>
              <w:bottom w:val="nil"/>
            </w:tcBorders>
            <w:vAlign w:val="center"/>
          </w:tcPr>
          <w:p w14:paraId="65B505B7" w14:textId="7F1E3613" w:rsidR="00796324" w:rsidRPr="00C91F30" w:rsidRDefault="00796324" w:rsidP="00796324">
            <w:pPr>
              <w:jc w:val="center"/>
              <w:rPr>
                <w:b/>
                <w:sz w:val="20"/>
                <w:szCs w:val="20"/>
              </w:rPr>
            </w:pPr>
            <w:r w:rsidRPr="00C91F30">
              <w:rPr>
                <w:b/>
                <w:sz w:val="20"/>
                <w:szCs w:val="20"/>
              </w:rPr>
              <w:t>Scoring instructions</w:t>
            </w:r>
            <w:hyperlink r:id="rId11" w:anchor="notes-on-use-of-methodology-checklist-economic-evaluations" w:history="1">
              <w:r w:rsidRPr="00C91F30">
                <w:rPr>
                  <w:rStyle w:val="Collegamentoipertestuale"/>
                  <w:b/>
                  <w:szCs w:val="20"/>
                  <w:vertAlign w:val="superscript"/>
                </w:rPr>
                <w:t>1</w:t>
              </w:r>
            </w:hyperlink>
          </w:p>
        </w:tc>
      </w:tr>
      <w:tr w:rsidR="00796324" w:rsidRPr="00C91F30" w14:paraId="2A8BF558" w14:textId="77777777" w:rsidTr="00796324">
        <w:trPr>
          <w:trHeight w:val="285"/>
          <w:tblHeader/>
        </w:trPr>
        <w:tc>
          <w:tcPr>
            <w:tcW w:w="2127" w:type="dxa"/>
            <w:vMerge/>
            <w:noWrap/>
            <w:vAlign w:val="center"/>
          </w:tcPr>
          <w:p w14:paraId="6C21892A" w14:textId="77777777" w:rsidR="00796324" w:rsidRPr="00C91F30" w:rsidRDefault="00796324" w:rsidP="00796324">
            <w:pPr>
              <w:rPr>
                <w:b/>
                <w:sz w:val="20"/>
                <w:szCs w:val="20"/>
              </w:rPr>
            </w:pPr>
          </w:p>
        </w:tc>
        <w:tc>
          <w:tcPr>
            <w:tcW w:w="992" w:type="dxa"/>
            <w:tcBorders>
              <w:top w:val="nil"/>
              <w:bottom w:val="single" w:sz="4" w:space="0" w:color="auto"/>
              <w:right w:val="nil"/>
            </w:tcBorders>
            <w:vAlign w:val="center"/>
          </w:tcPr>
          <w:p w14:paraId="6618B94E" w14:textId="450D7468" w:rsidR="00796324" w:rsidRPr="00C91F30" w:rsidRDefault="00796324" w:rsidP="00796324">
            <w:pPr>
              <w:jc w:val="center"/>
              <w:rPr>
                <w:b/>
                <w:sz w:val="20"/>
                <w:szCs w:val="20"/>
              </w:rPr>
            </w:pPr>
            <w:r w:rsidRPr="00C91F30">
              <w:rPr>
                <w:b/>
                <w:i/>
                <w:iCs/>
                <w:sz w:val="18"/>
                <w:szCs w:val="18"/>
              </w:rPr>
              <w:t>Answer</w:t>
            </w:r>
          </w:p>
        </w:tc>
        <w:tc>
          <w:tcPr>
            <w:tcW w:w="6804" w:type="dxa"/>
            <w:tcBorders>
              <w:top w:val="nil"/>
              <w:left w:val="nil"/>
              <w:bottom w:val="single" w:sz="4" w:space="0" w:color="auto"/>
            </w:tcBorders>
            <w:vAlign w:val="center"/>
          </w:tcPr>
          <w:p w14:paraId="5D97FB2E" w14:textId="2386C568" w:rsidR="00796324" w:rsidRPr="00C91F30" w:rsidRDefault="00796324" w:rsidP="00796324">
            <w:pPr>
              <w:rPr>
                <w:b/>
                <w:sz w:val="20"/>
                <w:szCs w:val="20"/>
              </w:rPr>
            </w:pPr>
            <w:r w:rsidRPr="00C91F30">
              <w:rPr>
                <w:b/>
                <w:i/>
                <w:iCs/>
                <w:sz w:val="18"/>
                <w:szCs w:val="18"/>
              </w:rPr>
              <w:t>Instructions, quoted test (refer to “The guidelines manual” for full details</w:t>
            </w:r>
            <w:hyperlink r:id="rId12" w:anchor="notes-on-use-of-methodology-checklist-economic-evaluations" w:history="1">
              <w:r w:rsidRPr="00C91F30">
                <w:rPr>
                  <w:rStyle w:val="Collegamentoipertestuale"/>
                  <w:b/>
                  <w:i/>
                  <w:iCs/>
                  <w:sz w:val="18"/>
                  <w:szCs w:val="18"/>
                  <w:vertAlign w:val="superscript"/>
                </w:rPr>
                <w:t>1</w:t>
              </w:r>
            </w:hyperlink>
            <w:r w:rsidRPr="00C91F30">
              <w:rPr>
                <w:rStyle w:val="Collegamentoipertestuale"/>
                <w:b/>
                <w:color w:val="auto"/>
                <w:sz w:val="18"/>
                <w:szCs w:val="18"/>
                <w:u w:val="none"/>
              </w:rPr>
              <w:t>)</w:t>
            </w:r>
          </w:p>
        </w:tc>
      </w:tr>
      <w:tr w:rsidR="003205EB" w:rsidRPr="00C91F30" w14:paraId="51E6C02A" w14:textId="77777777" w:rsidTr="00796324">
        <w:trPr>
          <w:trHeight w:val="340"/>
        </w:trPr>
        <w:tc>
          <w:tcPr>
            <w:tcW w:w="2127" w:type="dxa"/>
            <w:vMerge w:val="restart"/>
            <w:noWrap/>
            <w:vAlign w:val="center"/>
            <w:hideMark/>
          </w:tcPr>
          <w:p w14:paraId="333D396C" w14:textId="25B43A5B" w:rsidR="003205EB" w:rsidRPr="00C91F30" w:rsidRDefault="003205EB" w:rsidP="003205EB">
            <w:pPr>
              <w:rPr>
                <w:sz w:val="20"/>
                <w:szCs w:val="20"/>
              </w:rPr>
            </w:pPr>
            <w:r w:rsidRPr="00C91F30">
              <w:rPr>
                <w:sz w:val="20"/>
                <w:szCs w:val="20"/>
              </w:rPr>
              <w:t>#1 Model structure</w:t>
            </w:r>
          </w:p>
          <w:p w14:paraId="4ED0A2CD" w14:textId="77777777" w:rsidR="003205EB" w:rsidRPr="00C91F30" w:rsidRDefault="003205EB" w:rsidP="003205EB">
            <w:pPr>
              <w:rPr>
                <w:sz w:val="18"/>
                <w:szCs w:val="20"/>
              </w:rPr>
            </w:pPr>
          </w:p>
          <w:p w14:paraId="35025FA6" w14:textId="77777777" w:rsidR="003205EB" w:rsidRPr="00C91F30" w:rsidRDefault="003205EB" w:rsidP="003205EB">
            <w:pPr>
              <w:rPr>
                <w:sz w:val="20"/>
                <w:szCs w:val="20"/>
              </w:rPr>
            </w:pPr>
            <w:r w:rsidRPr="00C91F30">
              <w:rPr>
                <w:sz w:val="18"/>
                <w:szCs w:val="20"/>
              </w:rPr>
              <w:t>(</w:t>
            </w:r>
            <w:r w:rsidRPr="00C91F30">
              <w:rPr>
                <w:i/>
                <w:sz w:val="18"/>
                <w:szCs w:val="20"/>
              </w:rPr>
              <w:t>Does the model structure adequately reflect the nature of the health condition under evaluation?</w:t>
            </w:r>
            <w:r w:rsidRPr="00C91F30">
              <w:rPr>
                <w:sz w:val="18"/>
                <w:szCs w:val="20"/>
              </w:rPr>
              <w:t>)</w:t>
            </w:r>
          </w:p>
        </w:tc>
        <w:tc>
          <w:tcPr>
            <w:tcW w:w="992" w:type="dxa"/>
            <w:tcBorders>
              <w:bottom w:val="nil"/>
              <w:right w:val="nil"/>
            </w:tcBorders>
            <w:vAlign w:val="center"/>
          </w:tcPr>
          <w:p w14:paraId="6C141CC2" w14:textId="3C7ECB1F"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371C4097" w14:textId="73B1D07B"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model design and assumptions appropriately reflect the condition and interventions of interest</w:t>
            </w:r>
          </w:p>
        </w:tc>
      </w:tr>
      <w:tr w:rsidR="003205EB" w:rsidRPr="00C91F30" w14:paraId="5CECC314" w14:textId="77777777" w:rsidTr="00796324">
        <w:trPr>
          <w:trHeight w:val="340"/>
        </w:trPr>
        <w:tc>
          <w:tcPr>
            <w:tcW w:w="2127" w:type="dxa"/>
            <w:vMerge/>
            <w:noWrap/>
            <w:vAlign w:val="center"/>
          </w:tcPr>
          <w:p w14:paraId="0436B7A6" w14:textId="77777777" w:rsidR="003205EB" w:rsidRPr="00C91F30" w:rsidRDefault="003205EB" w:rsidP="003205EB">
            <w:pPr>
              <w:rPr>
                <w:sz w:val="20"/>
                <w:szCs w:val="20"/>
              </w:rPr>
            </w:pPr>
          </w:p>
        </w:tc>
        <w:tc>
          <w:tcPr>
            <w:tcW w:w="992" w:type="dxa"/>
            <w:tcBorders>
              <w:top w:val="nil"/>
              <w:bottom w:val="nil"/>
              <w:right w:val="nil"/>
            </w:tcBorders>
            <w:vAlign w:val="center"/>
          </w:tcPr>
          <w:p w14:paraId="42301633" w14:textId="67434943"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49D07386" w14:textId="698DC514"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there are aspects of the model design or assumptions that do not fully reflect the condition or </w:t>
            </w:r>
            <w:proofErr w:type="gramStart"/>
            <w:r w:rsidR="003205EB" w:rsidRPr="00C91F30">
              <w:rPr>
                <w:i/>
                <w:iCs/>
                <w:sz w:val="19"/>
                <w:szCs w:val="19"/>
              </w:rPr>
              <w:t>interventions</w:t>
            </w:r>
            <w:proofErr w:type="gramEnd"/>
            <w:r w:rsidR="003205EB" w:rsidRPr="00C91F30">
              <w:rPr>
                <w:i/>
                <w:iCs/>
                <w:sz w:val="19"/>
                <w:szCs w:val="19"/>
              </w:rPr>
              <w:t xml:space="preserve"> but these are unlikely to change the cost-effectiveness results</w:t>
            </w:r>
          </w:p>
        </w:tc>
      </w:tr>
      <w:tr w:rsidR="003205EB" w:rsidRPr="00C91F30" w14:paraId="55756010" w14:textId="77777777" w:rsidTr="00796324">
        <w:trPr>
          <w:trHeight w:val="340"/>
        </w:trPr>
        <w:tc>
          <w:tcPr>
            <w:tcW w:w="2127" w:type="dxa"/>
            <w:vMerge/>
            <w:noWrap/>
            <w:vAlign w:val="center"/>
          </w:tcPr>
          <w:p w14:paraId="0204C996" w14:textId="77777777" w:rsidR="003205EB" w:rsidRPr="00C91F30" w:rsidRDefault="003205EB" w:rsidP="003205EB">
            <w:pPr>
              <w:rPr>
                <w:sz w:val="20"/>
                <w:szCs w:val="20"/>
              </w:rPr>
            </w:pPr>
          </w:p>
        </w:tc>
        <w:tc>
          <w:tcPr>
            <w:tcW w:w="992" w:type="dxa"/>
            <w:tcBorders>
              <w:top w:val="nil"/>
              <w:bottom w:val="nil"/>
              <w:right w:val="nil"/>
            </w:tcBorders>
            <w:vAlign w:val="center"/>
          </w:tcPr>
          <w:p w14:paraId="0CB62183" w14:textId="1B5E89DA"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nil"/>
            </w:tcBorders>
            <w:vAlign w:val="center"/>
          </w:tcPr>
          <w:p w14:paraId="423063E7" w14:textId="5072F7D9"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model omits some important aspect of the condition or intervention and this is likely to change the cost-effectiveness results</w:t>
            </w:r>
          </w:p>
        </w:tc>
      </w:tr>
      <w:tr w:rsidR="003205EB" w:rsidRPr="00C91F30" w14:paraId="28CE2BC3" w14:textId="77777777" w:rsidTr="00796324">
        <w:trPr>
          <w:trHeight w:val="340"/>
        </w:trPr>
        <w:tc>
          <w:tcPr>
            <w:tcW w:w="2127" w:type="dxa"/>
            <w:vMerge/>
            <w:noWrap/>
            <w:vAlign w:val="center"/>
          </w:tcPr>
          <w:p w14:paraId="12F3177D"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12D8C970" w14:textId="14DB2300" w:rsidR="003205EB" w:rsidRPr="00C91F30" w:rsidRDefault="003205EB" w:rsidP="00796324">
            <w:pPr>
              <w:jc w:val="center"/>
              <w:rPr>
                <w:i/>
                <w:iCs/>
                <w:sz w:val="20"/>
                <w:szCs w:val="20"/>
              </w:rPr>
            </w:pPr>
            <w:r w:rsidRPr="00C91F30">
              <w:rPr>
                <w:i/>
                <w:iCs/>
                <w:sz w:val="19"/>
                <w:szCs w:val="19"/>
              </w:rPr>
              <w:t>NA</w:t>
            </w:r>
          </w:p>
        </w:tc>
        <w:tc>
          <w:tcPr>
            <w:tcW w:w="6804" w:type="dxa"/>
            <w:tcBorders>
              <w:top w:val="nil"/>
              <w:left w:val="nil"/>
              <w:bottom w:val="single" w:sz="4" w:space="0" w:color="auto"/>
            </w:tcBorders>
            <w:vAlign w:val="center"/>
          </w:tcPr>
          <w:p w14:paraId="21B49BEA" w14:textId="659B32B2"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for economic evaluations based on data from a study which do not extrapolate intervention outcomes or costs beyond the study context or follow-up period</w:t>
            </w:r>
          </w:p>
        </w:tc>
      </w:tr>
      <w:tr w:rsidR="003205EB" w:rsidRPr="00C91F30" w14:paraId="5D3697F6" w14:textId="77777777" w:rsidTr="00796324">
        <w:trPr>
          <w:trHeight w:val="464"/>
        </w:trPr>
        <w:tc>
          <w:tcPr>
            <w:tcW w:w="2127" w:type="dxa"/>
            <w:vMerge w:val="restart"/>
            <w:noWrap/>
            <w:vAlign w:val="center"/>
            <w:hideMark/>
          </w:tcPr>
          <w:p w14:paraId="1C66E6E6" w14:textId="4DAFEB96" w:rsidR="003205EB" w:rsidRPr="00C91F30" w:rsidRDefault="003205EB" w:rsidP="003205EB">
            <w:pPr>
              <w:rPr>
                <w:sz w:val="20"/>
                <w:szCs w:val="20"/>
              </w:rPr>
            </w:pPr>
            <w:r w:rsidRPr="00C91F30">
              <w:rPr>
                <w:sz w:val="20"/>
                <w:szCs w:val="20"/>
              </w:rPr>
              <w:t>#2 Time horizon</w:t>
            </w:r>
          </w:p>
          <w:p w14:paraId="32B4BEA7" w14:textId="77777777" w:rsidR="003205EB" w:rsidRPr="00C91F30" w:rsidRDefault="003205EB" w:rsidP="003205EB">
            <w:pPr>
              <w:rPr>
                <w:sz w:val="18"/>
                <w:szCs w:val="20"/>
              </w:rPr>
            </w:pPr>
          </w:p>
          <w:p w14:paraId="5B02CFE1" w14:textId="77777777" w:rsidR="003205EB" w:rsidRPr="00C91F30" w:rsidRDefault="003205EB" w:rsidP="003205EB">
            <w:pPr>
              <w:rPr>
                <w:sz w:val="20"/>
                <w:szCs w:val="20"/>
              </w:rPr>
            </w:pPr>
            <w:r w:rsidRPr="00C91F30">
              <w:rPr>
                <w:sz w:val="18"/>
                <w:szCs w:val="20"/>
              </w:rPr>
              <w:t>(</w:t>
            </w:r>
            <w:r w:rsidRPr="00C91F30">
              <w:rPr>
                <w:i/>
                <w:sz w:val="18"/>
                <w:szCs w:val="20"/>
              </w:rPr>
              <w:t>Is the time horizon sufficiently long to reflect all important differences in costs and outcomes?</w:t>
            </w:r>
            <w:r w:rsidRPr="00C91F30">
              <w:rPr>
                <w:sz w:val="18"/>
                <w:szCs w:val="20"/>
              </w:rPr>
              <w:t>)</w:t>
            </w:r>
          </w:p>
        </w:tc>
        <w:tc>
          <w:tcPr>
            <w:tcW w:w="992" w:type="dxa"/>
            <w:tcBorders>
              <w:bottom w:val="nil"/>
              <w:right w:val="nil"/>
            </w:tcBorders>
            <w:vAlign w:val="center"/>
          </w:tcPr>
          <w:p w14:paraId="7F14A751" w14:textId="0DF3B6A8"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15EDC1F5" w14:textId="01C1D868"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time horizon is sufficient to include all relevant costs and outcomes</w:t>
            </w:r>
          </w:p>
        </w:tc>
      </w:tr>
      <w:tr w:rsidR="003205EB" w:rsidRPr="00C91F30" w14:paraId="3C5FE9E1" w14:textId="77777777" w:rsidTr="00796324">
        <w:trPr>
          <w:trHeight w:val="464"/>
        </w:trPr>
        <w:tc>
          <w:tcPr>
            <w:tcW w:w="2127" w:type="dxa"/>
            <w:vMerge/>
            <w:noWrap/>
            <w:vAlign w:val="center"/>
          </w:tcPr>
          <w:p w14:paraId="4FDC87CE" w14:textId="77777777" w:rsidR="003205EB" w:rsidRPr="00C91F30" w:rsidRDefault="003205EB" w:rsidP="003205EB">
            <w:pPr>
              <w:rPr>
                <w:sz w:val="20"/>
                <w:szCs w:val="20"/>
              </w:rPr>
            </w:pPr>
          </w:p>
        </w:tc>
        <w:tc>
          <w:tcPr>
            <w:tcW w:w="992" w:type="dxa"/>
            <w:tcBorders>
              <w:top w:val="nil"/>
              <w:bottom w:val="nil"/>
              <w:right w:val="nil"/>
            </w:tcBorders>
            <w:vAlign w:val="center"/>
          </w:tcPr>
          <w:p w14:paraId="5A52C180" w14:textId="59B3058D"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33D63945" w14:textId="4CA1755E"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time horizon may omit some relevant costs and outcomes but these are unlikely to change the cost-effectiveness results</w:t>
            </w:r>
          </w:p>
        </w:tc>
      </w:tr>
      <w:tr w:rsidR="003205EB" w:rsidRPr="00C91F30" w14:paraId="506BEFBC" w14:textId="77777777" w:rsidTr="00796324">
        <w:trPr>
          <w:trHeight w:val="464"/>
        </w:trPr>
        <w:tc>
          <w:tcPr>
            <w:tcW w:w="2127" w:type="dxa"/>
            <w:vMerge/>
            <w:noWrap/>
            <w:vAlign w:val="center"/>
          </w:tcPr>
          <w:p w14:paraId="469C2019"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6E88443C" w14:textId="43E8C6BE"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7CAE93E0" w14:textId="69206AFB"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time horizon omits important costs and outcomes and this is likely to change the cost-effectiveness results</w:t>
            </w:r>
          </w:p>
        </w:tc>
      </w:tr>
      <w:tr w:rsidR="003205EB" w:rsidRPr="00C91F30" w14:paraId="3CD1354B" w14:textId="77777777" w:rsidTr="00796324">
        <w:trPr>
          <w:trHeight w:val="465"/>
        </w:trPr>
        <w:tc>
          <w:tcPr>
            <w:tcW w:w="2127" w:type="dxa"/>
            <w:vMerge w:val="restart"/>
            <w:noWrap/>
            <w:vAlign w:val="center"/>
            <w:hideMark/>
          </w:tcPr>
          <w:p w14:paraId="1270AEE8" w14:textId="6911408B" w:rsidR="003205EB" w:rsidRPr="00C91F30" w:rsidRDefault="003205EB" w:rsidP="003205EB">
            <w:pPr>
              <w:rPr>
                <w:sz w:val="20"/>
                <w:szCs w:val="20"/>
              </w:rPr>
            </w:pPr>
            <w:r w:rsidRPr="00C91F30">
              <w:rPr>
                <w:sz w:val="20"/>
                <w:szCs w:val="20"/>
              </w:rPr>
              <w:t>#3 Outcomes</w:t>
            </w:r>
          </w:p>
          <w:p w14:paraId="07F2BB66" w14:textId="77777777" w:rsidR="003205EB" w:rsidRPr="00C91F30" w:rsidRDefault="003205EB" w:rsidP="003205EB">
            <w:pPr>
              <w:rPr>
                <w:sz w:val="18"/>
                <w:szCs w:val="20"/>
              </w:rPr>
            </w:pPr>
          </w:p>
          <w:p w14:paraId="060BE59D" w14:textId="77777777" w:rsidR="003205EB" w:rsidRPr="00C91F30" w:rsidRDefault="003205EB" w:rsidP="003205EB">
            <w:pPr>
              <w:rPr>
                <w:sz w:val="20"/>
                <w:szCs w:val="20"/>
              </w:rPr>
            </w:pPr>
            <w:r w:rsidRPr="00C91F30">
              <w:rPr>
                <w:sz w:val="18"/>
                <w:szCs w:val="20"/>
              </w:rPr>
              <w:t>(</w:t>
            </w:r>
            <w:r w:rsidRPr="00C91F30">
              <w:rPr>
                <w:i/>
                <w:sz w:val="18"/>
                <w:szCs w:val="20"/>
              </w:rPr>
              <w:t>Are all important and relevant health outcomes included?</w:t>
            </w:r>
            <w:r w:rsidRPr="00C91F30">
              <w:rPr>
                <w:sz w:val="18"/>
                <w:szCs w:val="20"/>
              </w:rPr>
              <w:t>)</w:t>
            </w:r>
          </w:p>
        </w:tc>
        <w:tc>
          <w:tcPr>
            <w:tcW w:w="992" w:type="dxa"/>
            <w:tcBorders>
              <w:bottom w:val="nil"/>
              <w:right w:val="nil"/>
            </w:tcBorders>
            <w:vAlign w:val="center"/>
          </w:tcPr>
          <w:p w14:paraId="1E1D4598" w14:textId="60401CF6"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11747C4C" w14:textId="0DB01415"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analysis includes all relevant and important harms and benefits </w:t>
            </w:r>
          </w:p>
        </w:tc>
      </w:tr>
      <w:tr w:rsidR="003205EB" w:rsidRPr="00C91F30" w14:paraId="5CFEC5CD" w14:textId="77777777" w:rsidTr="00796324">
        <w:trPr>
          <w:trHeight w:val="465"/>
        </w:trPr>
        <w:tc>
          <w:tcPr>
            <w:tcW w:w="2127" w:type="dxa"/>
            <w:vMerge/>
            <w:noWrap/>
            <w:vAlign w:val="center"/>
          </w:tcPr>
          <w:p w14:paraId="15C8BB51" w14:textId="77777777" w:rsidR="003205EB" w:rsidRPr="00C91F30" w:rsidRDefault="003205EB" w:rsidP="003205EB">
            <w:pPr>
              <w:rPr>
                <w:sz w:val="20"/>
                <w:szCs w:val="20"/>
              </w:rPr>
            </w:pPr>
          </w:p>
        </w:tc>
        <w:tc>
          <w:tcPr>
            <w:tcW w:w="992" w:type="dxa"/>
            <w:tcBorders>
              <w:top w:val="nil"/>
              <w:bottom w:val="nil"/>
              <w:right w:val="nil"/>
            </w:tcBorders>
            <w:vAlign w:val="center"/>
          </w:tcPr>
          <w:p w14:paraId="50C6DD81" w14:textId="16A3E71B"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782C77D9" w14:textId="1BB519EB"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analysis omits some harms or benefits but these would be unlikely to change the cost-effectiveness results </w:t>
            </w:r>
          </w:p>
        </w:tc>
      </w:tr>
      <w:tr w:rsidR="003205EB" w:rsidRPr="00C91F30" w14:paraId="67937C75" w14:textId="77777777" w:rsidTr="00796324">
        <w:trPr>
          <w:trHeight w:val="465"/>
        </w:trPr>
        <w:tc>
          <w:tcPr>
            <w:tcW w:w="2127" w:type="dxa"/>
            <w:vMerge/>
            <w:noWrap/>
            <w:vAlign w:val="center"/>
          </w:tcPr>
          <w:p w14:paraId="34F740FC"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0C84D286" w14:textId="28E5B334"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5E8D2363" w14:textId="36FF1696"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analysis omits important harms and/or benefits that would be likely to change the cost-effectiveness results</w:t>
            </w:r>
          </w:p>
        </w:tc>
      </w:tr>
      <w:tr w:rsidR="003205EB" w:rsidRPr="00C91F30" w14:paraId="68C31AC9" w14:textId="77777777" w:rsidTr="00796324">
        <w:trPr>
          <w:trHeight w:val="510"/>
        </w:trPr>
        <w:tc>
          <w:tcPr>
            <w:tcW w:w="2127" w:type="dxa"/>
            <w:vMerge w:val="restart"/>
            <w:noWrap/>
            <w:vAlign w:val="center"/>
            <w:hideMark/>
          </w:tcPr>
          <w:p w14:paraId="40F6553D" w14:textId="71A762E5" w:rsidR="003205EB" w:rsidRPr="00C91F30" w:rsidRDefault="003205EB" w:rsidP="003205EB">
            <w:pPr>
              <w:rPr>
                <w:sz w:val="20"/>
                <w:szCs w:val="20"/>
              </w:rPr>
            </w:pPr>
            <w:r w:rsidRPr="00C91F30">
              <w:rPr>
                <w:sz w:val="20"/>
                <w:szCs w:val="20"/>
              </w:rPr>
              <w:t>#4 Estimates of baseline outcomes</w:t>
            </w:r>
          </w:p>
          <w:p w14:paraId="4530DA94" w14:textId="77777777" w:rsidR="003205EB" w:rsidRPr="00C91F30" w:rsidRDefault="003205EB" w:rsidP="003205EB">
            <w:pPr>
              <w:rPr>
                <w:sz w:val="18"/>
                <w:szCs w:val="20"/>
              </w:rPr>
            </w:pPr>
          </w:p>
          <w:p w14:paraId="7E3E3C4C" w14:textId="77777777" w:rsidR="003205EB" w:rsidRPr="00C91F30" w:rsidRDefault="003205EB" w:rsidP="003205EB">
            <w:pPr>
              <w:rPr>
                <w:sz w:val="20"/>
                <w:szCs w:val="20"/>
              </w:rPr>
            </w:pPr>
            <w:r w:rsidRPr="00C91F30">
              <w:rPr>
                <w:sz w:val="18"/>
                <w:szCs w:val="20"/>
              </w:rPr>
              <w:t>(</w:t>
            </w:r>
            <w:r w:rsidRPr="00C91F30">
              <w:rPr>
                <w:i/>
                <w:sz w:val="18"/>
                <w:szCs w:val="20"/>
              </w:rPr>
              <w:t>Are the estimates of baseline health outcomes from the best available source?</w:t>
            </w:r>
            <w:r w:rsidRPr="00C91F30">
              <w:rPr>
                <w:sz w:val="18"/>
                <w:szCs w:val="20"/>
              </w:rPr>
              <w:t>)</w:t>
            </w:r>
          </w:p>
        </w:tc>
        <w:tc>
          <w:tcPr>
            <w:tcW w:w="992" w:type="dxa"/>
            <w:tcBorders>
              <w:bottom w:val="nil"/>
              <w:right w:val="nil"/>
            </w:tcBorders>
            <w:vAlign w:val="center"/>
          </w:tcPr>
          <w:p w14:paraId="420302B6" w14:textId="512F5074"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349C3C53" w14:textId="20D65996"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estimates of baseline outcomes reflect the best available evidence, for example as identified from a recent well-conducted systematic review of the literature</w:t>
            </w:r>
          </w:p>
        </w:tc>
      </w:tr>
      <w:tr w:rsidR="003205EB" w:rsidRPr="00C91F30" w14:paraId="2B9A2D46" w14:textId="77777777" w:rsidTr="00796324">
        <w:trPr>
          <w:trHeight w:val="510"/>
        </w:trPr>
        <w:tc>
          <w:tcPr>
            <w:tcW w:w="2127" w:type="dxa"/>
            <w:vMerge/>
            <w:noWrap/>
            <w:vAlign w:val="center"/>
          </w:tcPr>
          <w:p w14:paraId="78698BC1" w14:textId="77777777" w:rsidR="003205EB" w:rsidRPr="00C91F30" w:rsidRDefault="003205EB" w:rsidP="003205EB">
            <w:pPr>
              <w:rPr>
                <w:sz w:val="20"/>
                <w:szCs w:val="20"/>
              </w:rPr>
            </w:pPr>
          </w:p>
        </w:tc>
        <w:tc>
          <w:tcPr>
            <w:tcW w:w="992" w:type="dxa"/>
            <w:tcBorders>
              <w:top w:val="nil"/>
              <w:bottom w:val="nil"/>
              <w:right w:val="nil"/>
            </w:tcBorders>
            <w:vAlign w:val="center"/>
          </w:tcPr>
          <w:p w14:paraId="04235A3C" w14:textId="1F2E4BC2"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5B4971A8" w14:textId="238D7D62"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estimates are not derived from the best available estimate but are likely to reflect outcomes for the relevant group of people in England (for example, if they are derived from a large UK-relevant cohort study)</w:t>
            </w:r>
          </w:p>
        </w:tc>
      </w:tr>
      <w:tr w:rsidR="003205EB" w:rsidRPr="00C91F30" w14:paraId="517A72D8" w14:textId="77777777" w:rsidTr="00796324">
        <w:trPr>
          <w:trHeight w:val="510"/>
        </w:trPr>
        <w:tc>
          <w:tcPr>
            <w:tcW w:w="2127" w:type="dxa"/>
            <w:vMerge/>
            <w:noWrap/>
            <w:vAlign w:val="center"/>
          </w:tcPr>
          <w:p w14:paraId="54C797D7"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081902E7" w14:textId="4E1D0E3E"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42910BB2" w14:textId="060FD1ED"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estimates are unlikely to reflect outcomes for the relevant group of people in England</w:t>
            </w:r>
          </w:p>
        </w:tc>
      </w:tr>
      <w:tr w:rsidR="003205EB" w:rsidRPr="00C91F30" w14:paraId="2852932B" w14:textId="77777777" w:rsidTr="00796324">
        <w:trPr>
          <w:trHeight w:val="454"/>
        </w:trPr>
        <w:tc>
          <w:tcPr>
            <w:tcW w:w="2127" w:type="dxa"/>
            <w:vMerge w:val="restart"/>
            <w:noWrap/>
            <w:vAlign w:val="center"/>
            <w:hideMark/>
          </w:tcPr>
          <w:p w14:paraId="1FE77AAC" w14:textId="6B3B7FED" w:rsidR="003205EB" w:rsidRPr="00C91F30" w:rsidRDefault="003205EB" w:rsidP="003205EB">
            <w:pPr>
              <w:rPr>
                <w:sz w:val="20"/>
                <w:szCs w:val="20"/>
              </w:rPr>
            </w:pPr>
            <w:r w:rsidRPr="00C91F30">
              <w:rPr>
                <w:sz w:val="20"/>
                <w:szCs w:val="20"/>
              </w:rPr>
              <w:t>#5 Estimates of relative intervention effects</w:t>
            </w:r>
          </w:p>
          <w:p w14:paraId="0E59D04F" w14:textId="77777777" w:rsidR="003205EB" w:rsidRPr="00C91F30" w:rsidRDefault="003205EB" w:rsidP="003205EB">
            <w:pPr>
              <w:rPr>
                <w:sz w:val="18"/>
                <w:szCs w:val="20"/>
              </w:rPr>
            </w:pPr>
          </w:p>
          <w:p w14:paraId="2699268A" w14:textId="77777777" w:rsidR="003205EB" w:rsidRPr="00C91F30" w:rsidRDefault="003205EB" w:rsidP="003205EB">
            <w:pPr>
              <w:rPr>
                <w:sz w:val="20"/>
                <w:szCs w:val="20"/>
              </w:rPr>
            </w:pPr>
            <w:r w:rsidRPr="00C91F30">
              <w:rPr>
                <w:sz w:val="18"/>
                <w:szCs w:val="20"/>
              </w:rPr>
              <w:t>(</w:t>
            </w:r>
            <w:r w:rsidRPr="00C91F30">
              <w:rPr>
                <w:i/>
                <w:sz w:val="18"/>
                <w:szCs w:val="20"/>
              </w:rPr>
              <w:t>Are the estimates of relative treatment effects from the best available source?</w:t>
            </w:r>
            <w:r w:rsidRPr="00C91F30">
              <w:rPr>
                <w:sz w:val="18"/>
                <w:szCs w:val="20"/>
              </w:rPr>
              <w:t>)</w:t>
            </w:r>
          </w:p>
        </w:tc>
        <w:tc>
          <w:tcPr>
            <w:tcW w:w="992" w:type="dxa"/>
            <w:tcBorders>
              <w:bottom w:val="nil"/>
              <w:right w:val="nil"/>
            </w:tcBorders>
            <w:vAlign w:val="center"/>
          </w:tcPr>
          <w:p w14:paraId="7181CBD5" w14:textId="613D234B"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5C684CAE" w14:textId="27F522DA"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estimates of the effect of intervention appropriately reflect all relevant studies of the best available quality, as identified through a recent well-conducted systematic review of the literature, that is in line with the effectiveness evidence review undertaken for the guideline </w:t>
            </w:r>
          </w:p>
        </w:tc>
      </w:tr>
      <w:tr w:rsidR="003205EB" w:rsidRPr="00C91F30" w14:paraId="7CBD6411" w14:textId="77777777" w:rsidTr="00796324">
        <w:trPr>
          <w:trHeight w:val="454"/>
        </w:trPr>
        <w:tc>
          <w:tcPr>
            <w:tcW w:w="2127" w:type="dxa"/>
            <w:vMerge/>
            <w:noWrap/>
            <w:vAlign w:val="center"/>
          </w:tcPr>
          <w:p w14:paraId="6C538E94" w14:textId="77777777" w:rsidR="003205EB" w:rsidRPr="00C91F30" w:rsidRDefault="003205EB" w:rsidP="003205EB">
            <w:pPr>
              <w:rPr>
                <w:sz w:val="20"/>
                <w:szCs w:val="20"/>
              </w:rPr>
            </w:pPr>
          </w:p>
        </w:tc>
        <w:tc>
          <w:tcPr>
            <w:tcW w:w="992" w:type="dxa"/>
            <w:tcBorders>
              <w:top w:val="nil"/>
              <w:bottom w:val="nil"/>
              <w:right w:val="nil"/>
            </w:tcBorders>
            <w:vAlign w:val="center"/>
          </w:tcPr>
          <w:p w14:paraId="5C91C6E4" w14:textId="017FD73B"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5F87EDDF" w14:textId="71A847CE"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estimates of the effect of intervention are not derived from a systematic review but are similar in magnitude to the best available estimates (for example, if the economic evaluation is based on a single large study with effects similar to pooled estimates from all relevant studies)</w:t>
            </w:r>
          </w:p>
        </w:tc>
      </w:tr>
      <w:tr w:rsidR="003205EB" w:rsidRPr="00C91F30" w14:paraId="545CE131" w14:textId="77777777" w:rsidTr="00796324">
        <w:trPr>
          <w:trHeight w:val="454"/>
        </w:trPr>
        <w:tc>
          <w:tcPr>
            <w:tcW w:w="2127" w:type="dxa"/>
            <w:vMerge/>
            <w:noWrap/>
            <w:vAlign w:val="center"/>
          </w:tcPr>
          <w:p w14:paraId="08B4DB23"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1D47840A" w14:textId="2070A3E3"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5BA1418F" w14:textId="5FD795CF"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estimates of the effect of intervention are likely to differ substantively from the best available estimates</w:t>
            </w:r>
          </w:p>
        </w:tc>
      </w:tr>
      <w:tr w:rsidR="003205EB" w:rsidRPr="00C91F30" w14:paraId="73A022B4" w14:textId="77777777" w:rsidTr="00796324">
        <w:trPr>
          <w:trHeight w:val="465"/>
        </w:trPr>
        <w:tc>
          <w:tcPr>
            <w:tcW w:w="2127" w:type="dxa"/>
            <w:vMerge w:val="restart"/>
            <w:noWrap/>
            <w:vAlign w:val="center"/>
            <w:hideMark/>
          </w:tcPr>
          <w:p w14:paraId="02E497F1" w14:textId="09BF60DE" w:rsidR="003205EB" w:rsidRPr="00C91F30" w:rsidRDefault="003205EB" w:rsidP="003205EB">
            <w:pPr>
              <w:rPr>
                <w:sz w:val="20"/>
                <w:szCs w:val="20"/>
              </w:rPr>
            </w:pPr>
            <w:r w:rsidRPr="00C91F30">
              <w:rPr>
                <w:sz w:val="20"/>
                <w:szCs w:val="20"/>
              </w:rPr>
              <w:t>#6 Costs</w:t>
            </w:r>
          </w:p>
          <w:p w14:paraId="16A59853" w14:textId="77777777" w:rsidR="003205EB" w:rsidRPr="00C91F30" w:rsidRDefault="003205EB" w:rsidP="003205EB">
            <w:pPr>
              <w:rPr>
                <w:sz w:val="18"/>
                <w:szCs w:val="20"/>
              </w:rPr>
            </w:pPr>
          </w:p>
          <w:p w14:paraId="69D15C3A" w14:textId="77777777" w:rsidR="003205EB" w:rsidRPr="00C91F30" w:rsidRDefault="003205EB" w:rsidP="003205EB">
            <w:pPr>
              <w:rPr>
                <w:sz w:val="20"/>
                <w:szCs w:val="20"/>
              </w:rPr>
            </w:pPr>
            <w:r w:rsidRPr="00C91F30">
              <w:rPr>
                <w:sz w:val="18"/>
                <w:szCs w:val="20"/>
              </w:rPr>
              <w:t>(</w:t>
            </w:r>
            <w:r w:rsidRPr="00C91F30">
              <w:rPr>
                <w:i/>
                <w:sz w:val="18"/>
                <w:szCs w:val="20"/>
              </w:rPr>
              <w:t>Are all important and relevant costs included?</w:t>
            </w:r>
            <w:r w:rsidRPr="00C91F30">
              <w:rPr>
                <w:sz w:val="18"/>
                <w:szCs w:val="20"/>
              </w:rPr>
              <w:t>)</w:t>
            </w:r>
          </w:p>
        </w:tc>
        <w:tc>
          <w:tcPr>
            <w:tcW w:w="992" w:type="dxa"/>
            <w:tcBorders>
              <w:bottom w:val="nil"/>
              <w:right w:val="nil"/>
            </w:tcBorders>
            <w:vAlign w:val="center"/>
          </w:tcPr>
          <w:p w14:paraId="28107473" w14:textId="2453B254"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1FCC1721" w14:textId="13573A8C"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all important and relevant resource use and costs are included given the perspective and the research question in the economic study under consideration</w:t>
            </w:r>
          </w:p>
        </w:tc>
      </w:tr>
      <w:tr w:rsidR="003205EB" w:rsidRPr="00C91F30" w14:paraId="5919EC96" w14:textId="77777777" w:rsidTr="00796324">
        <w:trPr>
          <w:trHeight w:val="465"/>
        </w:trPr>
        <w:tc>
          <w:tcPr>
            <w:tcW w:w="2127" w:type="dxa"/>
            <w:vMerge/>
            <w:noWrap/>
            <w:vAlign w:val="center"/>
          </w:tcPr>
          <w:p w14:paraId="64BEC814" w14:textId="77777777" w:rsidR="003205EB" w:rsidRPr="00C91F30" w:rsidRDefault="003205EB" w:rsidP="003205EB">
            <w:pPr>
              <w:rPr>
                <w:sz w:val="20"/>
                <w:szCs w:val="20"/>
              </w:rPr>
            </w:pPr>
          </w:p>
        </w:tc>
        <w:tc>
          <w:tcPr>
            <w:tcW w:w="992" w:type="dxa"/>
            <w:tcBorders>
              <w:top w:val="nil"/>
              <w:bottom w:val="nil"/>
              <w:right w:val="nil"/>
            </w:tcBorders>
            <w:vAlign w:val="center"/>
          </w:tcPr>
          <w:p w14:paraId="060EA047" w14:textId="39ECFB09"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7A2784AD" w14:textId="51F6EF39" w:rsidR="003205EB" w:rsidRPr="00C91F30" w:rsidRDefault="003323B0" w:rsidP="003205EB">
            <w:pPr>
              <w:rPr>
                <w:i/>
                <w:iCs/>
                <w:sz w:val="19"/>
                <w:szCs w:val="19"/>
              </w:rPr>
            </w:pPr>
            <w:r w:rsidRPr="00C91F30">
              <w:rPr>
                <w:i/>
                <w:iCs/>
                <w:sz w:val="19"/>
                <w:szCs w:val="19"/>
              </w:rPr>
              <w:t>[...] if some relevant resource items are omitted but these are unlikely to affect the cost-effectiveness results</w:t>
            </w:r>
          </w:p>
        </w:tc>
      </w:tr>
      <w:tr w:rsidR="003205EB" w:rsidRPr="00C91F30" w14:paraId="282F2457" w14:textId="77777777" w:rsidTr="00796324">
        <w:trPr>
          <w:trHeight w:val="465"/>
        </w:trPr>
        <w:tc>
          <w:tcPr>
            <w:tcW w:w="2127" w:type="dxa"/>
            <w:vMerge/>
            <w:noWrap/>
            <w:vAlign w:val="center"/>
          </w:tcPr>
          <w:p w14:paraId="52962D8D"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665E6C1D" w14:textId="53675CCA"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4F6671F8" w14:textId="09444197" w:rsidR="003205EB" w:rsidRPr="00C91F30" w:rsidRDefault="003323B0" w:rsidP="003205EB">
            <w:pPr>
              <w:rPr>
                <w:i/>
                <w:iCs/>
                <w:sz w:val="19"/>
                <w:szCs w:val="19"/>
              </w:rPr>
            </w:pPr>
            <w:r w:rsidRPr="00C91F30">
              <w:rPr>
                <w:i/>
                <w:iCs/>
                <w:sz w:val="19"/>
                <w:szCs w:val="19"/>
              </w:rPr>
              <w:t>[...] if important resource items are omitted and these are likely to affect the cost-effectiveness results</w:t>
            </w:r>
          </w:p>
        </w:tc>
      </w:tr>
      <w:tr w:rsidR="003205EB" w:rsidRPr="00C91F30" w14:paraId="328F87B2" w14:textId="77777777" w:rsidTr="00796324">
        <w:trPr>
          <w:trHeight w:val="465"/>
        </w:trPr>
        <w:tc>
          <w:tcPr>
            <w:tcW w:w="2127" w:type="dxa"/>
            <w:vMerge w:val="restart"/>
            <w:noWrap/>
            <w:vAlign w:val="center"/>
            <w:hideMark/>
          </w:tcPr>
          <w:p w14:paraId="61604BCC" w14:textId="0574E475" w:rsidR="003205EB" w:rsidRPr="00C91F30" w:rsidRDefault="003205EB" w:rsidP="003205EB">
            <w:pPr>
              <w:rPr>
                <w:sz w:val="20"/>
                <w:szCs w:val="20"/>
              </w:rPr>
            </w:pPr>
            <w:r w:rsidRPr="00C91F30">
              <w:rPr>
                <w:sz w:val="20"/>
                <w:szCs w:val="20"/>
              </w:rPr>
              <w:t>#7 Estimates of resource use</w:t>
            </w:r>
          </w:p>
          <w:p w14:paraId="4648CD6A" w14:textId="77777777" w:rsidR="003205EB" w:rsidRPr="00C91F30" w:rsidRDefault="003205EB" w:rsidP="003205EB">
            <w:pPr>
              <w:rPr>
                <w:sz w:val="18"/>
                <w:szCs w:val="20"/>
              </w:rPr>
            </w:pPr>
          </w:p>
          <w:p w14:paraId="71FD4275" w14:textId="77777777" w:rsidR="003205EB" w:rsidRPr="00C91F30" w:rsidRDefault="003205EB" w:rsidP="003205EB">
            <w:pPr>
              <w:rPr>
                <w:sz w:val="20"/>
                <w:szCs w:val="20"/>
              </w:rPr>
            </w:pPr>
            <w:r w:rsidRPr="00C91F30">
              <w:rPr>
                <w:sz w:val="18"/>
                <w:szCs w:val="20"/>
              </w:rPr>
              <w:t>(</w:t>
            </w:r>
            <w:r w:rsidRPr="00C91F30">
              <w:rPr>
                <w:i/>
                <w:sz w:val="18"/>
                <w:szCs w:val="20"/>
              </w:rPr>
              <w:t>Are the estimates of resource use from the best available source?</w:t>
            </w:r>
            <w:r w:rsidRPr="00C91F30">
              <w:rPr>
                <w:sz w:val="18"/>
                <w:szCs w:val="20"/>
              </w:rPr>
              <w:t>)</w:t>
            </w:r>
          </w:p>
        </w:tc>
        <w:tc>
          <w:tcPr>
            <w:tcW w:w="992" w:type="dxa"/>
            <w:tcBorders>
              <w:bottom w:val="nil"/>
              <w:right w:val="nil"/>
            </w:tcBorders>
            <w:vAlign w:val="center"/>
          </w:tcPr>
          <w:p w14:paraId="342FB773" w14:textId="36C9CA92"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1BEB7260" w14:textId="5FB5F325"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estimates of resource use appropriately reflect all relevant evidence sources of the best available quality, as identified through a recent well-conducted systematic review of the literature</w:t>
            </w:r>
          </w:p>
        </w:tc>
      </w:tr>
      <w:tr w:rsidR="003205EB" w:rsidRPr="00C91F30" w14:paraId="4551CCED" w14:textId="77777777" w:rsidTr="00796324">
        <w:trPr>
          <w:trHeight w:val="465"/>
        </w:trPr>
        <w:tc>
          <w:tcPr>
            <w:tcW w:w="2127" w:type="dxa"/>
            <w:vMerge/>
            <w:noWrap/>
            <w:vAlign w:val="center"/>
          </w:tcPr>
          <w:p w14:paraId="4CAD74C7" w14:textId="77777777" w:rsidR="003205EB" w:rsidRPr="00C91F30" w:rsidRDefault="003205EB" w:rsidP="003205EB">
            <w:pPr>
              <w:rPr>
                <w:sz w:val="20"/>
                <w:szCs w:val="20"/>
              </w:rPr>
            </w:pPr>
          </w:p>
        </w:tc>
        <w:tc>
          <w:tcPr>
            <w:tcW w:w="992" w:type="dxa"/>
            <w:tcBorders>
              <w:top w:val="nil"/>
              <w:bottom w:val="nil"/>
              <w:right w:val="nil"/>
            </w:tcBorders>
            <w:vAlign w:val="center"/>
          </w:tcPr>
          <w:p w14:paraId="3565CC76" w14:textId="766D1216"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1D61A05D" w14:textId="730FB770" w:rsidR="003205EB" w:rsidRPr="00C91F30" w:rsidRDefault="003323B0" w:rsidP="003205EB">
            <w:pPr>
              <w:rPr>
                <w:i/>
                <w:iCs/>
                <w:sz w:val="19"/>
                <w:szCs w:val="19"/>
              </w:rPr>
            </w:pPr>
            <w:r w:rsidRPr="00C91F30">
              <w:rPr>
                <w:i/>
                <w:iCs/>
                <w:sz w:val="19"/>
                <w:szCs w:val="19"/>
              </w:rPr>
              <w:t>[...] if the estimates of resource use are not derived from a systematic review but are similar in magnitude to the best available estimates</w:t>
            </w:r>
          </w:p>
        </w:tc>
      </w:tr>
      <w:tr w:rsidR="003205EB" w:rsidRPr="00C91F30" w14:paraId="4696F3BD" w14:textId="77777777" w:rsidTr="00796324">
        <w:trPr>
          <w:trHeight w:val="465"/>
        </w:trPr>
        <w:tc>
          <w:tcPr>
            <w:tcW w:w="2127" w:type="dxa"/>
            <w:vMerge/>
            <w:noWrap/>
            <w:vAlign w:val="center"/>
          </w:tcPr>
          <w:p w14:paraId="6E2F8253"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2FA7AF60" w14:textId="515BC808"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4EFFCE37" w14:textId="3CFD3714" w:rsidR="003205EB" w:rsidRPr="00C91F30" w:rsidRDefault="003323B0" w:rsidP="003205EB">
            <w:pPr>
              <w:rPr>
                <w:i/>
                <w:iCs/>
                <w:sz w:val="19"/>
                <w:szCs w:val="19"/>
              </w:rPr>
            </w:pPr>
            <w:r w:rsidRPr="00C91F30">
              <w:rPr>
                <w:i/>
                <w:iCs/>
                <w:sz w:val="19"/>
                <w:szCs w:val="19"/>
              </w:rPr>
              <w:t>[...] if the estimates of resource use are likely to differ substantively from the best available estimates</w:t>
            </w:r>
          </w:p>
        </w:tc>
      </w:tr>
      <w:tr w:rsidR="003205EB" w:rsidRPr="00C91F30" w14:paraId="5CC97D28" w14:textId="77777777" w:rsidTr="00796324">
        <w:trPr>
          <w:trHeight w:val="465"/>
        </w:trPr>
        <w:tc>
          <w:tcPr>
            <w:tcW w:w="2127" w:type="dxa"/>
            <w:vMerge w:val="restart"/>
            <w:noWrap/>
            <w:vAlign w:val="center"/>
            <w:hideMark/>
          </w:tcPr>
          <w:p w14:paraId="475581B1" w14:textId="2061A082" w:rsidR="003205EB" w:rsidRPr="00C91F30" w:rsidRDefault="003205EB" w:rsidP="003205EB">
            <w:pPr>
              <w:rPr>
                <w:sz w:val="20"/>
                <w:szCs w:val="20"/>
              </w:rPr>
            </w:pPr>
            <w:r w:rsidRPr="00C91F30">
              <w:rPr>
                <w:sz w:val="20"/>
                <w:szCs w:val="20"/>
              </w:rPr>
              <w:t>#8 Unit costs of resources</w:t>
            </w:r>
          </w:p>
          <w:p w14:paraId="365D4ED3" w14:textId="77777777" w:rsidR="003205EB" w:rsidRPr="00C91F30" w:rsidRDefault="003205EB" w:rsidP="003205EB">
            <w:pPr>
              <w:rPr>
                <w:sz w:val="18"/>
                <w:szCs w:val="20"/>
              </w:rPr>
            </w:pPr>
          </w:p>
          <w:p w14:paraId="34A5C13B" w14:textId="77777777" w:rsidR="003205EB" w:rsidRPr="00C91F30" w:rsidRDefault="003205EB" w:rsidP="003205EB">
            <w:pPr>
              <w:rPr>
                <w:sz w:val="20"/>
                <w:szCs w:val="20"/>
              </w:rPr>
            </w:pPr>
            <w:r w:rsidRPr="00C91F30">
              <w:rPr>
                <w:sz w:val="18"/>
                <w:szCs w:val="20"/>
              </w:rPr>
              <w:t>(</w:t>
            </w:r>
            <w:r w:rsidRPr="00C91F30">
              <w:rPr>
                <w:i/>
                <w:sz w:val="18"/>
                <w:szCs w:val="20"/>
              </w:rPr>
              <w:t>Are the unit costs of resources from the best available source?</w:t>
            </w:r>
            <w:r w:rsidRPr="00C91F30">
              <w:rPr>
                <w:sz w:val="18"/>
                <w:szCs w:val="20"/>
              </w:rPr>
              <w:t>)</w:t>
            </w:r>
          </w:p>
        </w:tc>
        <w:tc>
          <w:tcPr>
            <w:tcW w:w="992" w:type="dxa"/>
            <w:tcBorders>
              <w:bottom w:val="nil"/>
              <w:right w:val="nil"/>
            </w:tcBorders>
            <w:vAlign w:val="center"/>
          </w:tcPr>
          <w:p w14:paraId="34CA6B8F" w14:textId="026C42B8"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55F2C056" w14:textId="25E17397"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resources are valued using up-to-date prices relevant to the appropriate sectors</w:t>
            </w:r>
          </w:p>
        </w:tc>
      </w:tr>
      <w:tr w:rsidR="003205EB" w:rsidRPr="00C91F30" w14:paraId="36263B9B" w14:textId="77777777" w:rsidTr="00796324">
        <w:trPr>
          <w:trHeight w:val="465"/>
        </w:trPr>
        <w:tc>
          <w:tcPr>
            <w:tcW w:w="2127" w:type="dxa"/>
            <w:vMerge/>
            <w:noWrap/>
            <w:vAlign w:val="center"/>
          </w:tcPr>
          <w:p w14:paraId="44A3E8F8" w14:textId="77777777" w:rsidR="003205EB" w:rsidRPr="00C91F30" w:rsidRDefault="003205EB" w:rsidP="003205EB">
            <w:pPr>
              <w:rPr>
                <w:sz w:val="20"/>
                <w:szCs w:val="20"/>
              </w:rPr>
            </w:pPr>
          </w:p>
        </w:tc>
        <w:tc>
          <w:tcPr>
            <w:tcW w:w="992" w:type="dxa"/>
            <w:tcBorders>
              <w:top w:val="nil"/>
              <w:bottom w:val="nil"/>
              <w:right w:val="nil"/>
            </w:tcBorders>
            <w:vAlign w:val="center"/>
          </w:tcPr>
          <w:p w14:paraId="5F2D4F4E" w14:textId="0E483BC1"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68483BAD" w14:textId="551C1C61" w:rsidR="003205EB" w:rsidRPr="00C91F30" w:rsidRDefault="003323B0" w:rsidP="003205EB">
            <w:pPr>
              <w:rPr>
                <w:i/>
                <w:iCs/>
                <w:sz w:val="19"/>
                <w:szCs w:val="19"/>
              </w:rPr>
            </w:pPr>
            <w:r w:rsidRPr="00C91F30">
              <w:rPr>
                <w:i/>
                <w:iCs/>
                <w:sz w:val="19"/>
                <w:szCs w:val="19"/>
              </w:rPr>
              <w:t xml:space="preserve">[...] if the valuations of some resource items differ from current relevant unit costs but this is unlikely to change the cost-effectiveness results </w:t>
            </w:r>
          </w:p>
        </w:tc>
      </w:tr>
      <w:tr w:rsidR="003205EB" w:rsidRPr="00C91F30" w14:paraId="4EC26989" w14:textId="77777777" w:rsidTr="00796324">
        <w:trPr>
          <w:trHeight w:val="465"/>
        </w:trPr>
        <w:tc>
          <w:tcPr>
            <w:tcW w:w="2127" w:type="dxa"/>
            <w:vMerge/>
            <w:noWrap/>
            <w:vAlign w:val="center"/>
          </w:tcPr>
          <w:p w14:paraId="73C98864"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1582516D" w14:textId="0429035B"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437A880E" w14:textId="32799BBE" w:rsidR="003205EB" w:rsidRPr="00C91F30" w:rsidRDefault="003323B0" w:rsidP="003205EB">
            <w:pPr>
              <w:rPr>
                <w:i/>
                <w:iCs/>
                <w:sz w:val="19"/>
                <w:szCs w:val="19"/>
              </w:rPr>
            </w:pPr>
            <w:r w:rsidRPr="00C91F30">
              <w:rPr>
                <w:i/>
                <w:iCs/>
                <w:sz w:val="19"/>
                <w:szCs w:val="19"/>
              </w:rPr>
              <w:t>[...] if the valuations of some resource items differ substantively from current relevant unit costs and this is likely to change the cost-effectiveness results</w:t>
            </w:r>
          </w:p>
        </w:tc>
      </w:tr>
      <w:tr w:rsidR="003205EB" w:rsidRPr="00C91F30" w14:paraId="5D6C705A" w14:textId="77777777" w:rsidTr="00796324">
        <w:trPr>
          <w:trHeight w:val="776"/>
        </w:trPr>
        <w:tc>
          <w:tcPr>
            <w:tcW w:w="2127" w:type="dxa"/>
            <w:vMerge w:val="restart"/>
            <w:noWrap/>
            <w:vAlign w:val="center"/>
            <w:hideMark/>
          </w:tcPr>
          <w:p w14:paraId="38D3402C" w14:textId="1F084352" w:rsidR="003205EB" w:rsidRPr="00C91F30" w:rsidRDefault="003205EB" w:rsidP="007D3489">
            <w:pPr>
              <w:rPr>
                <w:sz w:val="20"/>
                <w:szCs w:val="20"/>
              </w:rPr>
            </w:pPr>
            <w:r w:rsidRPr="00C91F30">
              <w:rPr>
                <w:sz w:val="20"/>
                <w:szCs w:val="20"/>
              </w:rPr>
              <w:t>#9 Incremental analysis</w:t>
            </w:r>
          </w:p>
          <w:p w14:paraId="1B51AD41" w14:textId="77777777" w:rsidR="003205EB" w:rsidRPr="00C91F30" w:rsidRDefault="003205EB" w:rsidP="007D3489">
            <w:pPr>
              <w:rPr>
                <w:sz w:val="18"/>
                <w:szCs w:val="20"/>
              </w:rPr>
            </w:pPr>
          </w:p>
          <w:p w14:paraId="27706537" w14:textId="77777777" w:rsidR="003205EB" w:rsidRPr="00C91F30" w:rsidRDefault="003205EB" w:rsidP="007D3489">
            <w:pPr>
              <w:rPr>
                <w:sz w:val="20"/>
                <w:szCs w:val="20"/>
              </w:rPr>
            </w:pPr>
            <w:r w:rsidRPr="00C91F30">
              <w:rPr>
                <w:sz w:val="18"/>
                <w:szCs w:val="20"/>
              </w:rPr>
              <w:t>(</w:t>
            </w:r>
            <w:r w:rsidRPr="00C91F30">
              <w:rPr>
                <w:i/>
                <w:sz w:val="18"/>
                <w:szCs w:val="20"/>
              </w:rPr>
              <w:t>Is an appropriate incremental analysis presented or can it be calculated from the data?</w:t>
            </w:r>
            <w:r w:rsidRPr="00C91F30">
              <w:rPr>
                <w:sz w:val="18"/>
                <w:szCs w:val="20"/>
              </w:rPr>
              <w:t>)</w:t>
            </w:r>
          </w:p>
        </w:tc>
        <w:tc>
          <w:tcPr>
            <w:tcW w:w="992" w:type="dxa"/>
            <w:tcBorders>
              <w:bottom w:val="nil"/>
              <w:right w:val="nil"/>
            </w:tcBorders>
            <w:vAlign w:val="center"/>
          </w:tcPr>
          <w:p w14:paraId="6708D901" w14:textId="3218AA80"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1DE7B737" w14:textId="264F8F1A"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appropriate incremental results are presented, or if data are presented that allow the reader to calculate the incremental results</w:t>
            </w:r>
          </w:p>
        </w:tc>
      </w:tr>
      <w:tr w:rsidR="003205EB" w:rsidRPr="00C91F30" w14:paraId="14A0F279" w14:textId="77777777" w:rsidTr="00796324">
        <w:trPr>
          <w:trHeight w:val="777"/>
        </w:trPr>
        <w:tc>
          <w:tcPr>
            <w:tcW w:w="2127" w:type="dxa"/>
            <w:vMerge/>
            <w:noWrap/>
            <w:vAlign w:val="center"/>
          </w:tcPr>
          <w:p w14:paraId="7EB21C73" w14:textId="77777777" w:rsidR="003205EB" w:rsidRPr="00C91F30" w:rsidRDefault="003205EB" w:rsidP="007D3489">
            <w:pPr>
              <w:rPr>
                <w:sz w:val="20"/>
                <w:szCs w:val="20"/>
              </w:rPr>
            </w:pPr>
          </w:p>
        </w:tc>
        <w:tc>
          <w:tcPr>
            <w:tcW w:w="992" w:type="dxa"/>
            <w:tcBorders>
              <w:top w:val="nil"/>
              <w:bottom w:val="single" w:sz="4" w:space="0" w:color="auto"/>
              <w:right w:val="nil"/>
            </w:tcBorders>
            <w:vAlign w:val="center"/>
          </w:tcPr>
          <w:p w14:paraId="11FA5DF1" w14:textId="3BFB1253"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4CF2AB42" w14:textId="55319968" w:rsidR="003205EB" w:rsidRPr="00C91F30" w:rsidRDefault="003323B0" w:rsidP="003205EB">
            <w:pPr>
              <w:rPr>
                <w:i/>
                <w:iCs/>
                <w:sz w:val="19"/>
                <w:szCs w:val="19"/>
              </w:rPr>
            </w:pPr>
            <w:r w:rsidRPr="00C91F30">
              <w:rPr>
                <w:i/>
                <w:iCs/>
                <w:sz w:val="19"/>
                <w:szCs w:val="19"/>
              </w:rPr>
              <w:t>[...] if: (</w:t>
            </w:r>
            <w:proofErr w:type="spellStart"/>
            <w:r w:rsidRPr="00C91F30">
              <w:rPr>
                <w:i/>
                <w:iCs/>
                <w:sz w:val="19"/>
                <w:szCs w:val="19"/>
              </w:rPr>
              <w:t>i</w:t>
            </w:r>
            <w:proofErr w:type="spellEnd"/>
            <w:r w:rsidRPr="00C91F30">
              <w:rPr>
                <w:i/>
                <w:iCs/>
                <w:sz w:val="19"/>
                <w:szCs w:val="19"/>
              </w:rPr>
              <w:t>) simple ratios of costs to effects are presented for each alternative compared with a standard intervention; or (ii) if options subject to simple or extended dominance are not excluded from the incremental analyses</w:t>
            </w:r>
          </w:p>
        </w:tc>
      </w:tr>
      <w:tr w:rsidR="003205EB" w:rsidRPr="00C91F30" w14:paraId="1BADE075" w14:textId="77777777" w:rsidTr="00796324">
        <w:trPr>
          <w:trHeight w:val="465"/>
        </w:trPr>
        <w:tc>
          <w:tcPr>
            <w:tcW w:w="2127" w:type="dxa"/>
            <w:vMerge w:val="restart"/>
            <w:noWrap/>
            <w:vAlign w:val="center"/>
            <w:hideMark/>
          </w:tcPr>
          <w:p w14:paraId="241F0F74" w14:textId="7CA5623B" w:rsidR="003205EB" w:rsidRPr="00C91F30" w:rsidRDefault="003205EB" w:rsidP="003205EB">
            <w:pPr>
              <w:rPr>
                <w:sz w:val="20"/>
                <w:szCs w:val="20"/>
              </w:rPr>
            </w:pPr>
            <w:r w:rsidRPr="00C91F30">
              <w:rPr>
                <w:sz w:val="20"/>
                <w:szCs w:val="20"/>
              </w:rPr>
              <w:t>#10 Sensitivity analysis</w:t>
            </w:r>
          </w:p>
          <w:p w14:paraId="56A0980D" w14:textId="77777777" w:rsidR="003205EB" w:rsidRPr="00C91F30" w:rsidRDefault="003205EB" w:rsidP="003205EB">
            <w:pPr>
              <w:rPr>
                <w:i/>
                <w:sz w:val="18"/>
                <w:szCs w:val="20"/>
              </w:rPr>
            </w:pPr>
          </w:p>
          <w:p w14:paraId="69F60C6D" w14:textId="77777777" w:rsidR="003205EB" w:rsidRPr="00C91F30" w:rsidRDefault="003205EB" w:rsidP="003205EB">
            <w:pPr>
              <w:rPr>
                <w:sz w:val="20"/>
                <w:szCs w:val="20"/>
              </w:rPr>
            </w:pPr>
            <w:r w:rsidRPr="00C91F30">
              <w:rPr>
                <w:i/>
                <w:sz w:val="18"/>
                <w:szCs w:val="20"/>
              </w:rPr>
              <w:t>(Are all important parameters whose values are uncertain subjected to appropriate sensitivity analysis?)</w:t>
            </w:r>
          </w:p>
        </w:tc>
        <w:tc>
          <w:tcPr>
            <w:tcW w:w="992" w:type="dxa"/>
            <w:tcBorders>
              <w:bottom w:val="nil"/>
              <w:right w:val="nil"/>
            </w:tcBorders>
            <w:vAlign w:val="center"/>
          </w:tcPr>
          <w:p w14:paraId="3817A265" w14:textId="26AE6D1D"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1F47AC68" w14:textId="589F197D"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an extensive sensitivity analysis was undertaken that explored all key uncertainties in the economic evaluation</w:t>
            </w:r>
          </w:p>
        </w:tc>
      </w:tr>
      <w:tr w:rsidR="003205EB" w:rsidRPr="00C91F30" w14:paraId="2BD4CC06" w14:textId="77777777" w:rsidTr="00796324">
        <w:trPr>
          <w:trHeight w:val="465"/>
        </w:trPr>
        <w:tc>
          <w:tcPr>
            <w:tcW w:w="2127" w:type="dxa"/>
            <w:vMerge/>
            <w:noWrap/>
            <w:vAlign w:val="center"/>
          </w:tcPr>
          <w:p w14:paraId="1B457BF4" w14:textId="77777777" w:rsidR="003205EB" w:rsidRPr="00C91F30" w:rsidRDefault="003205EB" w:rsidP="003205EB">
            <w:pPr>
              <w:rPr>
                <w:sz w:val="20"/>
                <w:szCs w:val="20"/>
              </w:rPr>
            </w:pPr>
          </w:p>
        </w:tc>
        <w:tc>
          <w:tcPr>
            <w:tcW w:w="992" w:type="dxa"/>
            <w:tcBorders>
              <w:top w:val="nil"/>
              <w:bottom w:val="nil"/>
              <w:right w:val="nil"/>
            </w:tcBorders>
            <w:vAlign w:val="center"/>
          </w:tcPr>
          <w:p w14:paraId="53B110DD" w14:textId="0C9CCA1B" w:rsidR="003205EB" w:rsidRPr="00C91F30" w:rsidRDefault="003205EB" w:rsidP="00796324">
            <w:pPr>
              <w:jc w:val="center"/>
              <w:rPr>
                <w:i/>
                <w:iCs/>
                <w:sz w:val="20"/>
                <w:szCs w:val="20"/>
              </w:rPr>
            </w:pPr>
            <w:r w:rsidRPr="00C91F30">
              <w:rPr>
                <w:i/>
                <w:iCs/>
                <w:sz w:val="19"/>
                <w:szCs w:val="19"/>
              </w:rPr>
              <w:t>Partly</w:t>
            </w:r>
          </w:p>
        </w:tc>
        <w:tc>
          <w:tcPr>
            <w:tcW w:w="6804" w:type="dxa"/>
            <w:tcBorders>
              <w:top w:val="nil"/>
              <w:left w:val="nil"/>
              <w:bottom w:val="nil"/>
            </w:tcBorders>
            <w:vAlign w:val="center"/>
          </w:tcPr>
          <w:p w14:paraId="4AE0C43A" w14:textId="59ADCCA9" w:rsidR="003205EB" w:rsidRPr="00C91F30" w:rsidRDefault="003323B0" w:rsidP="003205EB">
            <w:pPr>
              <w:rPr>
                <w:i/>
                <w:iCs/>
                <w:sz w:val="19"/>
                <w:szCs w:val="19"/>
              </w:rPr>
            </w:pPr>
            <w:r w:rsidRPr="00C91F30">
              <w:rPr>
                <w:i/>
                <w:iCs/>
                <w:sz w:val="19"/>
                <w:szCs w:val="19"/>
              </w:rPr>
              <w:t>[...] if the sensitivity analysis failed to explore some important uncertainties in the economic evaluation</w:t>
            </w:r>
          </w:p>
        </w:tc>
      </w:tr>
      <w:tr w:rsidR="003205EB" w:rsidRPr="00C91F30" w14:paraId="3367237F" w14:textId="77777777" w:rsidTr="00796324">
        <w:trPr>
          <w:trHeight w:val="465"/>
        </w:trPr>
        <w:tc>
          <w:tcPr>
            <w:tcW w:w="2127" w:type="dxa"/>
            <w:vMerge/>
            <w:noWrap/>
            <w:vAlign w:val="center"/>
          </w:tcPr>
          <w:p w14:paraId="1DA3CBB0" w14:textId="77777777" w:rsidR="003205EB" w:rsidRPr="00C91F30" w:rsidRDefault="003205EB" w:rsidP="003205EB">
            <w:pPr>
              <w:rPr>
                <w:sz w:val="20"/>
                <w:szCs w:val="20"/>
              </w:rPr>
            </w:pPr>
          </w:p>
        </w:tc>
        <w:tc>
          <w:tcPr>
            <w:tcW w:w="992" w:type="dxa"/>
            <w:tcBorders>
              <w:top w:val="nil"/>
              <w:bottom w:val="single" w:sz="4" w:space="0" w:color="auto"/>
              <w:right w:val="nil"/>
            </w:tcBorders>
            <w:vAlign w:val="center"/>
          </w:tcPr>
          <w:p w14:paraId="2FC9D9AF" w14:textId="760215BE"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single" w:sz="4" w:space="0" w:color="auto"/>
            </w:tcBorders>
            <w:vAlign w:val="center"/>
          </w:tcPr>
          <w:p w14:paraId="6DB0D1A2" w14:textId="7B914389" w:rsidR="003205EB" w:rsidRPr="00C91F30" w:rsidRDefault="003323B0" w:rsidP="003205EB">
            <w:pPr>
              <w:rPr>
                <w:i/>
                <w:iCs/>
                <w:sz w:val="19"/>
                <w:szCs w:val="19"/>
              </w:rPr>
            </w:pPr>
            <w:r w:rsidRPr="00C91F30">
              <w:rPr>
                <w:i/>
                <w:iCs/>
                <w:sz w:val="19"/>
                <w:szCs w:val="19"/>
              </w:rPr>
              <w:t>[...] if the sensitivity analysis was very limited and omitted consideration of a number of important uncertainties, or if the range of values or distributions around parameters considered in the sensitivity analysis were not reported</w:t>
            </w:r>
          </w:p>
        </w:tc>
      </w:tr>
      <w:tr w:rsidR="003205EB" w:rsidRPr="00C91F30" w14:paraId="17F4EA4C" w14:textId="77777777" w:rsidTr="00796324">
        <w:trPr>
          <w:trHeight w:val="465"/>
        </w:trPr>
        <w:tc>
          <w:tcPr>
            <w:tcW w:w="2127" w:type="dxa"/>
            <w:vMerge w:val="restart"/>
            <w:noWrap/>
            <w:vAlign w:val="center"/>
            <w:hideMark/>
          </w:tcPr>
          <w:p w14:paraId="7888B7B3" w14:textId="203ED166" w:rsidR="003205EB" w:rsidRPr="00C91F30" w:rsidRDefault="003205EB" w:rsidP="003205EB">
            <w:pPr>
              <w:rPr>
                <w:sz w:val="20"/>
                <w:szCs w:val="20"/>
              </w:rPr>
            </w:pPr>
            <w:r w:rsidRPr="00C91F30">
              <w:rPr>
                <w:sz w:val="20"/>
                <w:szCs w:val="20"/>
              </w:rPr>
              <w:t>#11 Financial conflict of interest</w:t>
            </w:r>
          </w:p>
          <w:p w14:paraId="2FFC4E02" w14:textId="77777777" w:rsidR="003205EB" w:rsidRPr="00C91F30" w:rsidRDefault="003205EB" w:rsidP="003205EB">
            <w:pPr>
              <w:rPr>
                <w:sz w:val="18"/>
                <w:szCs w:val="20"/>
              </w:rPr>
            </w:pPr>
          </w:p>
          <w:p w14:paraId="7D495F7D" w14:textId="77777777" w:rsidR="003205EB" w:rsidRPr="00C91F30" w:rsidRDefault="003205EB" w:rsidP="003205EB">
            <w:pPr>
              <w:rPr>
                <w:sz w:val="20"/>
                <w:szCs w:val="20"/>
              </w:rPr>
            </w:pPr>
            <w:r w:rsidRPr="00C91F30">
              <w:rPr>
                <w:sz w:val="18"/>
                <w:szCs w:val="20"/>
              </w:rPr>
              <w:t>(</w:t>
            </w:r>
            <w:r w:rsidRPr="00C91F30">
              <w:rPr>
                <w:i/>
                <w:sz w:val="18"/>
                <w:szCs w:val="20"/>
              </w:rPr>
              <w:t>Is there no potential conflict of interest?</w:t>
            </w:r>
            <w:r w:rsidRPr="00C91F30">
              <w:rPr>
                <w:sz w:val="18"/>
                <w:szCs w:val="20"/>
              </w:rPr>
              <w:t>)</w:t>
            </w:r>
          </w:p>
        </w:tc>
        <w:tc>
          <w:tcPr>
            <w:tcW w:w="992" w:type="dxa"/>
            <w:tcBorders>
              <w:bottom w:val="nil"/>
              <w:right w:val="nil"/>
            </w:tcBorders>
            <w:vAlign w:val="center"/>
          </w:tcPr>
          <w:p w14:paraId="21D7CD0E" w14:textId="48E5E1BC" w:rsidR="003205EB" w:rsidRPr="00C91F30" w:rsidRDefault="003205EB" w:rsidP="00796324">
            <w:pPr>
              <w:jc w:val="center"/>
              <w:rPr>
                <w:i/>
                <w:iCs/>
                <w:sz w:val="20"/>
                <w:szCs w:val="20"/>
              </w:rPr>
            </w:pPr>
            <w:r w:rsidRPr="00C91F30">
              <w:rPr>
                <w:i/>
                <w:iCs/>
                <w:sz w:val="19"/>
                <w:szCs w:val="19"/>
              </w:rPr>
              <w:t>Yes</w:t>
            </w:r>
          </w:p>
        </w:tc>
        <w:tc>
          <w:tcPr>
            <w:tcW w:w="6804" w:type="dxa"/>
            <w:tcBorders>
              <w:left w:val="nil"/>
              <w:bottom w:val="nil"/>
            </w:tcBorders>
            <w:vAlign w:val="center"/>
          </w:tcPr>
          <w:p w14:paraId="02E14A88" w14:textId="0ED8DE4D" w:rsidR="003205EB" w:rsidRPr="00C91F30" w:rsidRDefault="003323B0" w:rsidP="003205EB">
            <w:pPr>
              <w:rPr>
                <w:i/>
                <w:iCs/>
                <w:sz w:val="19"/>
                <w:szCs w:val="19"/>
              </w:rPr>
            </w:pPr>
            <w:r w:rsidRPr="00C91F30">
              <w:rPr>
                <w:i/>
                <w:iCs/>
                <w:sz w:val="19"/>
                <w:szCs w:val="19"/>
              </w:rPr>
              <w:t>[...]</w:t>
            </w:r>
            <w:r w:rsidR="003205EB" w:rsidRPr="00C91F30">
              <w:rPr>
                <w:i/>
                <w:iCs/>
                <w:sz w:val="19"/>
                <w:szCs w:val="19"/>
              </w:rPr>
              <w:t xml:space="preserve"> if the authors declare that they have no financial conflicts of interest </w:t>
            </w:r>
          </w:p>
        </w:tc>
      </w:tr>
      <w:tr w:rsidR="003205EB" w:rsidRPr="00C91F30" w14:paraId="44EAB0EF" w14:textId="77777777" w:rsidTr="00796324">
        <w:trPr>
          <w:trHeight w:val="465"/>
        </w:trPr>
        <w:tc>
          <w:tcPr>
            <w:tcW w:w="2127" w:type="dxa"/>
            <w:vMerge/>
            <w:noWrap/>
            <w:vAlign w:val="center"/>
          </w:tcPr>
          <w:p w14:paraId="5572B060" w14:textId="77777777" w:rsidR="003205EB" w:rsidRPr="00C91F30" w:rsidRDefault="003205EB" w:rsidP="003205EB">
            <w:pPr>
              <w:rPr>
                <w:sz w:val="20"/>
                <w:szCs w:val="20"/>
              </w:rPr>
            </w:pPr>
          </w:p>
        </w:tc>
        <w:tc>
          <w:tcPr>
            <w:tcW w:w="992" w:type="dxa"/>
            <w:tcBorders>
              <w:top w:val="nil"/>
              <w:bottom w:val="nil"/>
              <w:right w:val="nil"/>
            </w:tcBorders>
            <w:vAlign w:val="center"/>
          </w:tcPr>
          <w:p w14:paraId="2BE52E84" w14:textId="044FF1A3" w:rsidR="003205EB" w:rsidRPr="00C91F30" w:rsidRDefault="003205EB" w:rsidP="00796324">
            <w:pPr>
              <w:jc w:val="center"/>
              <w:rPr>
                <w:i/>
                <w:iCs/>
                <w:sz w:val="20"/>
                <w:szCs w:val="20"/>
              </w:rPr>
            </w:pPr>
            <w:r w:rsidRPr="00C91F30">
              <w:rPr>
                <w:i/>
                <w:iCs/>
                <w:sz w:val="19"/>
                <w:szCs w:val="19"/>
              </w:rPr>
              <w:t>No</w:t>
            </w:r>
          </w:p>
        </w:tc>
        <w:tc>
          <w:tcPr>
            <w:tcW w:w="6804" w:type="dxa"/>
            <w:tcBorders>
              <w:top w:val="nil"/>
              <w:left w:val="nil"/>
              <w:bottom w:val="nil"/>
            </w:tcBorders>
            <w:vAlign w:val="center"/>
          </w:tcPr>
          <w:p w14:paraId="1236370D" w14:textId="7FA99524" w:rsidR="003205EB" w:rsidRPr="00C91F30" w:rsidRDefault="003323B0" w:rsidP="003205EB">
            <w:pPr>
              <w:rPr>
                <w:i/>
                <w:iCs/>
                <w:sz w:val="19"/>
                <w:szCs w:val="19"/>
              </w:rPr>
            </w:pPr>
            <w:r w:rsidRPr="00C91F30">
              <w:rPr>
                <w:i/>
                <w:iCs/>
                <w:sz w:val="19"/>
                <w:szCs w:val="19"/>
              </w:rPr>
              <w:t>[...] if clear financial conflicts of interest are declared or apparent (for example, from the stated affiliation of the authors)</w:t>
            </w:r>
          </w:p>
        </w:tc>
      </w:tr>
      <w:tr w:rsidR="003205EB" w:rsidRPr="00C91F30" w14:paraId="4290F9B2" w14:textId="77777777" w:rsidTr="00796324">
        <w:trPr>
          <w:trHeight w:val="465"/>
        </w:trPr>
        <w:tc>
          <w:tcPr>
            <w:tcW w:w="2127" w:type="dxa"/>
            <w:vMerge/>
            <w:noWrap/>
            <w:vAlign w:val="center"/>
          </w:tcPr>
          <w:p w14:paraId="7A92980A" w14:textId="77777777" w:rsidR="003205EB" w:rsidRPr="00C91F30" w:rsidRDefault="003205EB" w:rsidP="003205EB">
            <w:pPr>
              <w:rPr>
                <w:sz w:val="20"/>
                <w:szCs w:val="20"/>
              </w:rPr>
            </w:pPr>
          </w:p>
        </w:tc>
        <w:tc>
          <w:tcPr>
            <w:tcW w:w="992" w:type="dxa"/>
            <w:tcBorders>
              <w:top w:val="nil"/>
              <w:right w:val="nil"/>
            </w:tcBorders>
            <w:vAlign w:val="center"/>
          </w:tcPr>
          <w:p w14:paraId="64DFA1F4" w14:textId="566FB234" w:rsidR="003205EB" w:rsidRPr="00C91F30" w:rsidRDefault="003205EB" w:rsidP="00796324">
            <w:pPr>
              <w:jc w:val="center"/>
              <w:rPr>
                <w:i/>
                <w:iCs/>
                <w:sz w:val="20"/>
                <w:szCs w:val="20"/>
              </w:rPr>
            </w:pPr>
            <w:r w:rsidRPr="00C91F30">
              <w:rPr>
                <w:i/>
                <w:iCs/>
                <w:sz w:val="20"/>
                <w:szCs w:val="20"/>
              </w:rPr>
              <w:t>Unclear</w:t>
            </w:r>
          </w:p>
        </w:tc>
        <w:tc>
          <w:tcPr>
            <w:tcW w:w="6804" w:type="dxa"/>
            <w:tcBorders>
              <w:top w:val="nil"/>
              <w:left w:val="nil"/>
            </w:tcBorders>
            <w:vAlign w:val="center"/>
          </w:tcPr>
          <w:p w14:paraId="72550440" w14:textId="27CB71FA" w:rsidR="003205EB" w:rsidRPr="00C91F30" w:rsidRDefault="003323B0" w:rsidP="003205EB">
            <w:pPr>
              <w:rPr>
                <w:i/>
                <w:iCs/>
                <w:sz w:val="19"/>
                <w:szCs w:val="19"/>
              </w:rPr>
            </w:pPr>
            <w:r w:rsidRPr="00C91F30">
              <w:rPr>
                <w:i/>
                <w:iCs/>
                <w:sz w:val="19"/>
                <w:szCs w:val="19"/>
              </w:rPr>
              <w:t>[...] if the article does not indicate whether or not there are financial conflicts of interest</w:t>
            </w:r>
          </w:p>
        </w:tc>
      </w:tr>
      <w:tr w:rsidR="007D3489" w:rsidRPr="00C91F30" w14:paraId="1C7A7440" w14:textId="77777777" w:rsidTr="00796324">
        <w:trPr>
          <w:trHeight w:val="20"/>
        </w:trPr>
        <w:tc>
          <w:tcPr>
            <w:tcW w:w="2127" w:type="dxa"/>
            <w:noWrap/>
            <w:vAlign w:val="center"/>
            <w:hideMark/>
          </w:tcPr>
          <w:p w14:paraId="29CD2381" w14:textId="77777777" w:rsidR="007D3489" w:rsidRPr="00C91F30" w:rsidRDefault="007D3489" w:rsidP="007D3489">
            <w:pPr>
              <w:rPr>
                <w:sz w:val="20"/>
                <w:szCs w:val="20"/>
              </w:rPr>
            </w:pPr>
            <w:r w:rsidRPr="00C91F30">
              <w:rPr>
                <w:sz w:val="20"/>
                <w:szCs w:val="20"/>
              </w:rPr>
              <w:t>Overall assessment</w:t>
            </w:r>
          </w:p>
        </w:tc>
        <w:tc>
          <w:tcPr>
            <w:tcW w:w="7796" w:type="dxa"/>
            <w:gridSpan w:val="2"/>
            <w:vAlign w:val="center"/>
            <w:hideMark/>
          </w:tcPr>
          <w:p w14:paraId="3DD7D7B1" w14:textId="4180B2D3" w:rsidR="007D3489" w:rsidRPr="00C91F30" w:rsidRDefault="007D3489" w:rsidP="007D3489">
            <w:pPr>
              <w:rPr>
                <w:sz w:val="20"/>
                <w:szCs w:val="20"/>
              </w:rPr>
            </w:pPr>
            <w:r w:rsidRPr="00C91F30">
              <w:rPr>
                <w:sz w:val="20"/>
                <w:szCs w:val="20"/>
              </w:rPr>
              <w:t xml:space="preserve">1. </w:t>
            </w:r>
            <w:r w:rsidRPr="00C91F30">
              <w:rPr>
                <w:b/>
                <w:bCs/>
                <w:sz w:val="20"/>
                <w:szCs w:val="20"/>
              </w:rPr>
              <w:t>Minor limitations</w:t>
            </w:r>
            <w:r w:rsidR="003205EB" w:rsidRPr="00C91F30">
              <w:rPr>
                <w:sz w:val="20"/>
                <w:szCs w:val="20"/>
              </w:rPr>
              <w:t>:</w:t>
            </w:r>
            <w:r w:rsidRPr="00C91F30">
              <w:rPr>
                <w:sz w:val="20"/>
                <w:szCs w:val="20"/>
              </w:rPr>
              <w:t xml:space="preserve"> the study meets all quality </w:t>
            </w:r>
            <w:proofErr w:type="gramStart"/>
            <w:r w:rsidRPr="00C91F30">
              <w:rPr>
                <w:sz w:val="20"/>
                <w:szCs w:val="20"/>
              </w:rPr>
              <w:t>criteria, or</w:t>
            </w:r>
            <w:proofErr w:type="gramEnd"/>
            <w:r w:rsidRPr="00C91F30">
              <w:rPr>
                <w:sz w:val="20"/>
                <w:szCs w:val="20"/>
              </w:rPr>
              <w:t xml:space="preserve"> fails to meet 1 or more quality criteria but this is unlikely to change the conclusions about cost effectiveness.</w:t>
            </w:r>
            <w:r w:rsidRPr="00C91F30">
              <w:rPr>
                <w:sz w:val="20"/>
                <w:szCs w:val="20"/>
              </w:rPr>
              <w:br/>
              <w:t xml:space="preserve">2. </w:t>
            </w:r>
            <w:r w:rsidRPr="00C91F30">
              <w:rPr>
                <w:b/>
                <w:bCs/>
                <w:sz w:val="20"/>
                <w:szCs w:val="20"/>
              </w:rPr>
              <w:t>Potentially serious limitations</w:t>
            </w:r>
            <w:r w:rsidR="003205EB" w:rsidRPr="00C91F30">
              <w:rPr>
                <w:sz w:val="20"/>
                <w:szCs w:val="20"/>
              </w:rPr>
              <w:t xml:space="preserve">: </w:t>
            </w:r>
            <w:r w:rsidRPr="00C91F30">
              <w:rPr>
                <w:sz w:val="20"/>
                <w:szCs w:val="20"/>
              </w:rPr>
              <w:t xml:space="preserve">the study fails to meet 1 or more quality criteria, and this could change the conclusions about cost effectiveness.                                                                                                                                                                                                                             3. </w:t>
            </w:r>
            <w:r w:rsidRPr="00C91F30">
              <w:rPr>
                <w:b/>
                <w:bCs/>
                <w:sz w:val="20"/>
                <w:szCs w:val="20"/>
              </w:rPr>
              <w:t>Very serious limitations</w:t>
            </w:r>
            <w:r w:rsidR="003205EB" w:rsidRPr="00C91F30">
              <w:rPr>
                <w:sz w:val="20"/>
                <w:szCs w:val="20"/>
              </w:rPr>
              <w:t xml:space="preserve">: </w:t>
            </w:r>
            <w:r w:rsidRPr="00C91F30">
              <w:rPr>
                <w:sz w:val="20"/>
                <w:szCs w:val="20"/>
              </w:rPr>
              <w:t>the study fails to meet 1 or more quality criteria, and this is highly likely to change the conclusions about cost effectiveness.</w:t>
            </w:r>
          </w:p>
        </w:tc>
      </w:tr>
    </w:tbl>
    <w:p w14:paraId="20CA71A6" w14:textId="77777777" w:rsidR="00D36B75" w:rsidRDefault="00D36B75" w:rsidP="00D36B75">
      <w:r w:rsidRPr="00C91F30">
        <w:t xml:space="preserve">1 </w:t>
      </w:r>
      <w:hyperlink r:id="rId13" w:anchor="notes-on-use-of-methodology-checklist-economic-evaluations" w:history="1">
        <w:r w:rsidRPr="00C91F30">
          <w:rPr>
            <w:rStyle w:val="Collegamentoipertestuale"/>
          </w:rPr>
          <w:t>https://www.nice.org.uk/process/pmg6/resources/the-guidelines-manual-appendices-bi-2549703709/chapter/appendix-g-methodology-checklist-economic-evaluations#notes-on-use-of-methodology-checklist-economic-evaluations</w:t>
        </w:r>
      </w:hyperlink>
    </w:p>
    <w:sectPr w:rsidR="00D36B75" w:rsidSect="007963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AF7"/>
    <w:multiLevelType w:val="multilevel"/>
    <w:tmpl w:val="74F4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C55684"/>
    <w:multiLevelType w:val="multilevel"/>
    <w:tmpl w:val="874AB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B9"/>
    <w:rsid w:val="00006FB4"/>
    <w:rsid w:val="00091E91"/>
    <w:rsid w:val="00250566"/>
    <w:rsid w:val="00271149"/>
    <w:rsid w:val="002B19E8"/>
    <w:rsid w:val="002C41BF"/>
    <w:rsid w:val="003009B9"/>
    <w:rsid w:val="00302EA9"/>
    <w:rsid w:val="003205EB"/>
    <w:rsid w:val="003323B0"/>
    <w:rsid w:val="00381603"/>
    <w:rsid w:val="00407EAC"/>
    <w:rsid w:val="0049613A"/>
    <w:rsid w:val="0050014F"/>
    <w:rsid w:val="00555B18"/>
    <w:rsid w:val="00565D0D"/>
    <w:rsid w:val="005B3A39"/>
    <w:rsid w:val="00667132"/>
    <w:rsid w:val="00692258"/>
    <w:rsid w:val="00710065"/>
    <w:rsid w:val="00796324"/>
    <w:rsid w:val="007D3489"/>
    <w:rsid w:val="008148C0"/>
    <w:rsid w:val="008C3ADA"/>
    <w:rsid w:val="00920856"/>
    <w:rsid w:val="009A3261"/>
    <w:rsid w:val="00A57895"/>
    <w:rsid w:val="00A81D4C"/>
    <w:rsid w:val="00A91BD0"/>
    <w:rsid w:val="00AF2088"/>
    <w:rsid w:val="00B1436D"/>
    <w:rsid w:val="00B16199"/>
    <w:rsid w:val="00B8748F"/>
    <w:rsid w:val="00BA4D27"/>
    <w:rsid w:val="00BB3530"/>
    <w:rsid w:val="00BC0131"/>
    <w:rsid w:val="00C76E2D"/>
    <w:rsid w:val="00C91F30"/>
    <w:rsid w:val="00CA359B"/>
    <w:rsid w:val="00D36B75"/>
    <w:rsid w:val="00D757B4"/>
    <w:rsid w:val="00DD527B"/>
    <w:rsid w:val="00DE5F1E"/>
    <w:rsid w:val="00F1046A"/>
    <w:rsid w:val="00F17E00"/>
    <w:rsid w:val="00F36EC2"/>
    <w:rsid w:val="00FC131F"/>
    <w:rsid w:val="00FC5499"/>
    <w:rsid w:val="00FF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3443"/>
  <w15:chartTrackingRefBased/>
  <w15:docId w15:val="{6754156B-855A-41B8-95F3-C84AAD3B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00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09B9"/>
    <w:pPr>
      <w:ind w:left="720"/>
      <w:contextualSpacing/>
    </w:pPr>
  </w:style>
  <w:style w:type="character" w:customStyle="1" w:styleId="Titolo1Carattere">
    <w:name w:val="Titolo 1 Carattere"/>
    <w:basedOn w:val="Carpredefinitoparagrafo"/>
    <w:link w:val="Titolo1"/>
    <w:uiPriority w:val="9"/>
    <w:rsid w:val="003009B9"/>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3009B9"/>
    <w:pPr>
      <w:outlineLvl w:val="9"/>
    </w:pPr>
    <w:rPr>
      <w:lang w:val="en-US"/>
    </w:rPr>
  </w:style>
  <w:style w:type="paragraph" w:styleId="Sommario1">
    <w:name w:val="toc 1"/>
    <w:basedOn w:val="Normale"/>
    <w:next w:val="Normale"/>
    <w:autoRedefine/>
    <w:uiPriority w:val="39"/>
    <w:unhideWhenUsed/>
    <w:rsid w:val="003009B9"/>
    <w:pPr>
      <w:spacing w:after="100"/>
    </w:pPr>
  </w:style>
  <w:style w:type="character" w:styleId="Collegamentoipertestuale">
    <w:name w:val="Hyperlink"/>
    <w:basedOn w:val="Carpredefinitoparagrafo"/>
    <w:uiPriority w:val="99"/>
    <w:unhideWhenUsed/>
    <w:rsid w:val="003009B9"/>
    <w:rPr>
      <w:color w:val="0563C1" w:themeColor="hyperlink"/>
      <w:u w:val="single"/>
    </w:rPr>
  </w:style>
  <w:style w:type="table" w:styleId="Grigliatabella">
    <w:name w:val="Table Grid"/>
    <w:basedOn w:val="Tabellanormale"/>
    <w:uiPriority w:val="39"/>
    <w:rsid w:val="0030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36B75"/>
    <w:rPr>
      <w:color w:val="954F72" w:themeColor="followedHyperlink"/>
      <w:u w:val="single"/>
    </w:rPr>
  </w:style>
  <w:style w:type="paragraph" w:styleId="Testofumetto">
    <w:name w:val="Balloon Text"/>
    <w:basedOn w:val="Normale"/>
    <w:link w:val="TestofumettoCarattere"/>
    <w:uiPriority w:val="99"/>
    <w:semiHidden/>
    <w:unhideWhenUsed/>
    <w:rsid w:val="00C76E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6E2D"/>
    <w:rPr>
      <w:rFonts w:ascii="Segoe UI" w:hAnsi="Segoe UI" w:cs="Segoe UI"/>
      <w:sz w:val="18"/>
      <w:szCs w:val="18"/>
    </w:rPr>
  </w:style>
  <w:style w:type="character" w:styleId="Menzionenonrisolta">
    <w:name w:val="Unresolved Mention"/>
    <w:basedOn w:val="Carpredefinitoparagrafo"/>
    <w:uiPriority w:val="99"/>
    <w:semiHidden/>
    <w:unhideWhenUsed/>
    <w:rsid w:val="00271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6963">
      <w:bodyDiv w:val="1"/>
      <w:marLeft w:val="0"/>
      <w:marRight w:val="0"/>
      <w:marTop w:val="0"/>
      <w:marBottom w:val="0"/>
      <w:divBdr>
        <w:top w:val="none" w:sz="0" w:space="0" w:color="auto"/>
        <w:left w:val="none" w:sz="0" w:space="0" w:color="auto"/>
        <w:bottom w:val="none" w:sz="0" w:space="0" w:color="auto"/>
        <w:right w:val="none" w:sz="0" w:space="0" w:color="auto"/>
      </w:divBdr>
    </w:div>
    <w:div w:id="291138378">
      <w:bodyDiv w:val="1"/>
      <w:marLeft w:val="0"/>
      <w:marRight w:val="0"/>
      <w:marTop w:val="0"/>
      <w:marBottom w:val="0"/>
      <w:divBdr>
        <w:top w:val="none" w:sz="0" w:space="0" w:color="auto"/>
        <w:left w:val="none" w:sz="0" w:space="0" w:color="auto"/>
        <w:bottom w:val="none" w:sz="0" w:space="0" w:color="auto"/>
        <w:right w:val="none" w:sz="0" w:space="0" w:color="auto"/>
      </w:divBdr>
    </w:div>
    <w:div w:id="703024385">
      <w:bodyDiv w:val="1"/>
      <w:marLeft w:val="0"/>
      <w:marRight w:val="0"/>
      <w:marTop w:val="0"/>
      <w:marBottom w:val="0"/>
      <w:divBdr>
        <w:top w:val="none" w:sz="0" w:space="0" w:color="auto"/>
        <w:left w:val="none" w:sz="0" w:space="0" w:color="auto"/>
        <w:bottom w:val="none" w:sz="0" w:space="0" w:color="auto"/>
        <w:right w:val="none" w:sz="0" w:space="0" w:color="auto"/>
      </w:divBdr>
    </w:div>
    <w:div w:id="1313371312">
      <w:bodyDiv w:val="1"/>
      <w:marLeft w:val="0"/>
      <w:marRight w:val="0"/>
      <w:marTop w:val="0"/>
      <w:marBottom w:val="0"/>
      <w:divBdr>
        <w:top w:val="none" w:sz="0" w:space="0" w:color="auto"/>
        <w:left w:val="none" w:sz="0" w:space="0" w:color="auto"/>
        <w:bottom w:val="none" w:sz="0" w:space="0" w:color="auto"/>
        <w:right w:val="none" w:sz="0" w:space="0" w:color="auto"/>
      </w:divBdr>
    </w:div>
    <w:div w:id="1334187303">
      <w:bodyDiv w:val="1"/>
      <w:marLeft w:val="0"/>
      <w:marRight w:val="0"/>
      <w:marTop w:val="0"/>
      <w:marBottom w:val="0"/>
      <w:divBdr>
        <w:top w:val="none" w:sz="0" w:space="0" w:color="auto"/>
        <w:left w:val="none" w:sz="0" w:space="0" w:color="auto"/>
        <w:bottom w:val="none" w:sz="0" w:space="0" w:color="auto"/>
        <w:right w:val="none" w:sz="0" w:space="0" w:color="auto"/>
      </w:divBdr>
    </w:div>
    <w:div w:id="1369376713">
      <w:bodyDiv w:val="1"/>
      <w:marLeft w:val="0"/>
      <w:marRight w:val="0"/>
      <w:marTop w:val="0"/>
      <w:marBottom w:val="0"/>
      <w:divBdr>
        <w:top w:val="none" w:sz="0" w:space="0" w:color="auto"/>
        <w:left w:val="none" w:sz="0" w:space="0" w:color="auto"/>
        <w:bottom w:val="none" w:sz="0" w:space="0" w:color="auto"/>
        <w:right w:val="none" w:sz="0" w:space="0" w:color="auto"/>
      </w:divBdr>
    </w:div>
    <w:div w:id="1686589717">
      <w:bodyDiv w:val="1"/>
      <w:marLeft w:val="0"/>
      <w:marRight w:val="0"/>
      <w:marTop w:val="0"/>
      <w:marBottom w:val="0"/>
      <w:divBdr>
        <w:top w:val="none" w:sz="0" w:space="0" w:color="auto"/>
        <w:left w:val="none" w:sz="0" w:space="0" w:color="auto"/>
        <w:bottom w:val="none" w:sz="0" w:space="0" w:color="auto"/>
        <w:right w:val="none" w:sz="0" w:space="0" w:color="auto"/>
      </w:divBdr>
    </w:div>
    <w:div w:id="2032686922">
      <w:bodyDiv w:val="1"/>
      <w:marLeft w:val="0"/>
      <w:marRight w:val="0"/>
      <w:marTop w:val="0"/>
      <w:marBottom w:val="0"/>
      <w:divBdr>
        <w:top w:val="none" w:sz="0" w:space="0" w:color="auto"/>
        <w:left w:val="none" w:sz="0" w:space="0" w:color="auto"/>
        <w:bottom w:val="none" w:sz="0" w:space="0" w:color="auto"/>
        <w:right w:val="none" w:sz="0" w:space="0" w:color="auto"/>
      </w:divBdr>
    </w:div>
    <w:div w:id="2045056736">
      <w:bodyDiv w:val="1"/>
      <w:marLeft w:val="0"/>
      <w:marRight w:val="0"/>
      <w:marTop w:val="0"/>
      <w:marBottom w:val="0"/>
      <w:divBdr>
        <w:top w:val="none" w:sz="0" w:space="0" w:color="auto"/>
        <w:left w:val="none" w:sz="0" w:space="0" w:color="auto"/>
        <w:bottom w:val="none" w:sz="0" w:space="0" w:color="auto"/>
        <w:right w:val="none" w:sz="0" w:space="0" w:color="auto"/>
      </w:divBdr>
    </w:div>
    <w:div w:id="20931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6/resources/the-guidelines-manual-appendices-bi-2549703709/chapter/appendix-g-methodology-checklist-economic-evaluations" TargetMode="External"/><Relationship Id="rId13" Type="http://schemas.openxmlformats.org/officeDocument/2006/relationships/hyperlink" Target="https://www.nice.org.uk/process/pmg6/resources/the-guidelines-manual-appendices-bi-2549703709/chapter/appendix-g-methodology-checklist-economic-evaluations" TargetMode="External"/><Relationship Id="rId3" Type="http://schemas.openxmlformats.org/officeDocument/2006/relationships/styles" Target="styles.xml"/><Relationship Id="rId7" Type="http://schemas.openxmlformats.org/officeDocument/2006/relationships/hyperlink" Target="https://www.pssru.ac.uk/pub/dp2014.pdf" TargetMode="External"/><Relationship Id="rId12" Type="http://schemas.openxmlformats.org/officeDocument/2006/relationships/hyperlink" Target="https://www.nice.org.uk/process/pmg6/resources/the-guidelines-manual-appendices-bi-2549703709/chapter/appendix-g-methodology-checklist-economic-evalu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tscc.ac.uk/hsdr/files/project/SDO_FR_08-1309-048_V01.pdf" TargetMode="External"/><Relationship Id="rId11" Type="http://schemas.openxmlformats.org/officeDocument/2006/relationships/hyperlink" Target="https://www.nice.org.uk/process/pmg6/resources/the-guidelines-manual-appendices-bi-2549703709/chapter/appendix-g-methodology-checklist-economic-evalu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ocess/pmg6/resources/the-guidelines-manual-appendices-bi-2549703709/chapter/appendix-g-methodology-checklist-economic-evaluations" TargetMode="External"/><Relationship Id="rId4" Type="http://schemas.openxmlformats.org/officeDocument/2006/relationships/settings" Target="settings.xml"/><Relationship Id="rId9" Type="http://schemas.openxmlformats.org/officeDocument/2006/relationships/hyperlink" Target="https://www.nice.org.uk/process/pmg6/resources/the-guidelines-manual-appendices-bi-2549703709/chapter/appendix-g-methodology-checklist-economic-evalu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D362-112B-4FA8-9D0E-FDB0E716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4859</Words>
  <Characters>27698</Characters>
  <Application>Microsoft Office Word</Application>
  <DocSecurity>0</DocSecurity>
  <Lines>230</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RCOG</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 Pelone</dc:creator>
  <cp:keywords/>
  <dc:description/>
  <cp:lastModifiedBy>Ferruccio Pelone</cp:lastModifiedBy>
  <cp:revision>8</cp:revision>
  <dcterms:created xsi:type="dcterms:W3CDTF">2020-05-16T11:25:00Z</dcterms:created>
  <dcterms:modified xsi:type="dcterms:W3CDTF">2020-11-27T14:29:00Z</dcterms:modified>
</cp:coreProperties>
</file>