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FA" w:rsidRDefault="00F44205" w:rsidP="002B0322">
      <w:pPr>
        <w:pStyle w:val="PlainText"/>
        <w:rPr>
          <w:lang w:val="en-US"/>
        </w:rPr>
      </w:pPr>
      <w:r>
        <w:rPr>
          <w:lang w:val="en-US"/>
        </w:rPr>
        <w:t>Table</w:t>
      </w:r>
      <w:r w:rsidR="00540398">
        <w:rPr>
          <w:lang w:val="en-US"/>
        </w:rPr>
        <w:t xml:space="preserve"> S1</w:t>
      </w:r>
      <w:r>
        <w:rPr>
          <w:lang w:val="en-US"/>
        </w:rPr>
        <w:t xml:space="preserve">: </w:t>
      </w:r>
      <w:r w:rsidR="005474FA">
        <w:rPr>
          <w:lang w:val="en-US"/>
        </w:rPr>
        <w:t>The results of two one-sided tests (TOST) null-hypothesis and equivalence tests of different short GDS versions against the established 15-item GDS</w:t>
      </w:r>
      <w:r w:rsidR="007466EF">
        <w:rPr>
          <w:lang w:val="en-US"/>
        </w:rPr>
        <w:t xml:space="preserve"> according to Sheikh</w:t>
      </w:r>
      <w:r w:rsidR="005474FA">
        <w:rPr>
          <w:lang w:val="en-US"/>
        </w:rPr>
        <w:t xml:space="preserve">. The most accurate short versions 4-item </w:t>
      </w:r>
      <w:proofErr w:type="spellStart"/>
      <w:r w:rsidR="005474FA">
        <w:rPr>
          <w:lang w:val="en-US"/>
        </w:rPr>
        <w:t>D’Ath</w:t>
      </w:r>
      <w:proofErr w:type="spellEnd"/>
      <w:r w:rsidR="005474FA">
        <w:rPr>
          <w:lang w:val="en-US"/>
        </w:rPr>
        <w:t xml:space="preserve">, 7-item </w:t>
      </w:r>
      <w:proofErr w:type="spellStart"/>
      <w:r w:rsidR="005474FA">
        <w:rPr>
          <w:lang w:val="en-US"/>
        </w:rPr>
        <w:t>Broekman</w:t>
      </w:r>
      <w:proofErr w:type="spellEnd"/>
      <w:r w:rsidR="005474FA">
        <w:rPr>
          <w:lang w:val="en-US"/>
        </w:rPr>
        <w:t xml:space="preserve"> and 10-item </w:t>
      </w:r>
      <w:r w:rsidR="005474FA" w:rsidRPr="00941E78">
        <w:rPr>
          <w:rFonts w:cstheme="minorHAnsi"/>
          <w:lang w:val="en-US"/>
        </w:rPr>
        <w:t xml:space="preserve">Van </w:t>
      </w:r>
      <w:proofErr w:type="spellStart"/>
      <w:r w:rsidR="005474FA" w:rsidRPr="00941E78">
        <w:rPr>
          <w:rFonts w:cstheme="minorHAnsi"/>
          <w:lang w:val="en-US"/>
        </w:rPr>
        <w:t>Marwijk</w:t>
      </w:r>
      <w:proofErr w:type="spellEnd"/>
      <w:r w:rsidR="005474FA">
        <w:rPr>
          <w:rFonts w:cstheme="minorHAnsi"/>
          <w:lang w:val="en-US"/>
        </w:rPr>
        <w:t xml:space="preserve"> </w:t>
      </w:r>
      <w:proofErr w:type="gramStart"/>
      <w:r w:rsidR="005474FA">
        <w:rPr>
          <w:lang w:val="en-US"/>
        </w:rPr>
        <w:t>were also compared</w:t>
      </w:r>
      <w:proofErr w:type="gramEnd"/>
      <w:r w:rsidR="005474FA">
        <w:rPr>
          <w:lang w:val="en-US"/>
        </w:rPr>
        <w:t xml:space="preserve"> against each other</w:t>
      </w:r>
      <w:r w:rsidR="0028459A">
        <w:rPr>
          <w:lang w:val="en-US"/>
        </w:rPr>
        <w:t>.</w:t>
      </w:r>
    </w:p>
    <w:p w:rsidR="005474FA" w:rsidRDefault="005474FA" w:rsidP="005474FA">
      <w:pPr>
        <w:pStyle w:val="PlainText"/>
        <w:ind w:firstLine="284"/>
        <w:rPr>
          <w:lang w:val="en-US"/>
        </w:rPr>
      </w:pPr>
    </w:p>
    <w:tbl>
      <w:tblPr>
        <w:tblStyle w:val="TableGrid"/>
        <w:tblW w:w="1282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27"/>
        <w:gridCol w:w="1289"/>
        <w:gridCol w:w="7"/>
        <w:gridCol w:w="1314"/>
        <w:gridCol w:w="947"/>
        <w:gridCol w:w="1275"/>
        <w:gridCol w:w="7"/>
        <w:gridCol w:w="940"/>
        <w:gridCol w:w="989"/>
        <w:gridCol w:w="1449"/>
        <w:gridCol w:w="58"/>
      </w:tblGrid>
      <w:tr w:rsidR="00124B26" w:rsidTr="00124B26">
        <w:trPr>
          <w:gridAfter w:val="1"/>
          <w:wAfter w:w="58" w:type="dxa"/>
        </w:trPr>
        <w:tc>
          <w:tcPr>
            <w:tcW w:w="3227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</w:p>
        </w:tc>
        <w:tc>
          <w:tcPr>
            <w:tcW w:w="2623" w:type="dxa"/>
            <w:gridSpan w:val="3"/>
          </w:tcPr>
          <w:p w:rsidR="00124B26" w:rsidRPr="00C87C04" w:rsidRDefault="00124B26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GDS Mean ± SD</w:t>
            </w:r>
          </w:p>
        </w:tc>
        <w:tc>
          <w:tcPr>
            <w:tcW w:w="3543" w:type="dxa"/>
            <w:gridSpan w:val="4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Null-hypothesis test</w:t>
            </w:r>
          </w:p>
        </w:tc>
        <w:tc>
          <w:tcPr>
            <w:tcW w:w="3378" w:type="dxa"/>
            <w:gridSpan w:val="3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Equivalence test</w:t>
            </w:r>
          </w:p>
        </w:tc>
      </w:tr>
      <w:tr w:rsidR="00124B26" w:rsidRPr="00C87C04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941E78" w:rsidRDefault="00124B26" w:rsidP="00124B26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24B26" w:rsidRDefault="00124B26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MDD </w:t>
            </w:r>
          </w:p>
          <w:p w:rsidR="00124B26" w:rsidRDefault="004D523A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</w:t>
            </w:r>
            <w:r w:rsidR="00124B26">
              <w:rPr>
                <w:rFonts w:cstheme="minorHAnsi"/>
                <w:lang w:val="en-US"/>
              </w:rPr>
              <w:t>=17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124B26" w:rsidRPr="00C87C04" w:rsidRDefault="004D523A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Non-depressed N</w:t>
            </w:r>
            <w:r w:rsidR="00124B26">
              <w:rPr>
                <w:rFonts w:cstheme="minorHAnsi"/>
                <w:lang w:val="en-US"/>
              </w:rPr>
              <w:t>=43</w:t>
            </w:r>
          </w:p>
        </w:tc>
        <w:tc>
          <w:tcPr>
            <w:tcW w:w="1321" w:type="dxa"/>
            <w:gridSpan w:val="2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Degrees of </w:t>
            </w:r>
          </w:p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>
              <w:rPr>
                <w:lang w:val="en-US"/>
              </w:rPr>
              <w:t>freedom</w:t>
            </w:r>
          </w:p>
        </w:tc>
        <w:tc>
          <w:tcPr>
            <w:tcW w:w="947" w:type="dxa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>
              <w:rPr>
                <w:lang w:val="en-US"/>
              </w:rPr>
              <w:t>t-value</w:t>
            </w:r>
          </w:p>
        </w:tc>
        <w:tc>
          <w:tcPr>
            <w:tcW w:w="1275" w:type="dxa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  <w:tc>
          <w:tcPr>
            <w:tcW w:w="947" w:type="dxa"/>
            <w:gridSpan w:val="2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>
              <w:rPr>
                <w:lang w:val="en-US"/>
              </w:rPr>
              <w:t>t-value</w:t>
            </w:r>
          </w:p>
        </w:tc>
        <w:tc>
          <w:tcPr>
            <w:tcW w:w="989" w:type="dxa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  <w:tc>
          <w:tcPr>
            <w:tcW w:w="1449" w:type="dxa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>
              <w:rPr>
                <w:lang w:val="en-US"/>
              </w:rPr>
              <w:t>Effect size d</w:t>
            </w:r>
          </w:p>
        </w:tc>
      </w:tr>
      <w:tr w:rsidR="00124B26" w:rsidRPr="00424ED5" w:rsidTr="00F33241">
        <w:tc>
          <w:tcPr>
            <w:tcW w:w="3227" w:type="dxa"/>
          </w:tcPr>
          <w:p w:rsidR="00124B26" w:rsidRPr="00941E78" w:rsidRDefault="00540398" w:rsidP="00124B26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Reference</w:t>
            </w:r>
            <w:r>
              <w:rPr>
                <w:rFonts w:cstheme="minorHAnsi"/>
                <w:lang w:val="en-US"/>
              </w:rPr>
              <w:t xml:space="preserve"> </w:t>
            </w:r>
            <w:r w:rsidR="00124B26">
              <w:rPr>
                <w:rFonts w:cstheme="minorHAnsi"/>
                <w:lang w:val="en-US"/>
              </w:rPr>
              <w:t xml:space="preserve">15-item GDS </w:t>
            </w:r>
            <w:r w:rsidR="00124B26" w:rsidRPr="00941E78">
              <w:rPr>
                <w:rFonts w:cstheme="minorHAnsi"/>
                <w:lang w:val="en-US"/>
              </w:rPr>
              <w:t>Sheikh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9.18 ± 3.45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F33241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3.81 ± 3.03</w:t>
            </w:r>
          </w:p>
        </w:tc>
        <w:tc>
          <w:tcPr>
            <w:tcW w:w="6986" w:type="dxa"/>
            <w:gridSpan w:val="9"/>
          </w:tcPr>
          <w:p w:rsidR="00124B26" w:rsidRPr="000A0701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124B26" w:rsidRPr="00424ED5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941E78" w:rsidRDefault="00124B26" w:rsidP="00124B26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12-item S</w:t>
            </w:r>
            <w:bookmarkStart w:id="0" w:name="_GoBack"/>
            <w:bookmarkEnd w:id="0"/>
            <w:r w:rsidRPr="00941E78">
              <w:rPr>
                <w:rFonts w:cstheme="minorHAnsi"/>
                <w:lang w:val="en-US"/>
              </w:rPr>
              <w:t>utcliffe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7.82 ± 3.26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F33241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2.84 ± 2.65</w:t>
            </w:r>
          </w:p>
        </w:tc>
        <w:tc>
          <w:tcPr>
            <w:tcW w:w="1321" w:type="dxa"/>
            <w:gridSpan w:val="2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 w:rsidRPr="008B73C6">
              <w:rPr>
                <w:lang w:val="en-US"/>
              </w:rPr>
              <w:t>27.35</w:t>
            </w:r>
          </w:p>
        </w:tc>
        <w:tc>
          <w:tcPr>
            <w:tcW w:w="947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1.004</w:t>
            </w:r>
          </w:p>
        </w:tc>
        <w:tc>
          <w:tcPr>
            <w:tcW w:w="1275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8B73C6">
              <w:rPr>
                <w:lang w:val="en-US"/>
              </w:rPr>
              <w:t>0.324</w:t>
            </w:r>
          </w:p>
        </w:tc>
        <w:tc>
          <w:tcPr>
            <w:tcW w:w="947" w:type="dxa"/>
            <w:gridSpan w:val="2"/>
          </w:tcPr>
          <w:p w:rsidR="00124B26" w:rsidRPr="00FD70C5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 xml:space="preserve">-0.687 </w:t>
            </w:r>
          </w:p>
        </w:tc>
        <w:tc>
          <w:tcPr>
            <w:tcW w:w="989" w:type="dxa"/>
          </w:tcPr>
          <w:p w:rsidR="00124B26" w:rsidRPr="00644BF7" w:rsidRDefault="00124B26" w:rsidP="00124B26">
            <w:pPr>
              <w:pStyle w:val="PlainText"/>
              <w:rPr>
                <w:lang w:val="en-US"/>
              </w:rPr>
            </w:pPr>
            <w:r w:rsidRPr="008B73C6">
              <w:rPr>
                <w:lang w:val="en-US"/>
              </w:rPr>
              <w:t>0.249</w:t>
            </w:r>
          </w:p>
        </w:tc>
        <w:tc>
          <w:tcPr>
            <w:tcW w:w="144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8B73C6">
              <w:rPr>
                <w:lang w:val="en-US"/>
              </w:rPr>
              <w:t>-0.196822</w:t>
            </w:r>
          </w:p>
        </w:tc>
      </w:tr>
      <w:tr w:rsidR="00124B26" w:rsidRPr="00424ED5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941E78" w:rsidRDefault="00124B26" w:rsidP="00124B26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10-item </w:t>
            </w:r>
            <w:proofErr w:type="spellStart"/>
            <w:r w:rsidRPr="00941E78">
              <w:rPr>
                <w:rFonts w:cstheme="minorHAnsi"/>
                <w:lang w:val="en-US"/>
              </w:rPr>
              <w:t>D’Ath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6.00 ± 2.31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C37BD4" w:rsidRPr="009449BB" w:rsidRDefault="00C37BD4" w:rsidP="00C37BD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2.26 ± 2.02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124B26" w:rsidRPr="00630157" w:rsidRDefault="00124B26" w:rsidP="00124B26">
            <w:pPr>
              <w:pStyle w:val="PlainText"/>
              <w:jc w:val="center"/>
              <w:rPr>
                <w:highlight w:val="yellow"/>
                <w:lang w:val="en-US"/>
              </w:rPr>
            </w:pPr>
            <w:r w:rsidRPr="008B73C6">
              <w:rPr>
                <w:lang w:val="en-US"/>
              </w:rPr>
              <w:t>22.01</w:t>
            </w:r>
          </w:p>
        </w:tc>
        <w:tc>
          <w:tcPr>
            <w:tcW w:w="947" w:type="dxa"/>
            <w:shd w:val="clear" w:color="auto" w:fill="auto"/>
          </w:tcPr>
          <w:p w:rsidR="00124B26" w:rsidRPr="00630157" w:rsidRDefault="00124B26" w:rsidP="00124B26">
            <w:pPr>
              <w:pStyle w:val="PlainText"/>
              <w:rPr>
                <w:highlight w:val="yellow"/>
                <w:lang w:val="en-US"/>
              </w:rPr>
            </w:pPr>
            <w:r>
              <w:rPr>
                <w:lang w:val="en-US"/>
              </w:rPr>
              <w:t>1.898</w:t>
            </w:r>
          </w:p>
        </w:tc>
        <w:tc>
          <w:tcPr>
            <w:tcW w:w="1275" w:type="dxa"/>
            <w:shd w:val="clear" w:color="auto" w:fill="auto"/>
          </w:tcPr>
          <w:p w:rsidR="00124B26" w:rsidRPr="00630157" w:rsidRDefault="00124B26" w:rsidP="00124B26">
            <w:pPr>
              <w:pStyle w:val="PlainText"/>
              <w:rPr>
                <w:highlight w:val="yellow"/>
                <w:lang w:val="en-US"/>
              </w:rPr>
            </w:pPr>
            <w:r w:rsidRPr="008B73C6">
              <w:rPr>
                <w:lang w:val="en-US"/>
              </w:rPr>
              <w:t>0.0709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124B26" w:rsidRPr="00630157" w:rsidRDefault="00124B26" w:rsidP="00124B26">
            <w:pPr>
              <w:pStyle w:val="PlainText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0.302 </w:t>
            </w:r>
          </w:p>
        </w:tc>
        <w:tc>
          <w:tcPr>
            <w:tcW w:w="989" w:type="dxa"/>
            <w:shd w:val="clear" w:color="auto" w:fill="auto"/>
          </w:tcPr>
          <w:p w:rsidR="00124B26" w:rsidRPr="00630157" w:rsidRDefault="00124B26" w:rsidP="00124B26">
            <w:pPr>
              <w:pStyle w:val="PlainText"/>
              <w:rPr>
                <w:highlight w:val="yellow"/>
                <w:lang w:val="en-US"/>
              </w:rPr>
            </w:pPr>
            <w:r w:rsidRPr="008B73C6">
              <w:rPr>
                <w:lang w:val="en-US"/>
              </w:rPr>
              <w:t>0.617</w:t>
            </w:r>
          </w:p>
        </w:tc>
        <w:tc>
          <w:tcPr>
            <w:tcW w:w="1449" w:type="dxa"/>
            <w:shd w:val="clear" w:color="auto" w:fill="auto"/>
          </w:tcPr>
          <w:p w:rsidR="00124B26" w:rsidRPr="00630157" w:rsidRDefault="00124B26" w:rsidP="00124B26">
            <w:pPr>
              <w:pStyle w:val="PlainText"/>
              <w:rPr>
                <w:highlight w:val="yellow"/>
                <w:lang w:val="en-US"/>
              </w:rPr>
            </w:pPr>
            <w:r w:rsidRPr="008B73C6">
              <w:rPr>
                <w:lang w:val="en-US"/>
              </w:rPr>
              <w:t>0.08652147</w:t>
            </w:r>
          </w:p>
        </w:tc>
      </w:tr>
      <w:tr w:rsidR="00124B26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941E78" w:rsidRDefault="00124B26" w:rsidP="00124B26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10-item Van </w:t>
            </w:r>
            <w:proofErr w:type="spellStart"/>
            <w:r w:rsidRPr="00941E78">
              <w:rPr>
                <w:rFonts w:cstheme="minorHAnsi"/>
                <w:lang w:val="en-US"/>
              </w:rPr>
              <w:t>Marwijk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6.82 ± 2.30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2.95</w:t>
            </w:r>
            <w:r>
              <w:rPr>
                <w:rFonts w:cstheme="minorHAnsi"/>
                <w:lang w:val="en-US"/>
              </w:rPr>
              <w:t xml:space="preserve"> ±2.10</w:t>
            </w:r>
          </w:p>
        </w:tc>
        <w:tc>
          <w:tcPr>
            <w:tcW w:w="1321" w:type="dxa"/>
            <w:gridSpan w:val="2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 w:rsidRPr="008B73C6">
              <w:rPr>
                <w:lang w:val="en-US"/>
              </w:rPr>
              <w:t>22.48</w:t>
            </w:r>
          </w:p>
        </w:tc>
        <w:tc>
          <w:tcPr>
            <w:tcW w:w="947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1.226</w:t>
            </w:r>
            <w:r w:rsidRPr="008B73C6">
              <w:rPr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8B73C6">
              <w:rPr>
                <w:lang w:val="en-US"/>
              </w:rPr>
              <w:t>0.233</w:t>
            </w:r>
          </w:p>
        </w:tc>
        <w:tc>
          <w:tcPr>
            <w:tcW w:w="947" w:type="dxa"/>
            <w:gridSpan w:val="2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-0.379</w:t>
            </w:r>
            <w:r w:rsidRPr="008B73C6">
              <w:rPr>
                <w:lang w:val="en-US"/>
              </w:rPr>
              <w:t xml:space="preserve"> </w:t>
            </w:r>
          </w:p>
        </w:tc>
        <w:tc>
          <w:tcPr>
            <w:tcW w:w="98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8B73C6">
              <w:rPr>
                <w:lang w:val="en-US"/>
              </w:rPr>
              <w:t>0.354</w:t>
            </w:r>
          </w:p>
        </w:tc>
        <w:tc>
          <w:tcPr>
            <w:tcW w:w="144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8B73C6">
              <w:rPr>
                <w:lang w:val="en-US"/>
              </w:rPr>
              <w:t>-0.1085816</w:t>
            </w:r>
          </w:p>
        </w:tc>
      </w:tr>
      <w:tr w:rsidR="00124B26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941E78" w:rsidRDefault="00124B26" w:rsidP="00124B26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8-item </w:t>
            </w:r>
            <w:proofErr w:type="spellStart"/>
            <w:r w:rsidRPr="00941E78">
              <w:rPr>
                <w:rFonts w:cstheme="minorHAnsi"/>
                <w:lang w:val="en-US"/>
              </w:rPr>
              <w:t>Allgaier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5.29 ± 2.44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1.44</w:t>
            </w:r>
            <w:r>
              <w:rPr>
                <w:rFonts w:cstheme="minorHAnsi"/>
                <w:lang w:val="en-US"/>
              </w:rPr>
              <w:t xml:space="preserve"> ± 1.87</w:t>
            </w:r>
          </w:p>
        </w:tc>
        <w:tc>
          <w:tcPr>
            <w:tcW w:w="1321" w:type="dxa"/>
            <w:gridSpan w:val="2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 w:rsidRPr="008B73C6">
              <w:rPr>
                <w:lang w:val="en-US"/>
              </w:rPr>
              <w:t>22.01</w:t>
            </w:r>
          </w:p>
        </w:tc>
        <w:tc>
          <w:tcPr>
            <w:tcW w:w="947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2.657</w:t>
            </w:r>
          </w:p>
        </w:tc>
        <w:tc>
          <w:tcPr>
            <w:tcW w:w="1275" w:type="dxa"/>
          </w:tcPr>
          <w:p w:rsidR="00124B26" w:rsidRPr="00FA5239" w:rsidRDefault="00124B26" w:rsidP="00124B26">
            <w:pPr>
              <w:pStyle w:val="PlainText"/>
              <w:rPr>
                <w:b/>
                <w:lang w:val="en-US"/>
              </w:rPr>
            </w:pPr>
            <w:r w:rsidRPr="00FA5239">
              <w:rPr>
                <w:b/>
                <w:lang w:val="en-US"/>
              </w:rPr>
              <w:t>0.0144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947" w:type="dxa"/>
            <w:gridSpan w:val="2"/>
          </w:tcPr>
          <w:p w:rsidR="00124B26" w:rsidRPr="004F2911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1.061</w:t>
            </w:r>
          </w:p>
        </w:tc>
        <w:tc>
          <w:tcPr>
            <w:tcW w:w="98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FA5239">
              <w:rPr>
                <w:lang w:val="en-US"/>
              </w:rPr>
              <w:t>0.850</w:t>
            </w:r>
          </w:p>
        </w:tc>
        <w:tc>
          <w:tcPr>
            <w:tcW w:w="144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FA5239">
              <w:rPr>
                <w:lang w:val="en-US"/>
              </w:rPr>
              <w:t>0.3039711</w:t>
            </w:r>
          </w:p>
        </w:tc>
      </w:tr>
      <w:tr w:rsidR="00124B26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941E78" w:rsidRDefault="00124B26" w:rsidP="00124B26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7-item </w:t>
            </w:r>
            <w:proofErr w:type="spellStart"/>
            <w:r w:rsidRPr="00941E78">
              <w:rPr>
                <w:rFonts w:cstheme="minorHAnsi"/>
                <w:lang w:val="en-US"/>
              </w:rPr>
              <w:t>Broekman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4.76 ± 1.89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1.26</w:t>
            </w:r>
            <w:r>
              <w:rPr>
                <w:rFonts w:cstheme="minorHAnsi"/>
                <w:lang w:val="en-US"/>
              </w:rPr>
              <w:t xml:space="preserve"> ± 1.63</w:t>
            </w:r>
          </w:p>
        </w:tc>
        <w:tc>
          <w:tcPr>
            <w:tcW w:w="1321" w:type="dxa"/>
            <w:gridSpan w:val="2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 w:rsidRPr="002B03B7">
              <w:rPr>
                <w:lang w:val="en-US"/>
              </w:rPr>
              <w:t>20.32</w:t>
            </w:r>
          </w:p>
        </w:tc>
        <w:tc>
          <w:tcPr>
            <w:tcW w:w="947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3.005</w:t>
            </w:r>
          </w:p>
        </w:tc>
        <w:tc>
          <w:tcPr>
            <w:tcW w:w="1275" w:type="dxa"/>
          </w:tcPr>
          <w:p w:rsidR="00124B26" w:rsidRPr="002B03B7" w:rsidRDefault="00124B26" w:rsidP="00124B26">
            <w:pPr>
              <w:pStyle w:val="PlainText"/>
              <w:rPr>
                <w:b/>
                <w:lang w:val="en-US"/>
              </w:rPr>
            </w:pPr>
            <w:r w:rsidRPr="002B03B7">
              <w:rPr>
                <w:b/>
                <w:lang w:val="en-US"/>
              </w:rPr>
              <w:t>0.00691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947" w:type="dxa"/>
            <w:gridSpan w:val="2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1.446</w:t>
            </w:r>
          </w:p>
        </w:tc>
        <w:tc>
          <w:tcPr>
            <w:tcW w:w="98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0.918</w:t>
            </w:r>
          </w:p>
        </w:tc>
        <w:tc>
          <w:tcPr>
            <w:tcW w:w="144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0.4142717</w:t>
            </w:r>
          </w:p>
        </w:tc>
      </w:tr>
      <w:tr w:rsidR="00124B26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941E78" w:rsidRDefault="00124B26" w:rsidP="00124B26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5-item </w:t>
            </w:r>
            <w:proofErr w:type="spellStart"/>
            <w:r w:rsidRPr="00941E78">
              <w:rPr>
                <w:rFonts w:cstheme="minorHAnsi"/>
                <w:lang w:val="en-US"/>
              </w:rPr>
              <w:t>Hoyl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3.24 ± 1.25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1.40</w:t>
            </w:r>
            <w:r>
              <w:rPr>
                <w:rFonts w:cstheme="minorHAnsi"/>
                <w:lang w:val="en-US"/>
              </w:rPr>
              <w:t xml:space="preserve"> ± 1.05</w:t>
            </w:r>
          </w:p>
        </w:tc>
        <w:tc>
          <w:tcPr>
            <w:tcW w:w="1321" w:type="dxa"/>
            <w:gridSpan w:val="2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 w:rsidRPr="002B03B7">
              <w:rPr>
                <w:lang w:val="en-US"/>
              </w:rPr>
              <w:t>17.57</w:t>
            </w:r>
          </w:p>
        </w:tc>
        <w:tc>
          <w:tcPr>
            <w:tcW w:w="947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3.423</w:t>
            </w:r>
          </w:p>
        </w:tc>
        <w:tc>
          <w:tcPr>
            <w:tcW w:w="1275" w:type="dxa"/>
          </w:tcPr>
          <w:p w:rsidR="00124B26" w:rsidRPr="002B03B7" w:rsidRDefault="00124B26" w:rsidP="00124B26">
            <w:pPr>
              <w:pStyle w:val="PlainText"/>
              <w:rPr>
                <w:b/>
                <w:lang w:val="en-US"/>
              </w:rPr>
            </w:pPr>
            <w:r w:rsidRPr="002B03B7">
              <w:rPr>
                <w:b/>
                <w:lang w:val="en-US"/>
              </w:rPr>
              <w:t>0.00312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947" w:type="dxa"/>
            <w:gridSpan w:val="2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1.936</w:t>
            </w:r>
          </w:p>
        </w:tc>
        <w:tc>
          <w:tcPr>
            <w:tcW w:w="98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0.965</w:t>
            </w:r>
          </w:p>
        </w:tc>
        <w:tc>
          <w:tcPr>
            <w:tcW w:w="144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0.5546542</w:t>
            </w:r>
          </w:p>
        </w:tc>
      </w:tr>
      <w:tr w:rsidR="00124B26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941E78" w:rsidRDefault="00124B26" w:rsidP="00124B26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5-item Cheng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3.41 ± 1.58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</w:t>
            </w:r>
            <w:r>
              <w:rPr>
                <w:rFonts w:cstheme="minorHAnsi"/>
                <w:lang w:val="en-US"/>
              </w:rPr>
              <w:t xml:space="preserve"> ± 1.34</w:t>
            </w:r>
          </w:p>
        </w:tc>
        <w:tc>
          <w:tcPr>
            <w:tcW w:w="1321" w:type="dxa"/>
            <w:gridSpan w:val="2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 w:rsidRPr="002B03B7">
              <w:rPr>
                <w:lang w:val="en-US"/>
              </w:rPr>
              <w:t>18.62</w:t>
            </w:r>
          </w:p>
        </w:tc>
        <w:tc>
          <w:tcPr>
            <w:tcW w:w="947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3.571</w:t>
            </w:r>
          </w:p>
        </w:tc>
        <w:tc>
          <w:tcPr>
            <w:tcW w:w="1275" w:type="dxa"/>
          </w:tcPr>
          <w:p w:rsidR="00124B26" w:rsidRPr="002B03B7" w:rsidRDefault="00124B26" w:rsidP="00124B26">
            <w:pPr>
              <w:pStyle w:val="PlainText"/>
              <w:rPr>
                <w:b/>
                <w:lang w:val="en-US"/>
              </w:rPr>
            </w:pPr>
            <w:r w:rsidRPr="002B03B7">
              <w:rPr>
                <w:b/>
                <w:lang w:val="en-US"/>
              </w:rPr>
              <w:t>0.00209*</w:t>
            </w:r>
          </w:p>
        </w:tc>
        <w:tc>
          <w:tcPr>
            <w:tcW w:w="947" w:type="dxa"/>
            <w:gridSpan w:val="2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2.054</w:t>
            </w:r>
          </w:p>
        </w:tc>
        <w:tc>
          <w:tcPr>
            <w:tcW w:w="98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0.973</w:t>
            </w:r>
          </w:p>
        </w:tc>
        <w:tc>
          <w:tcPr>
            <w:tcW w:w="144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0.5884606</w:t>
            </w:r>
          </w:p>
        </w:tc>
      </w:tr>
      <w:tr w:rsidR="00124B26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941E78" w:rsidRDefault="00124B26" w:rsidP="00124B26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4-item </w:t>
            </w:r>
            <w:proofErr w:type="spellStart"/>
            <w:r w:rsidRPr="00941E78">
              <w:rPr>
                <w:rFonts w:cstheme="minorHAnsi"/>
                <w:lang w:val="en-US"/>
              </w:rPr>
              <w:t>D’Ath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2.47 ± 1.01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0.65</w:t>
            </w:r>
            <w:r>
              <w:rPr>
                <w:rFonts w:cstheme="minorHAnsi"/>
                <w:lang w:val="en-US"/>
              </w:rPr>
              <w:t xml:space="preserve"> ± 0.95</w:t>
            </w:r>
          </w:p>
        </w:tc>
        <w:tc>
          <w:tcPr>
            <w:tcW w:w="1321" w:type="dxa"/>
            <w:gridSpan w:val="2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 w:rsidRPr="002B03B7">
              <w:rPr>
                <w:lang w:val="en-US"/>
              </w:rPr>
              <w:t>17.35</w:t>
            </w:r>
          </w:p>
        </w:tc>
        <w:tc>
          <w:tcPr>
            <w:tcW w:w="947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4.141</w:t>
            </w:r>
          </w:p>
        </w:tc>
        <w:tc>
          <w:tcPr>
            <w:tcW w:w="1275" w:type="dxa"/>
          </w:tcPr>
          <w:p w:rsidR="00124B26" w:rsidRPr="002B03B7" w:rsidRDefault="00124B26" w:rsidP="00124B26">
            <w:pPr>
              <w:pStyle w:val="PlainText"/>
              <w:rPr>
                <w:b/>
                <w:lang w:val="en-US"/>
              </w:rPr>
            </w:pPr>
            <w:r w:rsidRPr="002B03B7">
              <w:rPr>
                <w:b/>
                <w:lang w:val="en-US"/>
              </w:rPr>
              <w:t>0.000658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947" w:type="dxa"/>
            <w:gridSpan w:val="2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2.660</w:t>
            </w:r>
          </w:p>
        </w:tc>
        <w:tc>
          <w:tcPr>
            <w:tcW w:w="98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0.992</w:t>
            </w:r>
          </w:p>
        </w:tc>
        <w:tc>
          <w:tcPr>
            <w:tcW w:w="144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0.7620765</w:t>
            </w:r>
          </w:p>
        </w:tc>
      </w:tr>
      <w:tr w:rsidR="00124B26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941E78" w:rsidRDefault="00124B26" w:rsidP="00124B26">
            <w:pPr>
              <w:jc w:val="both"/>
              <w:rPr>
                <w:rFonts w:cstheme="minorHAnsi"/>
                <w:vertAlign w:val="superscript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4-item Van </w:t>
            </w:r>
            <w:proofErr w:type="spellStart"/>
            <w:r w:rsidRPr="00941E78">
              <w:rPr>
                <w:rFonts w:cstheme="minorHAnsi"/>
                <w:lang w:val="en-US"/>
              </w:rPr>
              <w:t>Marwijk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2.82 ± 0.89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1.40</w:t>
            </w:r>
            <w:r>
              <w:rPr>
                <w:rFonts w:cstheme="minorHAnsi"/>
                <w:lang w:val="en-US"/>
              </w:rPr>
              <w:t xml:space="preserve"> ± 0.85</w:t>
            </w:r>
          </w:p>
        </w:tc>
        <w:tc>
          <w:tcPr>
            <w:tcW w:w="1321" w:type="dxa"/>
            <w:gridSpan w:val="2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 w:rsidRPr="002B03B7">
              <w:rPr>
                <w:lang w:val="en-US"/>
              </w:rPr>
              <w:t>16.97</w:t>
            </w:r>
          </w:p>
        </w:tc>
        <w:tc>
          <w:tcPr>
            <w:tcW w:w="947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3.555</w:t>
            </w:r>
          </w:p>
        </w:tc>
        <w:tc>
          <w:tcPr>
            <w:tcW w:w="1275" w:type="dxa"/>
          </w:tcPr>
          <w:p w:rsidR="00124B26" w:rsidRPr="002B03B7" w:rsidRDefault="00124B26" w:rsidP="00124B26">
            <w:pPr>
              <w:pStyle w:val="PlainText"/>
              <w:rPr>
                <w:b/>
                <w:lang w:val="en-US"/>
              </w:rPr>
            </w:pPr>
            <w:r w:rsidRPr="002B03B7">
              <w:rPr>
                <w:b/>
                <w:lang w:val="en-US"/>
              </w:rPr>
              <w:t>0.00244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947" w:type="dxa"/>
            <w:gridSpan w:val="2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2.086</w:t>
            </w:r>
          </w:p>
        </w:tc>
        <w:tc>
          <w:tcPr>
            <w:tcW w:w="98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0.974</w:t>
            </w:r>
          </w:p>
        </w:tc>
        <w:tc>
          <w:tcPr>
            <w:tcW w:w="144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0.5976284</w:t>
            </w:r>
          </w:p>
        </w:tc>
      </w:tr>
      <w:tr w:rsidR="00124B26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CB4471" w:rsidRDefault="00124B26" w:rsidP="00124B26">
            <w:pPr>
              <w:jc w:val="both"/>
              <w:rPr>
                <w:rFonts w:cstheme="minorHAnsi"/>
                <w:lang w:val="en-US"/>
              </w:rPr>
            </w:pPr>
            <w:r w:rsidRPr="00CB4471">
              <w:rPr>
                <w:rFonts w:cstheme="minorHAnsi"/>
                <w:lang w:val="en-US"/>
              </w:rPr>
              <w:t xml:space="preserve">      1-item </w:t>
            </w:r>
            <w:proofErr w:type="spellStart"/>
            <w:r w:rsidRPr="00CB4471">
              <w:rPr>
                <w:rFonts w:cstheme="minorHAnsi"/>
                <w:lang w:val="en-US"/>
              </w:rPr>
              <w:t>D’Ath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0.89 ± 0.33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0.28 ± 0.45</w:t>
            </w:r>
          </w:p>
        </w:tc>
        <w:tc>
          <w:tcPr>
            <w:tcW w:w="1321" w:type="dxa"/>
            <w:gridSpan w:val="2"/>
          </w:tcPr>
          <w:p w:rsidR="00124B26" w:rsidRPr="00CB4471" w:rsidRDefault="00124B26" w:rsidP="00124B26">
            <w:pPr>
              <w:pStyle w:val="PlainText"/>
              <w:jc w:val="center"/>
              <w:rPr>
                <w:lang w:val="en-US"/>
              </w:rPr>
            </w:pPr>
            <w:r w:rsidRPr="002B03B7">
              <w:rPr>
                <w:lang w:val="en-US"/>
              </w:rPr>
              <w:t>16.2</w:t>
            </w:r>
            <w:r>
              <w:rPr>
                <w:lang w:val="en-US"/>
              </w:rPr>
              <w:t>0</w:t>
            </w:r>
          </w:p>
        </w:tc>
        <w:tc>
          <w:tcPr>
            <w:tcW w:w="947" w:type="dxa"/>
          </w:tcPr>
          <w:p w:rsidR="00124B26" w:rsidRPr="00CB4471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5.035</w:t>
            </w:r>
          </w:p>
        </w:tc>
        <w:tc>
          <w:tcPr>
            <w:tcW w:w="1275" w:type="dxa"/>
          </w:tcPr>
          <w:p w:rsidR="00124B26" w:rsidRPr="002B03B7" w:rsidRDefault="00124B26" w:rsidP="00124B26">
            <w:pPr>
              <w:pStyle w:val="PlainText"/>
              <w:rPr>
                <w:b/>
                <w:lang w:val="en-US"/>
              </w:rPr>
            </w:pPr>
            <w:r w:rsidRPr="002B03B7">
              <w:rPr>
                <w:b/>
                <w:lang w:val="en-US"/>
              </w:rPr>
              <w:t>0.000117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947" w:type="dxa"/>
            <w:gridSpan w:val="2"/>
          </w:tcPr>
          <w:p w:rsidR="00124B26" w:rsidRPr="004F2911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3.592</w:t>
            </w:r>
          </w:p>
        </w:tc>
        <w:tc>
          <w:tcPr>
            <w:tcW w:w="989" w:type="dxa"/>
          </w:tcPr>
          <w:p w:rsidR="00124B26" w:rsidRPr="004F2911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0.999</w:t>
            </w:r>
          </w:p>
        </w:tc>
        <w:tc>
          <w:tcPr>
            <w:tcW w:w="1449" w:type="dxa"/>
          </w:tcPr>
          <w:p w:rsidR="00124B26" w:rsidRPr="004F2911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1.02909</w:t>
            </w:r>
          </w:p>
        </w:tc>
      </w:tr>
      <w:tr w:rsidR="00124B26" w:rsidRPr="00C87C04" w:rsidTr="00F33241">
        <w:trPr>
          <w:gridAfter w:val="1"/>
          <w:wAfter w:w="58" w:type="dxa"/>
        </w:trPr>
        <w:tc>
          <w:tcPr>
            <w:tcW w:w="3227" w:type="dxa"/>
          </w:tcPr>
          <w:p w:rsidR="00124B26" w:rsidRPr="00941E78" w:rsidRDefault="00124B26" w:rsidP="00124B26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1-item Van </w:t>
            </w:r>
            <w:proofErr w:type="spellStart"/>
            <w:r w:rsidRPr="00941E78">
              <w:rPr>
                <w:rFonts w:cstheme="minorHAnsi"/>
                <w:lang w:val="en-US"/>
              </w:rPr>
              <w:t>Marwijk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0.65 ± 0.49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24B26" w:rsidRPr="009449BB" w:rsidRDefault="00C37BD4" w:rsidP="00124B2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 ± 0.26</w:t>
            </w:r>
          </w:p>
        </w:tc>
        <w:tc>
          <w:tcPr>
            <w:tcW w:w="1321" w:type="dxa"/>
            <w:gridSpan w:val="2"/>
          </w:tcPr>
          <w:p w:rsidR="00124B26" w:rsidRDefault="00124B26" w:rsidP="00124B26">
            <w:pPr>
              <w:pStyle w:val="PlainText"/>
              <w:jc w:val="center"/>
              <w:rPr>
                <w:lang w:val="en-US"/>
              </w:rPr>
            </w:pPr>
            <w:r w:rsidRPr="002B03B7">
              <w:rPr>
                <w:lang w:val="en-US"/>
              </w:rPr>
              <w:t>16.13</w:t>
            </w:r>
          </w:p>
        </w:tc>
        <w:tc>
          <w:tcPr>
            <w:tcW w:w="947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5.247</w:t>
            </w:r>
          </w:p>
        </w:tc>
        <w:tc>
          <w:tcPr>
            <w:tcW w:w="1275" w:type="dxa"/>
          </w:tcPr>
          <w:p w:rsidR="00124B26" w:rsidRPr="002B03B7" w:rsidRDefault="00124B26" w:rsidP="00124B26">
            <w:pPr>
              <w:pStyle w:val="Plain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0.00007</w:t>
            </w:r>
            <w:r w:rsidRPr="002B03B7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947" w:type="dxa"/>
            <w:gridSpan w:val="2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3.805</w:t>
            </w:r>
          </w:p>
        </w:tc>
        <w:tc>
          <w:tcPr>
            <w:tcW w:w="98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0.999</w:t>
            </w:r>
          </w:p>
        </w:tc>
        <w:tc>
          <w:tcPr>
            <w:tcW w:w="1449" w:type="dxa"/>
          </w:tcPr>
          <w:p w:rsidR="00124B26" w:rsidRDefault="00124B26" w:rsidP="00124B26">
            <w:pPr>
              <w:pStyle w:val="PlainText"/>
              <w:rPr>
                <w:lang w:val="en-US"/>
              </w:rPr>
            </w:pPr>
            <w:r w:rsidRPr="002B03B7">
              <w:rPr>
                <w:lang w:val="en-US"/>
              </w:rPr>
              <w:t>1.090113</w:t>
            </w:r>
          </w:p>
        </w:tc>
      </w:tr>
      <w:tr w:rsidR="00124B26" w:rsidTr="00C56FBD">
        <w:trPr>
          <w:gridAfter w:val="1"/>
          <w:wAfter w:w="58" w:type="dxa"/>
        </w:trPr>
        <w:tc>
          <w:tcPr>
            <w:tcW w:w="12771" w:type="dxa"/>
            <w:gridSpan w:val="11"/>
          </w:tcPr>
          <w:p w:rsidR="00124B26" w:rsidRPr="00435769" w:rsidRDefault="007217C4" w:rsidP="00124B26">
            <w:pPr>
              <w:pStyle w:val="PlainText"/>
              <w:rPr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Reference GDS </w:t>
            </w:r>
            <w:r w:rsidRPr="00941E78">
              <w:rPr>
                <w:rFonts w:asciiTheme="minorHAnsi" w:hAnsiTheme="minorHAnsi" w:cstheme="minorHAnsi"/>
                <w:szCs w:val="22"/>
                <w:lang w:val="en-US"/>
              </w:rPr>
              <w:t xml:space="preserve">7-item </w:t>
            </w:r>
            <w:proofErr w:type="spellStart"/>
            <w:r w:rsidRPr="00941E78">
              <w:rPr>
                <w:rFonts w:asciiTheme="minorHAnsi" w:hAnsiTheme="minorHAnsi" w:cstheme="minorHAnsi"/>
                <w:szCs w:val="22"/>
                <w:lang w:val="en-US"/>
              </w:rPr>
              <w:t>Broekman</w:t>
            </w:r>
            <w:proofErr w:type="spellEnd"/>
          </w:p>
        </w:tc>
      </w:tr>
      <w:tr w:rsidR="00C37BD4" w:rsidTr="00124B26">
        <w:trPr>
          <w:gridAfter w:val="1"/>
          <w:wAfter w:w="58" w:type="dxa"/>
        </w:trPr>
        <w:tc>
          <w:tcPr>
            <w:tcW w:w="3227" w:type="dxa"/>
          </w:tcPr>
          <w:p w:rsidR="00C37BD4" w:rsidRPr="00941E78" w:rsidRDefault="00C37BD4" w:rsidP="00C37BD4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10-item Van </w:t>
            </w:r>
            <w:proofErr w:type="spellStart"/>
            <w:r w:rsidRPr="00941E78">
              <w:rPr>
                <w:rFonts w:cstheme="minorHAnsi"/>
                <w:lang w:val="en-US"/>
              </w:rPr>
              <w:t>Marwijk</w:t>
            </w:r>
            <w:proofErr w:type="spellEnd"/>
          </w:p>
        </w:tc>
        <w:tc>
          <w:tcPr>
            <w:tcW w:w="1327" w:type="dxa"/>
          </w:tcPr>
          <w:p w:rsidR="00C37BD4" w:rsidRPr="00C87C04" w:rsidRDefault="00C37BD4" w:rsidP="00C37BD4">
            <w:pPr>
              <w:pStyle w:val="Plain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cstheme="minorHAnsi"/>
                <w:lang w:val="en-US"/>
              </w:rPr>
              <w:t>6.82 ± 2.30</w:t>
            </w:r>
          </w:p>
        </w:tc>
        <w:tc>
          <w:tcPr>
            <w:tcW w:w="1289" w:type="dxa"/>
          </w:tcPr>
          <w:p w:rsidR="00C37BD4" w:rsidRPr="00035957" w:rsidRDefault="00C37BD4" w:rsidP="00C37BD4">
            <w:pPr>
              <w:pStyle w:val="PlainText"/>
              <w:jc w:val="center"/>
              <w:rPr>
                <w:lang w:val="en-US"/>
              </w:rPr>
            </w:pPr>
            <w:r>
              <w:rPr>
                <w:rFonts w:cstheme="minorHAnsi"/>
              </w:rPr>
              <w:t>2.95</w:t>
            </w:r>
            <w:r>
              <w:rPr>
                <w:rFonts w:cstheme="minorHAnsi"/>
                <w:lang w:val="en-US"/>
              </w:rPr>
              <w:t xml:space="preserve"> ±2.10</w:t>
            </w:r>
          </w:p>
        </w:tc>
        <w:tc>
          <w:tcPr>
            <w:tcW w:w="1321" w:type="dxa"/>
            <w:gridSpan w:val="2"/>
          </w:tcPr>
          <w:p w:rsidR="00C37BD4" w:rsidRDefault="00C37BD4" w:rsidP="00C37BD4">
            <w:pPr>
              <w:pStyle w:val="PlainText"/>
              <w:jc w:val="center"/>
              <w:rPr>
                <w:lang w:val="en-US"/>
              </w:rPr>
            </w:pPr>
            <w:r w:rsidRPr="008607D7">
              <w:rPr>
                <w:lang w:val="en-US"/>
              </w:rPr>
              <w:t>35.59</w:t>
            </w:r>
          </w:p>
        </w:tc>
        <w:tc>
          <w:tcPr>
            <w:tcW w:w="947" w:type="dxa"/>
          </w:tcPr>
          <w:p w:rsidR="00C37BD4" w:rsidRDefault="00C37BD4" w:rsidP="00C37BD4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-2.562</w:t>
            </w:r>
          </w:p>
        </w:tc>
        <w:tc>
          <w:tcPr>
            <w:tcW w:w="1275" w:type="dxa"/>
          </w:tcPr>
          <w:p w:rsidR="00C37BD4" w:rsidRPr="008607D7" w:rsidRDefault="00C37BD4" w:rsidP="00C37BD4">
            <w:pPr>
              <w:pStyle w:val="PlainText"/>
              <w:rPr>
                <w:b/>
                <w:lang w:val="en-US"/>
              </w:rPr>
            </w:pPr>
            <w:r w:rsidRPr="008607D7">
              <w:rPr>
                <w:b/>
                <w:lang w:val="en-US"/>
              </w:rPr>
              <w:t>0.0148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947" w:type="dxa"/>
            <w:gridSpan w:val="2"/>
          </w:tcPr>
          <w:p w:rsidR="00C37BD4" w:rsidRDefault="00C37BD4" w:rsidP="00C37BD4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-0.765</w:t>
            </w:r>
          </w:p>
        </w:tc>
        <w:tc>
          <w:tcPr>
            <w:tcW w:w="989" w:type="dxa"/>
          </w:tcPr>
          <w:p w:rsidR="00C37BD4" w:rsidRDefault="00C37BD4" w:rsidP="00C37BD4">
            <w:pPr>
              <w:pStyle w:val="PlainText"/>
              <w:rPr>
                <w:lang w:val="en-US"/>
              </w:rPr>
            </w:pPr>
            <w:r w:rsidRPr="008607D7">
              <w:rPr>
                <w:lang w:val="en-US"/>
              </w:rPr>
              <w:t>0.775</w:t>
            </w:r>
          </w:p>
        </w:tc>
        <w:tc>
          <w:tcPr>
            <w:tcW w:w="1449" w:type="dxa"/>
          </w:tcPr>
          <w:p w:rsidR="00C37BD4" w:rsidRDefault="00C37BD4" w:rsidP="00C37BD4">
            <w:pPr>
              <w:pStyle w:val="PlainText"/>
              <w:rPr>
                <w:lang w:val="en-US"/>
              </w:rPr>
            </w:pPr>
            <w:r w:rsidRPr="008607D7">
              <w:rPr>
                <w:lang w:val="en-US"/>
              </w:rPr>
              <w:t>-0.2191686</w:t>
            </w:r>
          </w:p>
        </w:tc>
      </w:tr>
      <w:tr w:rsidR="00C37BD4" w:rsidTr="00124B26">
        <w:trPr>
          <w:gridAfter w:val="1"/>
          <w:wAfter w:w="58" w:type="dxa"/>
        </w:trPr>
        <w:tc>
          <w:tcPr>
            <w:tcW w:w="3227" w:type="dxa"/>
          </w:tcPr>
          <w:p w:rsidR="00C37BD4" w:rsidRPr="00941E78" w:rsidRDefault="00C37BD4" w:rsidP="00C37BD4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4-item </w:t>
            </w:r>
            <w:proofErr w:type="spellStart"/>
            <w:r w:rsidRPr="00941E78">
              <w:rPr>
                <w:rFonts w:cstheme="minorHAnsi"/>
                <w:lang w:val="en-US"/>
              </w:rPr>
              <w:t>D’Ath</w:t>
            </w:r>
            <w:proofErr w:type="spellEnd"/>
          </w:p>
        </w:tc>
        <w:tc>
          <w:tcPr>
            <w:tcW w:w="1327" w:type="dxa"/>
          </w:tcPr>
          <w:p w:rsidR="00C37BD4" w:rsidRPr="00C87C04" w:rsidRDefault="00C37BD4" w:rsidP="00C37BD4">
            <w:pPr>
              <w:pStyle w:val="Plain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cstheme="minorHAnsi"/>
                <w:lang w:val="en-US"/>
              </w:rPr>
              <w:t>2.82 ± 0.89</w:t>
            </w:r>
          </w:p>
        </w:tc>
        <w:tc>
          <w:tcPr>
            <w:tcW w:w="1289" w:type="dxa"/>
          </w:tcPr>
          <w:p w:rsidR="00C37BD4" w:rsidRPr="00035957" w:rsidRDefault="00C37BD4" w:rsidP="00C37BD4">
            <w:pPr>
              <w:pStyle w:val="PlainText"/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0.28 ± 0.45</w:t>
            </w:r>
          </w:p>
        </w:tc>
        <w:tc>
          <w:tcPr>
            <w:tcW w:w="1321" w:type="dxa"/>
            <w:gridSpan w:val="2"/>
          </w:tcPr>
          <w:p w:rsidR="00C37BD4" w:rsidRDefault="00C37BD4" w:rsidP="00C37BD4">
            <w:pPr>
              <w:pStyle w:val="PlainText"/>
              <w:jc w:val="center"/>
              <w:rPr>
                <w:lang w:val="en-US"/>
              </w:rPr>
            </w:pPr>
            <w:r w:rsidRPr="0098288C">
              <w:rPr>
                <w:lang w:val="en-US"/>
              </w:rPr>
              <w:t>20.17</w:t>
            </w:r>
          </w:p>
        </w:tc>
        <w:tc>
          <w:tcPr>
            <w:tcW w:w="947" w:type="dxa"/>
          </w:tcPr>
          <w:p w:rsidR="00C37BD4" w:rsidRDefault="00C37BD4" w:rsidP="00C37BD4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1.689</w:t>
            </w:r>
            <w:r w:rsidRPr="0098288C">
              <w:rPr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C37BD4" w:rsidRPr="00B20EE4" w:rsidRDefault="00C37BD4" w:rsidP="00C37BD4">
            <w:pPr>
              <w:pStyle w:val="PlainText"/>
              <w:rPr>
                <w:b/>
                <w:lang w:val="en-US"/>
              </w:rPr>
            </w:pPr>
            <w:r w:rsidRPr="0098288C">
              <w:rPr>
                <w:lang w:val="en-US"/>
              </w:rPr>
              <w:t>0.107</w:t>
            </w:r>
          </w:p>
        </w:tc>
        <w:tc>
          <w:tcPr>
            <w:tcW w:w="947" w:type="dxa"/>
            <w:gridSpan w:val="2"/>
          </w:tcPr>
          <w:p w:rsidR="00C37BD4" w:rsidRDefault="00C37BD4" w:rsidP="00C37BD4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0.134</w:t>
            </w:r>
            <w:r w:rsidRPr="0098288C">
              <w:rPr>
                <w:lang w:val="en-US"/>
              </w:rPr>
              <w:t xml:space="preserve"> </w:t>
            </w:r>
          </w:p>
        </w:tc>
        <w:tc>
          <w:tcPr>
            <w:tcW w:w="989" w:type="dxa"/>
          </w:tcPr>
          <w:p w:rsidR="00C37BD4" w:rsidRPr="00285405" w:rsidRDefault="00C37BD4" w:rsidP="00C37BD4">
            <w:pPr>
              <w:pStyle w:val="PlainText"/>
              <w:rPr>
                <w:b/>
                <w:lang w:val="en-US"/>
              </w:rPr>
            </w:pPr>
            <w:r w:rsidRPr="0098288C">
              <w:rPr>
                <w:lang w:val="en-US"/>
              </w:rPr>
              <w:t>0.553</w:t>
            </w:r>
          </w:p>
        </w:tc>
        <w:tc>
          <w:tcPr>
            <w:tcW w:w="1449" w:type="dxa"/>
          </w:tcPr>
          <w:p w:rsidR="00C37BD4" w:rsidRDefault="00C37BD4" w:rsidP="00C37BD4">
            <w:pPr>
              <w:pStyle w:val="PlainText"/>
              <w:rPr>
                <w:lang w:val="en-US"/>
              </w:rPr>
            </w:pPr>
            <w:r w:rsidRPr="0098288C">
              <w:rPr>
                <w:lang w:val="en-US"/>
              </w:rPr>
              <w:t>0.03839032</w:t>
            </w:r>
          </w:p>
        </w:tc>
      </w:tr>
      <w:tr w:rsidR="00C37BD4" w:rsidTr="008C353F">
        <w:trPr>
          <w:gridAfter w:val="1"/>
          <w:wAfter w:w="58" w:type="dxa"/>
        </w:trPr>
        <w:tc>
          <w:tcPr>
            <w:tcW w:w="12771" w:type="dxa"/>
            <w:gridSpan w:val="11"/>
          </w:tcPr>
          <w:p w:rsidR="00C37BD4" w:rsidRPr="00B20EE4" w:rsidRDefault="00C37BD4" w:rsidP="00C37BD4">
            <w:pPr>
              <w:pStyle w:val="PlainText"/>
              <w:rPr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Reference GDS </w:t>
            </w:r>
            <w:r w:rsidRPr="00941E78">
              <w:rPr>
                <w:rFonts w:asciiTheme="minorHAnsi" w:hAnsiTheme="minorHAnsi" w:cstheme="minorHAnsi"/>
                <w:szCs w:val="22"/>
                <w:lang w:val="en-US"/>
              </w:rPr>
              <w:t xml:space="preserve">4-item </w:t>
            </w:r>
            <w:proofErr w:type="spellStart"/>
            <w:r w:rsidRPr="00941E78">
              <w:rPr>
                <w:rFonts w:asciiTheme="minorHAnsi" w:hAnsiTheme="minorHAnsi" w:cstheme="minorHAnsi"/>
                <w:szCs w:val="22"/>
                <w:lang w:val="en-US"/>
              </w:rPr>
              <w:t>D’Ath</w:t>
            </w:r>
            <w:proofErr w:type="spellEnd"/>
          </w:p>
        </w:tc>
      </w:tr>
      <w:tr w:rsidR="00C37BD4" w:rsidTr="00124B26">
        <w:trPr>
          <w:gridAfter w:val="1"/>
          <w:wAfter w:w="58" w:type="dxa"/>
        </w:trPr>
        <w:tc>
          <w:tcPr>
            <w:tcW w:w="3227" w:type="dxa"/>
          </w:tcPr>
          <w:p w:rsidR="00C37BD4" w:rsidRPr="00941E78" w:rsidRDefault="00C37BD4" w:rsidP="00C37BD4">
            <w:pPr>
              <w:jc w:val="both"/>
              <w:rPr>
                <w:rFonts w:cstheme="minorHAnsi"/>
                <w:lang w:val="en-US"/>
              </w:rPr>
            </w:pPr>
            <w:r w:rsidRPr="00941E78">
              <w:rPr>
                <w:rFonts w:cstheme="minorHAnsi"/>
                <w:lang w:val="en-US"/>
              </w:rPr>
              <w:t xml:space="preserve">      10-item Van </w:t>
            </w:r>
            <w:proofErr w:type="spellStart"/>
            <w:r w:rsidRPr="00941E78">
              <w:rPr>
                <w:rFonts w:cstheme="minorHAnsi"/>
                <w:lang w:val="en-US"/>
              </w:rPr>
              <w:t>Marwijk</w:t>
            </w:r>
            <w:proofErr w:type="spellEnd"/>
          </w:p>
        </w:tc>
        <w:tc>
          <w:tcPr>
            <w:tcW w:w="1327" w:type="dxa"/>
          </w:tcPr>
          <w:p w:rsidR="00C37BD4" w:rsidRPr="009449BB" w:rsidRDefault="00C37BD4" w:rsidP="00C37BD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6.82 ± 2.30</w:t>
            </w:r>
          </w:p>
        </w:tc>
        <w:tc>
          <w:tcPr>
            <w:tcW w:w="1289" w:type="dxa"/>
          </w:tcPr>
          <w:p w:rsidR="00C37BD4" w:rsidRPr="009449BB" w:rsidRDefault="00C37BD4" w:rsidP="00C37B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2.95</w:t>
            </w:r>
            <w:r>
              <w:rPr>
                <w:rFonts w:cstheme="minorHAnsi"/>
                <w:lang w:val="en-US"/>
              </w:rPr>
              <w:t xml:space="preserve"> ±2.10</w:t>
            </w:r>
          </w:p>
        </w:tc>
        <w:tc>
          <w:tcPr>
            <w:tcW w:w="1321" w:type="dxa"/>
            <w:gridSpan w:val="2"/>
          </w:tcPr>
          <w:p w:rsidR="00C37BD4" w:rsidRPr="00035957" w:rsidRDefault="00C37BD4" w:rsidP="00C37BD4">
            <w:pPr>
              <w:pStyle w:val="PlainText"/>
              <w:jc w:val="center"/>
              <w:rPr>
                <w:lang w:val="en-US"/>
              </w:rPr>
            </w:pPr>
            <w:r w:rsidRPr="008607D7">
              <w:rPr>
                <w:lang w:val="en-US"/>
              </w:rPr>
              <w:t>18.79</w:t>
            </w:r>
          </w:p>
        </w:tc>
        <w:tc>
          <w:tcPr>
            <w:tcW w:w="947" w:type="dxa"/>
          </w:tcPr>
          <w:p w:rsidR="00C37BD4" w:rsidRDefault="00C37BD4" w:rsidP="00C37BD4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3.958</w:t>
            </w:r>
          </w:p>
        </w:tc>
        <w:tc>
          <w:tcPr>
            <w:tcW w:w="1275" w:type="dxa"/>
          </w:tcPr>
          <w:p w:rsidR="00C37BD4" w:rsidRPr="008607D7" w:rsidRDefault="00C37BD4" w:rsidP="00C37BD4">
            <w:pPr>
              <w:pStyle w:val="PlainText"/>
              <w:rPr>
                <w:b/>
                <w:lang w:val="en-US"/>
              </w:rPr>
            </w:pPr>
            <w:r w:rsidRPr="008607D7">
              <w:rPr>
                <w:b/>
                <w:lang w:val="en-US"/>
              </w:rPr>
              <w:t>0.000859*</w:t>
            </w:r>
          </w:p>
        </w:tc>
        <w:tc>
          <w:tcPr>
            <w:tcW w:w="947" w:type="dxa"/>
            <w:gridSpan w:val="2"/>
          </w:tcPr>
          <w:p w:rsidR="00C37BD4" w:rsidRDefault="00C37BD4" w:rsidP="00C37BD4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2.437</w:t>
            </w:r>
          </w:p>
        </w:tc>
        <w:tc>
          <w:tcPr>
            <w:tcW w:w="989" w:type="dxa"/>
          </w:tcPr>
          <w:p w:rsidR="00C37BD4" w:rsidRDefault="00C37BD4" w:rsidP="00C37BD4">
            <w:pPr>
              <w:pStyle w:val="PlainText"/>
              <w:rPr>
                <w:lang w:val="en-US"/>
              </w:rPr>
            </w:pPr>
            <w:r w:rsidRPr="008607D7">
              <w:rPr>
                <w:lang w:val="en-US"/>
              </w:rPr>
              <w:t>0.988</w:t>
            </w:r>
          </w:p>
        </w:tc>
        <w:tc>
          <w:tcPr>
            <w:tcW w:w="1449" w:type="dxa"/>
          </w:tcPr>
          <w:p w:rsidR="00C37BD4" w:rsidRDefault="00C37BD4" w:rsidP="00C37BD4">
            <w:pPr>
              <w:pStyle w:val="PlainText"/>
              <w:rPr>
                <w:lang w:val="en-US"/>
              </w:rPr>
            </w:pPr>
            <w:r w:rsidRPr="008607D7">
              <w:rPr>
                <w:lang w:val="en-US"/>
              </w:rPr>
              <w:t>0.6981881</w:t>
            </w:r>
          </w:p>
        </w:tc>
      </w:tr>
    </w:tbl>
    <w:p w:rsidR="005474FA" w:rsidRPr="003F586A" w:rsidRDefault="005474FA" w:rsidP="005474FA">
      <w:pPr>
        <w:pStyle w:val="PlainText"/>
        <w:rPr>
          <w:szCs w:val="22"/>
          <w:lang w:val="en-US"/>
        </w:rPr>
      </w:pPr>
      <w:r w:rsidRPr="00FA14CA">
        <w:rPr>
          <w:szCs w:val="22"/>
          <w:lang w:val="en-US"/>
        </w:rPr>
        <w:t>LEGEND:</w:t>
      </w:r>
      <w:r>
        <w:rPr>
          <w:szCs w:val="22"/>
          <w:lang w:val="en-US"/>
        </w:rPr>
        <w:t xml:space="preserve"> SD </w:t>
      </w:r>
      <w:r>
        <w:rPr>
          <w:rFonts w:cstheme="minorHAnsi"/>
          <w:lang w:val="en-US"/>
        </w:rPr>
        <w:t>Standard Deviation</w:t>
      </w:r>
      <w:r>
        <w:rPr>
          <w:szCs w:val="22"/>
          <w:lang w:val="en-US"/>
        </w:rPr>
        <w:t xml:space="preserve">. </w:t>
      </w:r>
      <w:r w:rsidR="00124B26">
        <w:rPr>
          <w:szCs w:val="22"/>
          <w:lang w:val="en-US"/>
        </w:rPr>
        <w:t xml:space="preserve">MDD </w:t>
      </w:r>
      <w:r>
        <w:rPr>
          <w:szCs w:val="22"/>
          <w:lang w:val="en-US"/>
        </w:rPr>
        <w:t>M</w:t>
      </w:r>
      <w:r w:rsidRPr="00FA14CA">
        <w:rPr>
          <w:szCs w:val="22"/>
          <w:lang w:val="en-US"/>
        </w:rPr>
        <w:t>aj</w:t>
      </w:r>
      <w:r>
        <w:rPr>
          <w:szCs w:val="22"/>
          <w:lang w:val="en-US"/>
        </w:rPr>
        <w:t xml:space="preserve">or depression disorder </w:t>
      </w:r>
      <w:r w:rsidRPr="00FA14CA">
        <w:rPr>
          <w:szCs w:val="22"/>
          <w:lang w:val="en-US"/>
        </w:rPr>
        <w:t xml:space="preserve">group </w:t>
      </w:r>
      <w:r>
        <w:rPr>
          <w:szCs w:val="22"/>
          <w:lang w:val="en-US"/>
        </w:rPr>
        <w:t xml:space="preserve">(n=17) </w:t>
      </w:r>
      <w:r w:rsidRPr="00FA14CA">
        <w:rPr>
          <w:szCs w:val="22"/>
          <w:lang w:val="en-US"/>
        </w:rPr>
        <w:t>was compared agains</w:t>
      </w:r>
      <w:r>
        <w:rPr>
          <w:szCs w:val="22"/>
          <w:lang w:val="en-US"/>
        </w:rPr>
        <w:t>t the non-depressed group (n=43)</w:t>
      </w:r>
      <w:r w:rsidRPr="00FA14CA">
        <w:rPr>
          <w:szCs w:val="22"/>
          <w:lang w:val="en-US"/>
        </w:rPr>
        <w:t xml:space="preserve"> on GDS scores</w:t>
      </w:r>
      <w:r>
        <w:rPr>
          <w:szCs w:val="22"/>
          <w:lang w:val="en-US"/>
        </w:rPr>
        <w:t xml:space="preserve"> using a </w:t>
      </w:r>
      <w:r>
        <w:rPr>
          <w:lang w:val="en-US"/>
        </w:rPr>
        <w:t xml:space="preserve">standardized effect size d=0.5 with lower bound </w:t>
      </w:r>
      <w:proofErr w:type="spellStart"/>
      <w:r>
        <w:rPr>
          <w:lang w:val="en-US"/>
        </w:rPr>
        <w:t>dL</w:t>
      </w:r>
      <w:proofErr w:type="spellEnd"/>
      <w:r>
        <w:rPr>
          <w:lang w:val="en-US"/>
        </w:rPr>
        <w:t xml:space="preserve">=-0.49 and upper bound </w:t>
      </w:r>
      <w:proofErr w:type="spellStart"/>
      <w:r>
        <w:rPr>
          <w:lang w:val="en-US"/>
        </w:rPr>
        <w:t>dU</w:t>
      </w:r>
      <w:proofErr w:type="spellEnd"/>
      <w:r>
        <w:rPr>
          <w:lang w:val="en-US"/>
        </w:rPr>
        <w:t xml:space="preserve">=0.49 in the TOSTER package in the open-source programming language R with formula for </w:t>
      </w:r>
      <w:r>
        <w:rPr>
          <w:szCs w:val="22"/>
          <w:lang w:val="en-US"/>
        </w:rPr>
        <w:t xml:space="preserve">effect size </w:t>
      </w:r>
      <w:r w:rsidRPr="00FA14CA">
        <w:rPr>
          <w:szCs w:val="22"/>
          <w:lang w:val="en-US"/>
        </w:rPr>
        <w:t>d=equivalence test t*</w:t>
      </w:r>
      <w:proofErr w:type="spellStart"/>
      <w:proofErr w:type="gramStart"/>
      <w:r w:rsidRPr="00FA14CA">
        <w:rPr>
          <w:szCs w:val="22"/>
          <w:lang w:val="en-US"/>
        </w:rPr>
        <w:t>sqrt</w:t>
      </w:r>
      <w:proofErr w:type="spellEnd"/>
      <w:r>
        <w:rPr>
          <w:szCs w:val="22"/>
          <w:lang w:val="en-US"/>
        </w:rPr>
        <w:t>[</w:t>
      </w:r>
      <w:proofErr w:type="gramEnd"/>
      <w:r w:rsidRPr="00FA14CA">
        <w:rPr>
          <w:szCs w:val="22"/>
          <w:lang w:val="en-US"/>
        </w:rPr>
        <w:t>(1/17+1/43)]</w:t>
      </w:r>
      <w:r>
        <w:rPr>
          <w:szCs w:val="22"/>
          <w:lang w:val="en-US"/>
        </w:rPr>
        <w:t>.</w:t>
      </w:r>
      <w:r w:rsidRPr="004F2911">
        <w:rPr>
          <w:vertAlign w:val="superscript"/>
          <w:lang w:val="en-US"/>
        </w:rPr>
        <w:t xml:space="preserve"> </w:t>
      </w:r>
      <w:r w:rsidRPr="0040397A"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</w:p>
    <w:p w:rsidR="005474FA" w:rsidRPr="009102FC" w:rsidRDefault="005474FA" w:rsidP="005474FA">
      <w:pPr>
        <w:pStyle w:val="PlainText"/>
        <w:rPr>
          <w:lang w:val="en-US"/>
        </w:rPr>
      </w:pPr>
      <w:r w:rsidRPr="00FA14CA">
        <w:rPr>
          <w:szCs w:val="22"/>
          <w:lang w:val="en-US"/>
        </w:rPr>
        <w:t>*Signi</w:t>
      </w:r>
      <w:r>
        <w:rPr>
          <w:szCs w:val="22"/>
          <w:lang w:val="en-US"/>
        </w:rPr>
        <w:t>ficant p-value &lt; alpha 0.05</w:t>
      </w:r>
      <w:r w:rsidR="001C19FC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  <w:r w:rsidR="001C19FC">
        <w:rPr>
          <w:szCs w:val="22"/>
          <w:lang w:val="en-US"/>
        </w:rPr>
        <w:t>The t</w:t>
      </w:r>
      <w:r>
        <w:rPr>
          <w:szCs w:val="22"/>
          <w:lang w:val="en-US"/>
        </w:rPr>
        <w:t>wo one</w:t>
      </w:r>
      <w:r w:rsidRPr="00FA14CA">
        <w:rPr>
          <w:szCs w:val="22"/>
          <w:lang w:val="en-US"/>
        </w:rPr>
        <w:t>-</w:t>
      </w:r>
      <w:r>
        <w:rPr>
          <w:szCs w:val="22"/>
          <w:lang w:val="en-US"/>
        </w:rPr>
        <w:t xml:space="preserve">sided tests (null-hypothesis and equivalence test) </w:t>
      </w:r>
      <w:proofErr w:type="gramStart"/>
      <w:r w:rsidR="001C19FC">
        <w:rPr>
          <w:szCs w:val="22"/>
          <w:lang w:val="en-US"/>
        </w:rPr>
        <w:t xml:space="preserve">were </w:t>
      </w:r>
      <w:r>
        <w:rPr>
          <w:szCs w:val="22"/>
          <w:lang w:val="en-US"/>
        </w:rPr>
        <w:t>considered</w:t>
      </w:r>
      <w:proofErr w:type="gramEnd"/>
      <w:r>
        <w:rPr>
          <w:szCs w:val="22"/>
          <w:lang w:val="en-US"/>
        </w:rPr>
        <w:t xml:space="preserve"> separately</w:t>
      </w:r>
      <w:r w:rsidRPr="00FA14CA">
        <w:rPr>
          <w:szCs w:val="22"/>
          <w:lang w:val="en-US"/>
        </w:rPr>
        <w:t xml:space="preserve">. </w:t>
      </w:r>
      <w:r>
        <w:rPr>
          <w:szCs w:val="22"/>
          <w:lang w:val="en-US"/>
        </w:rPr>
        <w:t xml:space="preserve">For a definitive </w:t>
      </w:r>
      <w:proofErr w:type="gramStart"/>
      <w:r>
        <w:rPr>
          <w:szCs w:val="22"/>
          <w:lang w:val="en-US"/>
        </w:rPr>
        <w:t>conclusion</w:t>
      </w:r>
      <w:proofErr w:type="gramEnd"/>
      <w:r>
        <w:rPr>
          <w:szCs w:val="22"/>
          <w:lang w:val="en-US"/>
        </w:rPr>
        <w:t xml:space="preserve"> both tests should show significant p-value.</w:t>
      </w:r>
    </w:p>
    <w:p w:rsidR="005474FA" w:rsidRPr="009102FC" w:rsidRDefault="005474FA" w:rsidP="005474FA">
      <w:pPr>
        <w:pStyle w:val="PlainText"/>
        <w:rPr>
          <w:szCs w:val="22"/>
          <w:lang w:val="en-US"/>
        </w:rPr>
      </w:pPr>
      <w:r>
        <w:rPr>
          <w:szCs w:val="22"/>
          <w:lang w:val="en-US"/>
        </w:rPr>
        <w:t xml:space="preserve">REFERENCE: </w:t>
      </w:r>
      <w:r w:rsidRPr="0040397A">
        <w:rPr>
          <w:vertAlign w:val="superscript"/>
          <w:lang w:val="en-US"/>
        </w:rPr>
        <w:t>1</w:t>
      </w:r>
      <w:r>
        <w:rPr>
          <w:lang w:val="en-US"/>
        </w:rPr>
        <w:t xml:space="preserve">Lakens, </w:t>
      </w:r>
      <w:proofErr w:type="spellStart"/>
      <w:r>
        <w:rPr>
          <w:lang w:val="en-US"/>
        </w:rPr>
        <w:t>Scheel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Isager</w:t>
      </w:r>
      <w:proofErr w:type="spellEnd"/>
      <w:r>
        <w:rPr>
          <w:lang w:val="en-US"/>
        </w:rPr>
        <w:t>.</w:t>
      </w:r>
      <w:r w:rsidRPr="0040397A">
        <w:rPr>
          <w:lang w:val="en-US"/>
        </w:rPr>
        <w:t xml:space="preserve"> </w:t>
      </w:r>
      <w:r>
        <w:rPr>
          <w:lang w:val="en-US"/>
        </w:rPr>
        <w:t xml:space="preserve">2018 </w:t>
      </w:r>
      <w:r w:rsidRPr="00CB4471">
        <w:rPr>
          <w:rFonts w:asciiTheme="minorHAnsi" w:hAnsiTheme="minorHAnsi" w:cstheme="minorHAnsi"/>
          <w:szCs w:val="22"/>
          <w:lang w:val="en-US"/>
        </w:rPr>
        <w:t xml:space="preserve">Equivalence Testing for Psychological Research: A Tutorial. </w:t>
      </w:r>
      <w:r w:rsidRPr="00CB4471">
        <w:rPr>
          <w:rStyle w:val="Emphasis"/>
          <w:rFonts w:asciiTheme="minorHAnsi" w:hAnsiTheme="minorHAnsi" w:cstheme="minorHAnsi"/>
          <w:color w:val="000000"/>
          <w:szCs w:val="22"/>
          <w:lang w:val="en-US"/>
        </w:rPr>
        <w:t>Advances in Methods and Practices in Psychological Science</w:t>
      </w:r>
      <w:r w:rsidRPr="00CB4471">
        <w:rPr>
          <w:rFonts w:asciiTheme="minorHAnsi" w:hAnsiTheme="minorHAnsi" w:cstheme="minorHAnsi"/>
          <w:color w:val="000000"/>
          <w:szCs w:val="22"/>
          <w:lang w:val="en-US"/>
        </w:rPr>
        <w:t xml:space="preserve">, 1(2), 259-269. </w:t>
      </w:r>
      <w:hyperlink r:id="rId5" w:history="1">
        <w:r w:rsidRPr="00CB4471">
          <w:rPr>
            <w:rStyle w:val="Hyperlink"/>
            <w:rFonts w:asciiTheme="minorHAnsi" w:hAnsiTheme="minorHAnsi" w:cstheme="minorHAnsi"/>
            <w:color w:val="0033DD"/>
            <w:szCs w:val="22"/>
            <w:lang w:val="en-US"/>
          </w:rPr>
          <w:t>https://doi.org/10.1177/2515245918770963</w:t>
        </w:r>
      </w:hyperlink>
    </w:p>
    <w:p w:rsidR="002F2FFA" w:rsidRPr="002F2FFA" w:rsidRDefault="002F2FFA">
      <w:pPr>
        <w:rPr>
          <w:lang w:val="en-US"/>
        </w:rPr>
      </w:pPr>
    </w:p>
    <w:sectPr w:rsidR="002F2FFA" w:rsidRPr="002F2FFA" w:rsidSect="005474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966"/>
    <w:multiLevelType w:val="hybridMultilevel"/>
    <w:tmpl w:val="125E1B5A"/>
    <w:lvl w:ilvl="0" w:tplc="37F40BFC">
      <w:start w:val="1"/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B15FA4"/>
    <w:multiLevelType w:val="hybridMultilevel"/>
    <w:tmpl w:val="6A826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42252"/>
    <w:multiLevelType w:val="hybridMultilevel"/>
    <w:tmpl w:val="3B8AA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6F2F"/>
    <w:multiLevelType w:val="hybridMultilevel"/>
    <w:tmpl w:val="599AFB76"/>
    <w:lvl w:ilvl="0" w:tplc="37F40BFC">
      <w:start w:val="1"/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A"/>
    <w:rsid w:val="0001755E"/>
    <w:rsid w:val="00035957"/>
    <w:rsid w:val="00070436"/>
    <w:rsid w:val="000746B1"/>
    <w:rsid w:val="00075465"/>
    <w:rsid w:val="000B354E"/>
    <w:rsid w:val="000C716C"/>
    <w:rsid w:val="000D3DCD"/>
    <w:rsid w:val="000F799A"/>
    <w:rsid w:val="00124B26"/>
    <w:rsid w:val="00127133"/>
    <w:rsid w:val="00143E88"/>
    <w:rsid w:val="001C19FC"/>
    <w:rsid w:val="00243205"/>
    <w:rsid w:val="00262035"/>
    <w:rsid w:val="00272605"/>
    <w:rsid w:val="0028459A"/>
    <w:rsid w:val="00286578"/>
    <w:rsid w:val="002B0322"/>
    <w:rsid w:val="002E481C"/>
    <w:rsid w:val="002F2FFA"/>
    <w:rsid w:val="003444BB"/>
    <w:rsid w:val="00356DC1"/>
    <w:rsid w:val="00362D3E"/>
    <w:rsid w:val="00396028"/>
    <w:rsid w:val="003A40E6"/>
    <w:rsid w:val="004175BC"/>
    <w:rsid w:val="00442139"/>
    <w:rsid w:val="00450CC2"/>
    <w:rsid w:val="00451D49"/>
    <w:rsid w:val="00472905"/>
    <w:rsid w:val="00490D61"/>
    <w:rsid w:val="004C0A28"/>
    <w:rsid w:val="004D523A"/>
    <w:rsid w:val="004F00D3"/>
    <w:rsid w:val="005303EC"/>
    <w:rsid w:val="005340DA"/>
    <w:rsid w:val="00540398"/>
    <w:rsid w:val="005474FA"/>
    <w:rsid w:val="00550269"/>
    <w:rsid w:val="0055065C"/>
    <w:rsid w:val="00585333"/>
    <w:rsid w:val="00596EDB"/>
    <w:rsid w:val="00613560"/>
    <w:rsid w:val="00615DC6"/>
    <w:rsid w:val="00690823"/>
    <w:rsid w:val="006940DA"/>
    <w:rsid w:val="006C2CBC"/>
    <w:rsid w:val="006F26FA"/>
    <w:rsid w:val="00706985"/>
    <w:rsid w:val="007217C4"/>
    <w:rsid w:val="007466EF"/>
    <w:rsid w:val="00796BDA"/>
    <w:rsid w:val="007E4542"/>
    <w:rsid w:val="00825190"/>
    <w:rsid w:val="008349E6"/>
    <w:rsid w:val="00846524"/>
    <w:rsid w:val="00847C1C"/>
    <w:rsid w:val="00862892"/>
    <w:rsid w:val="008B3A8E"/>
    <w:rsid w:val="009079B7"/>
    <w:rsid w:val="0091690C"/>
    <w:rsid w:val="009449BB"/>
    <w:rsid w:val="009763A5"/>
    <w:rsid w:val="009A2786"/>
    <w:rsid w:val="009A5E22"/>
    <w:rsid w:val="009B6C7B"/>
    <w:rsid w:val="009C456A"/>
    <w:rsid w:val="00A041F6"/>
    <w:rsid w:val="00A052A0"/>
    <w:rsid w:val="00A66C46"/>
    <w:rsid w:val="00B6394B"/>
    <w:rsid w:val="00C37BD4"/>
    <w:rsid w:val="00C37C54"/>
    <w:rsid w:val="00C63F32"/>
    <w:rsid w:val="00C87556"/>
    <w:rsid w:val="00CC5125"/>
    <w:rsid w:val="00CE7CA0"/>
    <w:rsid w:val="00D36C55"/>
    <w:rsid w:val="00D5054C"/>
    <w:rsid w:val="00D60F5B"/>
    <w:rsid w:val="00DC662D"/>
    <w:rsid w:val="00DD7B0E"/>
    <w:rsid w:val="00DE6040"/>
    <w:rsid w:val="00DE625A"/>
    <w:rsid w:val="00E07C85"/>
    <w:rsid w:val="00E2051A"/>
    <w:rsid w:val="00ED6CA6"/>
    <w:rsid w:val="00EF1AFB"/>
    <w:rsid w:val="00F14C64"/>
    <w:rsid w:val="00F26418"/>
    <w:rsid w:val="00F33241"/>
    <w:rsid w:val="00F33711"/>
    <w:rsid w:val="00F3374B"/>
    <w:rsid w:val="00F44205"/>
    <w:rsid w:val="00F57851"/>
    <w:rsid w:val="00F83B88"/>
    <w:rsid w:val="00F94CA1"/>
    <w:rsid w:val="00FA484F"/>
    <w:rsid w:val="00FC182A"/>
    <w:rsid w:val="00FD70C5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0AB85C"/>
  <w15:docId w15:val="{319BAE91-0D96-4AB0-8581-7CB7477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2F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FFA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5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3A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3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474F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50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6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77/2515245918770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Sacuiu</dc:creator>
  <cp:lastModifiedBy>Simona Sacuiu</cp:lastModifiedBy>
  <cp:revision>2</cp:revision>
  <cp:lastPrinted>2019-08-20T11:44:00Z</cp:lastPrinted>
  <dcterms:created xsi:type="dcterms:W3CDTF">2019-09-25T19:31:00Z</dcterms:created>
  <dcterms:modified xsi:type="dcterms:W3CDTF">2019-09-25T19:31:00Z</dcterms:modified>
</cp:coreProperties>
</file>