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7F" w:rsidRPr="00EE537F" w:rsidRDefault="00EE537F" w:rsidP="00EE537F">
      <w:pPr>
        <w:keepNext/>
        <w:widowControl w:val="0"/>
        <w:tabs>
          <w:tab w:val="num" w:pos="0"/>
          <w:tab w:val="left" w:pos="360"/>
        </w:tabs>
        <w:suppressAutoHyphens/>
        <w:spacing w:before="320" w:after="60" w:line="480" w:lineRule="auto"/>
        <w:outlineLvl w:val="0"/>
        <w:rPr>
          <w:rFonts w:eastAsia="Times New Roman" w:cs="Times New Roman"/>
          <w:b/>
          <w:szCs w:val="24"/>
          <w:lang w:eastAsia="ar-SA"/>
        </w:rPr>
      </w:pPr>
      <w:r w:rsidRPr="00EE537F">
        <w:rPr>
          <w:rFonts w:eastAsia="Times New Roman" w:cs="Times New Roman"/>
          <w:b/>
          <w:szCs w:val="24"/>
          <w:lang w:eastAsia="ar-SA"/>
        </w:rPr>
        <w:t>Supplementary Tables</w:t>
      </w:r>
    </w:p>
    <w:p w:rsidR="00EE537F" w:rsidRPr="00EE537F" w:rsidRDefault="00EE537F" w:rsidP="00EE537F">
      <w:pPr>
        <w:spacing w:after="0" w:line="240" w:lineRule="auto"/>
        <w:rPr>
          <w:rFonts w:eastAsia="Calibri" w:cs="Times New Roman"/>
          <w:b/>
          <w:szCs w:val="24"/>
          <w:lang w:val="en-US" w:eastAsia="ar-SA"/>
        </w:rPr>
      </w:pPr>
      <w:r w:rsidRPr="00EE537F">
        <w:rPr>
          <w:rFonts w:eastAsia="Calibri" w:cs="Times New Roman"/>
          <w:b/>
          <w:szCs w:val="24"/>
          <w:lang w:val="en-US" w:eastAsia="ar-SA"/>
        </w:rPr>
        <w:t>Supplementary Table 1.</w:t>
      </w:r>
      <w:r w:rsidRPr="00EE537F">
        <w:rPr>
          <w:rFonts w:eastAsia="Calibri" w:cs="Times New Roman"/>
          <w:szCs w:val="24"/>
          <w:lang w:val="en-US" w:eastAsia="ar-SA"/>
        </w:rPr>
        <w:t xml:space="preserve"> ISTAART-AA Criteria for Mild Behavioral Impairment.</w:t>
      </w:r>
    </w:p>
    <w:p w:rsidR="00EE537F" w:rsidRPr="00EE537F" w:rsidRDefault="00EE537F" w:rsidP="00EE537F">
      <w:pPr>
        <w:spacing w:after="0" w:line="240" w:lineRule="auto"/>
        <w:rPr>
          <w:rFonts w:eastAsia="Calibri" w:cs="Times New Roman"/>
          <w:b/>
          <w:szCs w:val="24"/>
          <w:lang w:val="en-US"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30"/>
        <w:gridCol w:w="7720"/>
        <w:gridCol w:w="5382"/>
      </w:tblGrid>
      <w:tr w:rsidR="00EE537F" w:rsidRPr="00EE537F" w:rsidTr="00EE537F">
        <w:tc>
          <w:tcPr>
            <w:tcW w:w="426" w:type="dxa"/>
            <w:tcBorders>
              <w:top w:val="single" w:sz="4" w:space="0" w:color="auto"/>
              <w:bottom w:val="single" w:sz="4" w:space="0" w:color="auto"/>
            </w:tcBorders>
            <w:shd w:val="clear" w:color="auto" w:fill="BFBFBF"/>
          </w:tcPr>
          <w:p w:rsidR="00EE537F" w:rsidRPr="00EE537F" w:rsidRDefault="00EE537F" w:rsidP="00EE537F">
            <w:pPr>
              <w:jc w:val="both"/>
              <w:rPr>
                <w:rFonts w:eastAsia="Calibri"/>
                <w:b/>
                <w:lang w:val="en-US" w:eastAsia="ar-SA"/>
              </w:rPr>
            </w:pPr>
          </w:p>
        </w:tc>
        <w:tc>
          <w:tcPr>
            <w:tcW w:w="8150" w:type="dxa"/>
            <w:gridSpan w:val="2"/>
            <w:tcBorders>
              <w:top w:val="single" w:sz="4" w:space="0" w:color="auto"/>
              <w:bottom w:val="single" w:sz="4" w:space="0" w:color="auto"/>
            </w:tcBorders>
            <w:shd w:val="clear" w:color="auto" w:fill="BFBFBF"/>
          </w:tcPr>
          <w:p w:rsidR="00EE537F" w:rsidRPr="00EE537F" w:rsidRDefault="00EE537F" w:rsidP="00EE537F">
            <w:pPr>
              <w:jc w:val="both"/>
              <w:rPr>
                <w:rFonts w:eastAsia="Calibri"/>
                <w:b/>
                <w:lang w:val="en-US" w:eastAsia="ar-SA"/>
              </w:rPr>
            </w:pPr>
            <w:r w:rsidRPr="00EE537F">
              <w:rPr>
                <w:rFonts w:eastAsia="Calibri"/>
                <w:b/>
                <w:lang w:val="en-US" w:eastAsia="ar-SA"/>
              </w:rPr>
              <w:t>ISTAART-AA MBI Criteria</w:t>
            </w:r>
          </w:p>
        </w:tc>
        <w:tc>
          <w:tcPr>
            <w:tcW w:w="5382" w:type="dxa"/>
            <w:tcBorders>
              <w:top w:val="single" w:sz="4" w:space="0" w:color="auto"/>
              <w:bottom w:val="single" w:sz="4" w:space="0" w:color="auto"/>
            </w:tcBorders>
            <w:shd w:val="clear" w:color="auto" w:fill="BFBFBF"/>
          </w:tcPr>
          <w:p w:rsidR="00EE537F" w:rsidRPr="00EE537F" w:rsidRDefault="00EE537F" w:rsidP="00EE537F">
            <w:pPr>
              <w:rPr>
                <w:rFonts w:eastAsia="Calibri"/>
                <w:b/>
                <w:lang w:val="en-US" w:eastAsia="ar-SA"/>
              </w:rPr>
            </w:pPr>
          </w:p>
        </w:tc>
      </w:tr>
      <w:tr w:rsidR="00EE537F" w:rsidRPr="00EE537F" w:rsidTr="0079506F">
        <w:tc>
          <w:tcPr>
            <w:tcW w:w="426" w:type="dxa"/>
            <w:tcBorders>
              <w:top w:val="single" w:sz="4" w:space="0" w:color="auto"/>
            </w:tcBorders>
          </w:tcPr>
          <w:p w:rsidR="00EE537F" w:rsidRPr="00EE537F" w:rsidRDefault="00EE537F" w:rsidP="00EE537F">
            <w:pPr>
              <w:jc w:val="both"/>
              <w:rPr>
                <w:rFonts w:eastAsia="Calibri"/>
                <w:b/>
                <w:lang w:val="en-US" w:eastAsia="ar-SA"/>
              </w:rPr>
            </w:pPr>
            <w:r w:rsidRPr="00EE537F">
              <w:rPr>
                <w:rFonts w:eastAsia="Calibri"/>
                <w:b/>
                <w:lang w:val="en-US" w:eastAsia="ar-SA"/>
              </w:rPr>
              <w:t>1.</w:t>
            </w:r>
          </w:p>
        </w:tc>
        <w:tc>
          <w:tcPr>
            <w:tcW w:w="13532" w:type="dxa"/>
            <w:gridSpan w:val="3"/>
            <w:tcBorders>
              <w:top w:val="single" w:sz="4" w:space="0" w:color="auto"/>
            </w:tcBorders>
          </w:tcPr>
          <w:p w:rsidR="00EE537F" w:rsidRPr="00EE537F" w:rsidRDefault="00EE537F" w:rsidP="00EE537F">
            <w:pPr>
              <w:jc w:val="both"/>
              <w:rPr>
                <w:rFonts w:eastAsia="Calibri"/>
                <w:b/>
                <w:lang w:val="en-US" w:eastAsia="ar-SA"/>
              </w:rPr>
            </w:pPr>
            <w:r w:rsidRPr="00EE537F">
              <w:rPr>
                <w:rFonts w:eastAsia="Calibri"/>
              </w:rPr>
              <w:t>Changes in behavior or personality observed by patient or informant or clinician, starting later in life (age≥50) and persisting at least intermittently for ≥ 6 months. These represent clear change from the person’s usual behavior or personality as evidenced by at least one of the following:</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430" w:type="dxa"/>
          </w:tcPr>
          <w:p w:rsidR="00EE537F" w:rsidRPr="00EE537F" w:rsidRDefault="00EE537F" w:rsidP="00EE537F">
            <w:pPr>
              <w:jc w:val="both"/>
              <w:rPr>
                <w:rFonts w:eastAsia="Calibri"/>
                <w:b/>
                <w:lang w:val="en-US" w:eastAsia="ar-SA"/>
              </w:rPr>
            </w:pPr>
            <w:r w:rsidRPr="00EE537F">
              <w:rPr>
                <w:rFonts w:eastAsia="Calibri"/>
                <w:b/>
                <w:lang w:val="en-US" w:eastAsia="ar-SA"/>
              </w:rPr>
              <w:t>a)</w:t>
            </w:r>
          </w:p>
        </w:tc>
        <w:tc>
          <w:tcPr>
            <w:tcW w:w="13102" w:type="dxa"/>
            <w:gridSpan w:val="2"/>
          </w:tcPr>
          <w:p w:rsidR="00EE537F" w:rsidRPr="00EE537F" w:rsidRDefault="00EE537F" w:rsidP="00EE537F">
            <w:pPr>
              <w:autoSpaceDE w:val="0"/>
              <w:autoSpaceDN w:val="0"/>
              <w:adjustRightInd w:val="0"/>
              <w:rPr>
                <w:rFonts w:eastAsia="Calibri"/>
              </w:rPr>
            </w:pPr>
            <w:r w:rsidRPr="00EE537F">
              <w:rPr>
                <w:rFonts w:eastAsia="Calibri"/>
              </w:rPr>
              <w:t>Decreased motivation (e.g. apathy, aspontaneity, indifference)</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430" w:type="dxa"/>
          </w:tcPr>
          <w:p w:rsidR="00EE537F" w:rsidRPr="00EE537F" w:rsidRDefault="00EE537F" w:rsidP="00EE537F">
            <w:pPr>
              <w:jc w:val="both"/>
              <w:rPr>
                <w:rFonts w:eastAsia="Calibri"/>
                <w:b/>
                <w:lang w:val="en-US" w:eastAsia="ar-SA"/>
              </w:rPr>
            </w:pPr>
            <w:r w:rsidRPr="00EE537F">
              <w:rPr>
                <w:rFonts w:eastAsia="Calibri"/>
                <w:b/>
                <w:lang w:val="en-US" w:eastAsia="ar-SA"/>
              </w:rPr>
              <w:t>b)</w:t>
            </w:r>
          </w:p>
        </w:tc>
        <w:tc>
          <w:tcPr>
            <w:tcW w:w="13102" w:type="dxa"/>
            <w:gridSpan w:val="2"/>
          </w:tcPr>
          <w:p w:rsidR="00EE537F" w:rsidRPr="00EE537F" w:rsidRDefault="00EE537F" w:rsidP="00EE537F">
            <w:pPr>
              <w:autoSpaceDE w:val="0"/>
              <w:autoSpaceDN w:val="0"/>
              <w:adjustRightInd w:val="0"/>
              <w:rPr>
                <w:rFonts w:eastAsia="Calibri"/>
              </w:rPr>
            </w:pPr>
            <w:r w:rsidRPr="00EE537F">
              <w:rPr>
                <w:rFonts w:eastAsia="Calibri"/>
              </w:rPr>
              <w:t>Affective dysregulation (e.g. anxiety, dysphoria, changeability, euphoria, irritability)</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430" w:type="dxa"/>
          </w:tcPr>
          <w:p w:rsidR="00EE537F" w:rsidRPr="00EE537F" w:rsidRDefault="00EE537F" w:rsidP="00EE537F">
            <w:pPr>
              <w:jc w:val="both"/>
              <w:rPr>
                <w:rFonts w:eastAsia="Calibri"/>
                <w:b/>
                <w:lang w:val="en-US" w:eastAsia="ar-SA"/>
              </w:rPr>
            </w:pPr>
            <w:r w:rsidRPr="00EE537F">
              <w:rPr>
                <w:rFonts w:eastAsia="Calibri"/>
                <w:b/>
                <w:lang w:val="en-US" w:eastAsia="ar-SA"/>
              </w:rPr>
              <w:t>c)</w:t>
            </w:r>
          </w:p>
        </w:tc>
        <w:tc>
          <w:tcPr>
            <w:tcW w:w="13102" w:type="dxa"/>
            <w:gridSpan w:val="2"/>
          </w:tcPr>
          <w:p w:rsidR="00EE537F" w:rsidRPr="00EE537F" w:rsidRDefault="00EE537F" w:rsidP="00EE537F">
            <w:pPr>
              <w:autoSpaceDE w:val="0"/>
              <w:autoSpaceDN w:val="0"/>
              <w:adjustRightInd w:val="0"/>
              <w:rPr>
                <w:rFonts w:eastAsia="Calibri"/>
              </w:rPr>
            </w:pPr>
            <w:r w:rsidRPr="00EE537F">
              <w:rPr>
                <w:rFonts w:eastAsia="Calibri"/>
              </w:rPr>
              <w:t>Impulse dyscontrol (e.g. agitation, disinhibition, gambling, obsessiveness, behavioral perseveration, stimulus bind)</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430" w:type="dxa"/>
          </w:tcPr>
          <w:p w:rsidR="00EE537F" w:rsidRPr="00EE537F" w:rsidRDefault="00EE537F" w:rsidP="00EE537F">
            <w:pPr>
              <w:jc w:val="both"/>
              <w:rPr>
                <w:rFonts w:eastAsia="Calibri"/>
                <w:b/>
                <w:lang w:val="en-US" w:eastAsia="ar-SA"/>
              </w:rPr>
            </w:pPr>
            <w:r w:rsidRPr="00EE537F">
              <w:rPr>
                <w:rFonts w:eastAsia="Calibri"/>
                <w:b/>
                <w:lang w:val="en-US" w:eastAsia="ar-SA"/>
              </w:rPr>
              <w:t>d)</w:t>
            </w:r>
          </w:p>
        </w:tc>
        <w:tc>
          <w:tcPr>
            <w:tcW w:w="13102" w:type="dxa"/>
            <w:gridSpan w:val="2"/>
          </w:tcPr>
          <w:p w:rsidR="00EE537F" w:rsidRPr="00EE537F" w:rsidRDefault="00EE537F" w:rsidP="00EE537F">
            <w:pPr>
              <w:autoSpaceDE w:val="0"/>
              <w:autoSpaceDN w:val="0"/>
              <w:adjustRightInd w:val="0"/>
              <w:rPr>
                <w:rFonts w:eastAsia="Calibri"/>
              </w:rPr>
            </w:pPr>
            <w:r w:rsidRPr="00EE537F">
              <w:rPr>
                <w:rFonts w:eastAsia="Calibri"/>
              </w:rPr>
              <w:t>Social inappropriateness (e.g. lack of empathy, loss of insight, loss of social graces or tact, rigidity, exaggeration of previous personality traits)</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430" w:type="dxa"/>
          </w:tcPr>
          <w:p w:rsidR="00EE537F" w:rsidRPr="00EE537F" w:rsidRDefault="00EE537F" w:rsidP="00EE537F">
            <w:pPr>
              <w:jc w:val="both"/>
              <w:rPr>
                <w:rFonts w:eastAsia="Calibri"/>
                <w:b/>
                <w:lang w:val="en-US" w:eastAsia="ar-SA"/>
              </w:rPr>
            </w:pPr>
            <w:r w:rsidRPr="00EE537F">
              <w:rPr>
                <w:rFonts w:eastAsia="Calibri"/>
                <w:b/>
                <w:lang w:val="en-US" w:eastAsia="ar-SA"/>
              </w:rPr>
              <w:t>e)</w:t>
            </w:r>
          </w:p>
        </w:tc>
        <w:tc>
          <w:tcPr>
            <w:tcW w:w="13102" w:type="dxa"/>
            <w:gridSpan w:val="2"/>
          </w:tcPr>
          <w:p w:rsidR="00EE537F" w:rsidRPr="00EE537F" w:rsidRDefault="00EE537F" w:rsidP="00EE537F">
            <w:pPr>
              <w:autoSpaceDE w:val="0"/>
              <w:autoSpaceDN w:val="0"/>
              <w:adjustRightInd w:val="0"/>
              <w:rPr>
                <w:rFonts w:eastAsia="Calibri"/>
              </w:rPr>
            </w:pPr>
            <w:r w:rsidRPr="00EE537F">
              <w:rPr>
                <w:rFonts w:eastAsia="Calibri"/>
              </w:rPr>
              <w:t>Abnormal perception or thought content (e.g. delusions, hallucinations)</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430" w:type="dxa"/>
          </w:tcPr>
          <w:p w:rsidR="00EE537F" w:rsidRPr="00EE537F" w:rsidRDefault="00EE537F" w:rsidP="00EE537F">
            <w:pPr>
              <w:jc w:val="both"/>
              <w:rPr>
                <w:rFonts w:eastAsia="Calibri"/>
                <w:b/>
                <w:lang w:val="en-US" w:eastAsia="ar-SA"/>
              </w:rPr>
            </w:pPr>
          </w:p>
        </w:tc>
        <w:tc>
          <w:tcPr>
            <w:tcW w:w="13102" w:type="dxa"/>
            <w:gridSpan w:val="2"/>
          </w:tcPr>
          <w:p w:rsidR="00EE537F" w:rsidRPr="00EE537F" w:rsidRDefault="00EE537F" w:rsidP="00EE537F">
            <w:pPr>
              <w:autoSpaceDE w:val="0"/>
              <w:autoSpaceDN w:val="0"/>
              <w:adjustRightInd w:val="0"/>
              <w:rPr>
                <w:rFonts w:eastAsia="Calibri"/>
              </w:rPr>
            </w:pPr>
          </w:p>
        </w:tc>
      </w:tr>
      <w:tr w:rsidR="00EE537F" w:rsidRPr="00EE537F" w:rsidTr="0079506F">
        <w:tc>
          <w:tcPr>
            <w:tcW w:w="426" w:type="dxa"/>
          </w:tcPr>
          <w:p w:rsidR="00EE537F" w:rsidRPr="00EE537F" w:rsidRDefault="00EE537F" w:rsidP="00EE537F">
            <w:pPr>
              <w:jc w:val="both"/>
              <w:rPr>
                <w:rFonts w:eastAsia="Calibri"/>
                <w:b/>
                <w:lang w:val="en-US" w:eastAsia="ar-SA"/>
              </w:rPr>
            </w:pPr>
            <w:r w:rsidRPr="00EE537F">
              <w:rPr>
                <w:rFonts w:eastAsia="Calibri"/>
                <w:b/>
                <w:lang w:val="en-US" w:eastAsia="ar-SA"/>
              </w:rPr>
              <w:t>2.</w:t>
            </w:r>
          </w:p>
        </w:tc>
        <w:tc>
          <w:tcPr>
            <w:tcW w:w="13532" w:type="dxa"/>
            <w:gridSpan w:val="3"/>
          </w:tcPr>
          <w:p w:rsidR="00EE537F" w:rsidRPr="00EE537F" w:rsidRDefault="00EE537F" w:rsidP="00EE537F">
            <w:pPr>
              <w:autoSpaceDE w:val="0"/>
              <w:autoSpaceDN w:val="0"/>
              <w:adjustRightInd w:val="0"/>
              <w:jc w:val="both"/>
              <w:rPr>
                <w:rFonts w:eastAsia="Calibri"/>
              </w:rPr>
            </w:pPr>
            <w:r w:rsidRPr="00EE537F">
              <w:rPr>
                <w:rFonts w:eastAsia="Calibri"/>
              </w:rPr>
              <w:t>Behaviors are of sufficient severity to produce at least minimal impairment in at least one of the following areas:</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430" w:type="dxa"/>
          </w:tcPr>
          <w:p w:rsidR="00EE537F" w:rsidRPr="00EE537F" w:rsidRDefault="00EE537F" w:rsidP="00EE537F">
            <w:pPr>
              <w:jc w:val="both"/>
              <w:rPr>
                <w:rFonts w:eastAsia="Calibri"/>
                <w:b/>
                <w:lang w:val="en-US" w:eastAsia="ar-SA"/>
              </w:rPr>
            </w:pPr>
            <w:r w:rsidRPr="00EE537F">
              <w:rPr>
                <w:rFonts w:eastAsia="Calibri"/>
                <w:b/>
                <w:lang w:val="en-US" w:eastAsia="ar-SA"/>
              </w:rPr>
              <w:t>a)</w:t>
            </w:r>
          </w:p>
        </w:tc>
        <w:tc>
          <w:tcPr>
            <w:tcW w:w="13102" w:type="dxa"/>
            <w:gridSpan w:val="2"/>
          </w:tcPr>
          <w:p w:rsidR="00EE537F" w:rsidRPr="00EE537F" w:rsidRDefault="00EE537F" w:rsidP="00EE537F">
            <w:pPr>
              <w:autoSpaceDE w:val="0"/>
              <w:autoSpaceDN w:val="0"/>
              <w:adjustRightInd w:val="0"/>
              <w:rPr>
                <w:rFonts w:eastAsia="Calibri"/>
              </w:rPr>
            </w:pPr>
            <w:r w:rsidRPr="00EE537F">
              <w:rPr>
                <w:rFonts w:eastAsia="Calibri"/>
              </w:rPr>
              <w:t>Interpersonal relationships</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430" w:type="dxa"/>
          </w:tcPr>
          <w:p w:rsidR="00EE537F" w:rsidRPr="00EE537F" w:rsidRDefault="00EE537F" w:rsidP="00EE537F">
            <w:pPr>
              <w:jc w:val="both"/>
              <w:rPr>
                <w:rFonts w:eastAsia="Calibri"/>
                <w:b/>
                <w:lang w:val="en-US" w:eastAsia="ar-SA"/>
              </w:rPr>
            </w:pPr>
            <w:r w:rsidRPr="00EE537F">
              <w:rPr>
                <w:rFonts w:eastAsia="Calibri"/>
                <w:b/>
                <w:lang w:val="en-US" w:eastAsia="ar-SA"/>
              </w:rPr>
              <w:t>b)</w:t>
            </w:r>
          </w:p>
        </w:tc>
        <w:tc>
          <w:tcPr>
            <w:tcW w:w="13102" w:type="dxa"/>
            <w:gridSpan w:val="2"/>
          </w:tcPr>
          <w:p w:rsidR="00EE537F" w:rsidRPr="00EE537F" w:rsidRDefault="00EE537F" w:rsidP="00EE537F">
            <w:pPr>
              <w:autoSpaceDE w:val="0"/>
              <w:autoSpaceDN w:val="0"/>
              <w:adjustRightInd w:val="0"/>
              <w:rPr>
                <w:rFonts w:eastAsia="Calibri"/>
              </w:rPr>
            </w:pPr>
            <w:r w:rsidRPr="00EE537F">
              <w:rPr>
                <w:rFonts w:eastAsia="Calibri"/>
              </w:rPr>
              <w:t>Other aspects of social functioning</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430" w:type="dxa"/>
          </w:tcPr>
          <w:p w:rsidR="00EE537F" w:rsidRPr="00EE537F" w:rsidRDefault="00EE537F" w:rsidP="00EE537F">
            <w:pPr>
              <w:jc w:val="both"/>
              <w:rPr>
                <w:rFonts w:eastAsia="Calibri"/>
                <w:b/>
                <w:lang w:val="en-US" w:eastAsia="ar-SA"/>
              </w:rPr>
            </w:pPr>
            <w:r w:rsidRPr="00EE537F">
              <w:rPr>
                <w:rFonts w:eastAsia="Calibri"/>
                <w:b/>
                <w:lang w:val="en-US" w:eastAsia="ar-SA"/>
              </w:rPr>
              <w:t>c)</w:t>
            </w:r>
          </w:p>
        </w:tc>
        <w:tc>
          <w:tcPr>
            <w:tcW w:w="13102" w:type="dxa"/>
            <w:gridSpan w:val="2"/>
          </w:tcPr>
          <w:p w:rsidR="00EE537F" w:rsidRPr="00EE537F" w:rsidRDefault="00EE537F" w:rsidP="00EE537F">
            <w:pPr>
              <w:autoSpaceDE w:val="0"/>
              <w:autoSpaceDN w:val="0"/>
              <w:adjustRightInd w:val="0"/>
              <w:rPr>
                <w:rFonts w:eastAsia="Calibri"/>
              </w:rPr>
            </w:pPr>
            <w:r w:rsidRPr="00EE537F">
              <w:rPr>
                <w:rFonts w:eastAsia="Calibri"/>
              </w:rPr>
              <w:t>Ability to perform in the workplace</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13532" w:type="dxa"/>
            <w:gridSpan w:val="3"/>
          </w:tcPr>
          <w:p w:rsidR="00EE537F" w:rsidRPr="00EE537F" w:rsidRDefault="00EE537F" w:rsidP="00EE537F">
            <w:pPr>
              <w:autoSpaceDE w:val="0"/>
              <w:autoSpaceDN w:val="0"/>
              <w:adjustRightInd w:val="0"/>
              <w:jc w:val="both"/>
              <w:rPr>
                <w:rFonts w:eastAsia="Calibri"/>
              </w:rPr>
            </w:pPr>
            <w:r w:rsidRPr="00EE537F">
              <w:rPr>
                <w:rFonts w:eastAsia="Calibri"/>
              </w:rPr>
              <w:t>The patient should generally maintain his/her independence of function in daily life, with minimal aids or assistance.</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13532" w:type="dxa"/>
            <w:gridSpan w:val="3"/>
          </w:tcPr>
          <w:p w:rsidR="00EE537F" w:rsidRPr="00EE537F" w:rsidRDefault="00EE537F" w:rsidP="00EE537F">
            <w:pPr>
              <w:autoSpaceDE w:val="0"/>
              <w:autoSpaceDN w:val="0"/>
              <w:adjustRightInd w:val="0"/>
              <w:jc w:val="both"/>
              <w:rPr>
                <w:rFonts w:eastAsia="Calibri"/>
              </w:rPr>
            </w:pPr>
          </w:p>
        </w:tc>
      </w:tr>
      <w:tr w:rsidR="00EE537F" w:rsidRPr="00EE537F" w:rsidTr="0079506F">
        <w:tc>
          <w:tcPr>
            <w:tcW w:w="426" w:type="dxa"/>
          </w:tcPr>
          <w:p w:rsidR="00EE537F" w:rsidRPr="00EE537F" w:rsidRDefault="00EE537F" w:rsidP="00EE537F">
            <w:pPr>
              <w:jc w:val="both"/>
              <w:rPr>
                <w:rFonts w:eastAsia="Calibri"/>
                <w:b/>
                <w:lang w:val="en-US" w:eastAsia="ar-SA"/>
              </w:rPr>
            </w:pPr>
            <w:r w:rsidRPr="00EE537F">
              <w:rPr>
                <w:rFonts w:eastAsia="Calibri"/>
                <w:b/>
                <w:lang w:val="en-US" w:eastAsia="ar-SA"/>
              </w:rPr>
              <w:t>3.</w:t>
            </w:r>
          </w:p>
        </w:tc>
        <w:tc>
          <w:tcPr>
            <w:tcW w:w="13532" w:type="dxa"/>
            <w:gridSpan w:val="3"/>
          </w:tcPr>
          <w:p w:rsidR="00EE537F" w:rsidRPr="00EE537F" w:rsidRDefault="00EE537F" w:rsidP="00EE537F">
            <w:pPr>
              <w:autoSpaceDE w:val="0"/>
              <w:autoSpaceDN w:val="0"/>
              <w:adjustRightInd w:val="0"/>
              <w:jc w:val="both"/>
              <w:rPr>
                <w:rFonts w:eastAsia="Calibri"/>
                <w:b/>
                <w:lang w:val="en-US" w:eastAsia="ar-SA"/>
              </w:rPr>
            </w:pPr>
            <w:r w:rsidRPr="00EE537F">
              <w:rPr>
                <w:rFonts w:eastAsia="Calibri"/>
              </w:rPr>
              <w:t>Although co-morbid conditions may be present, the behavioral or personality changes are not attributable to another current psychiatric disorder (e.g. generalized anxiety disorder, major depression, manic or psychotic disorders), traumatic or general medical causes, or the physiological effects of a substance or medication.</w:t>
            </w:r>
          </w:p>
        </w:tc>
      </w:tr>
      <w:tr w:rsidR="00EE537F" w:rsidRPr="00EE537F" w:rsidTr="0079506F">
        <w:tc>
          <w:tcPr>
            <w:tcW w:w="426" w:type="dxa"/>
          </w:tcPr>
          <w:p w:rsidR="00EE537F" w:rsidRPr="00EE537F" w:rsidRDefault="00EE537F" w:rsidP="00EE537F">
            <w:pPr>
              <w:jc w:val="both"/>
              <w:rPr>
                <w:rFonts w:eastAsia="Calibri"/>
                <w:b/>
                <w:lang w:val="en-US" w:eastAsia="ar-SA"/>
              </w:rPr>
            </w:pPr>
          </w:p>
        </w:tc>
        <w:tc>
          <w:tcPr>
            <w:tcW w:w="8150" w:type="dxa"/>
            <w:gridSpan w:val="2"/>
          </w:tcPr>
          <w:p w:rsidR="00EE537F" w:rsidRPr="00EE537F" w:rsidRDefault="00EE537F" w:rsidP="00EE537F">
            <w:pPr>
              <w:jc w:val="both"/>
              <w:rPr>
                <w:rFonts w:eastAsia="Calibri"/>
                <w:b/>
                <w:lang w:val="en-US" w:eastAsia="ar-SA"/>
              </w:rPr>
            </w:pPr>
          </w:p>
        </w:tc>
        <w:tc>
          <w:tcPr>
            <w:tcW w:w="5382" w:type="dxa"/>
          </w:tcPr>
          <w:p w:rsidR="00EE537F" w:rsidRPr="00EE537F" w:rsidRDefault="00EE537F" w:rsidP="00EE537F">
            <w:pPr>
              <w:rPr>
                <w:rFonts w:eastAsia="Calibri"/>
                <w:b/>
                <w:lang w:val="en-US" w:eastAsia="ar-SA"/>
              </w:rPr>
            </w:pPr>
          </w:p>
        </w:tc>
      </w:tr>
      <w:tr w:rsidR="00EE537F" w:rsidRPr="00EE537F" w:rsidTr="0079506F">
        <w:tc>
          <w:tcPr>
            <w:tcW w:w="426" w:type="dxa"/>
            <w:tcBorders>
              <w:bottom w:val="single" w:sz="4" w:space="0" w:color="auto"/>
            </w:tcBorders>
          </w:tcPr>
          <w:p w:rsidR="00EE537F" w:rsidRPr="00EE537F" w:rsidRDefault="00EE537F" w:rsidP="00EE537F">
            <w:pPr>
              <w:jc w:val="both"/>
              <w:rPr>
                <w:rFonts w:eastAsia="Calibri"/>
                <w:b/>
                <w:lang w:val="en-US" w:eastAsia="ar-SA"/>
              </w:rPr>
            </w:pPr>
            <w:r w:rsidRPr="00EE537F">
              <w:rPr>
                <w:rFonts w:eastAsia="Calibri"/>
                <w:b/>
                <w:lang w:val="en-US" w:eastAsia="ar-SA"/>
              </w:rPr>
              <w:t>4.</w:t>
            </w:r>
          </w:p>
        </w:tc>
        <w:tc>
          <w:tcPr>
            <w:tcW w:w="13532" w:type="dxa"/>
            <w:gridSpan w:val="3"/>
            <w:tcBorders>
              <w:bottom w:val="single" w:sz="4" w:space="0" w:color="auto"/>
            </w:tcBorders>
          </w:tcPr>
          <w:p w:rsidR="00EE537F" w:rsidRPr="00EE537F" w:rsidRDefault="00EE537F" w:rsidP="00EE537F">
            <w:pPr>
              <w:autoSpaceDE w:val="0"/>
              <w:autoSpaceDN w:val="0"/>
              <w:adjustRightInd w:val="0"/>
              <w:jc w:val="both"/>
              <w:rPr>
                <w:rFonts w:eastAsia="Calibri"/>
                <w:b/>
                <w:lang w:val="en-US" w:eastAsia="ar-SA"/>
              </w:rPr>
            </w:pPr>
            <w:r w:rsidRPr="00EE537F">
              <w:rPr>
                <w:rFonts w:eastAsia="Calibri"/>
              </w:rPr>
              <w:t>The patient does not meet criteria for a dementia syndrome (e.g., Alzheimer’s dementia, frontotemporal dementia, dementia with Lewy bodies, vascular dementia, other dementia). Mild Cognitive Impairment (MCI) can be concurrently diagnosed with Mild Behavioral Impairment.</w:t>
            </w:r>
          </w:p>
        </w:tc>
      </w:tr>
    </w:tbl>
    <w:p w:rsidR="00EE537F" w:rsidRPr="00EE537F" w:rsidRDefault="00EE537F" w:rsidP="00EE537F">
      <w:pPr>
        <w:spacing w:after="0" w:line="240" w:lineRule="auto"/>
        <w:rPr>
          <w:rFonts w:eastAsia="Calibri" w:cs="Times New Roman"/>
          <w:b/>
          <w:szCs w:val="24"/>
          <w:lang w:val="en-US" w:eastAsia="ar-SA"/>
        </w:rPr>
      </w:pPr>
    </w:p>
    <w:p w:rsidR="00EE537F" w:rsidRPr="00EE537F" w:rsidRDefault="00EE537F" w:rsidP="00EE537F">
      <w:pPr>
        <w:spacing w:after="0" w:line="240" w:lineRule="auto"/>
        <w:rPr>
          <w:rFonts w:eastAsia="Calibri" w:cs="Times New Roman"/>
          <w:szCs w:val="24"/>
          <w:lang w:val="en-US" w:eastAsia="ar-SA"/>
        </w:rPr>
      </w:pPr>
    </w:p>
    <w:p w:rsidR="00974E33" w:rsidRDefault="00974E33">
      <w:bookmarkStart w:id="0" w:name="_GoBack"/>
      <w:bookmarkEnd w:id="0"/>
    </w:p>
    <w:sectPr w:rsidR="00974E33" w:rsidSect="00833D9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7F"/>
    <w:rsid w:val="00974E33"/>
    <w:rsid w:val="00EE5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3654A-7F90-4C96-A24C-62FC8D4D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537F"/>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1628</Characters>
  <Application>Microsoft Office Word</Application>
  <DocSecurity>0</DocSecurity>
  <Lines>13</Lines>
  <Paragraphs>3</Paragraphs>
  <ScaleCrop>false</ScaleCrop>
  <Company>The Australian National University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dc:creator>
  <cp:keywords/>
  <dc:description/>
  <cp:lastModifiedBy>Moyra</cp:lastModifiedBy>
  <cp:revision>1</cp:revision>
  <dcterms:created xsi:type="dcterms:W3CDTF">2017-08-25T02:32:00Z</dcterms:created>
  <dcterms:modified xsi:type="dcterms:W3CDTF">2017-08-25T02:33:00Z</dcterms:modified>
</cp:coreProperties>
</file>