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32" w:rsidRPr="00A34385" w:rsidRDefault="008C3232" w:rsidP="008C3232">
      <w:pPr>
        <w:rPr>
          <w:b/>
        </w:rPr>
      </w:pPr>
      <w:bookmarkStart w:id="0" w:name="_GoBack"/>
      <w:bookmarkEnd w:id="0"/>
      <w:r>
        <w:rPr>
          <w:b/>
        </w:rPr>
        <w:t xml:space="preserve">Table S1: </w:t>
      </w:r>
      <w:r w:rsidRPr="00A34385">
        <w:rPr>
          <w:b/>
        </w:rPr>
        <w:t>The Dementia Friendly Community Environmental Assessment Tool (DFC EAT)</w:t>
      </w:r>
    </w:p>
    <w:tbl>
      <w:tblPr>
        <w:tblStyle w:val="TableGrid1"/>
        <w:tblW w:w="9980" w:type="dxa"/>
        <w:tblLayout w:type="fixed"/>
        <w:tblCellMar>
          <w:left w:w="57" w:type="dxa"/>
          <w:right w:w="0" w:type="dxa"/>
        </w:tblCellMar>
        <w:tblLook w:val="04A0" w:firstRow="1" w:lastRow="0" w:firstColumn="1" w:lastColumn="0" w:noHBand="0" w:noVBand="1"/>
      </w:tblPr>
      <w:tblGrid>
        <w:gridCol w:w="624"/>
        <w:gridCol w:w="5954"/>
        <w:gridCol w:w="709"/>
        <w:gridCol w:w="567"/>
        <w:gridCol w:w="708"/>
        <w:gridCol w:w="709"/>
        <w:gridCol w:w="709"/>
      </w:tblGrid>
      <w:tr w:rsidR="008C3232" w:rsidRPr="00A34385" w:rsidTr="00167669">
        <w:trPr>
          <w:cantSplit/>
          <w:trHeight w:val="1756"/>
          <w:tblHeader/>
        </w:trPr>
        <w:tc>
          <w:tcPr>
            <w:tcW w:w="624" w:type="dxa"/>
          </w:tcPr>
          <w:p w:rsidR="008C3232" w:rsidRPr="00A34385" w:rsidRDefault="008C3232" w:rsidP="00167669">
            <w:pPr>
              <w:spacing w:after="200" w:line="276" w:lineRule="auto"/>
              <w:jc w:val="center"/>
              <w:rPr>
                <w:b/>
              </w:rPr>
            </w:pPr>
          </w:p>
          <w:p w:rsidR="008C3232" w:rsidRPr="00A34385" w:rsidRDefault="008C3232" w:rsidP="00167669">
            <w:pPr>
              <w:spacing w:after="200" w:line="276" w:lineRule="auto"/>
              <w:jc w:val="center"/>
              <w:rPr>
                <w:b/>
              </w:rPr>
            </w:pPr>
          </w:p>
        </w:tc>
        <w:tc>
          <w:tcPr>
            <w:tcW w:w="5954" w:type="dxa"/>
            <w:vAlign w:val="center"/>
            <w:hideMark/>
          </w:tcPr>
          <w:p w:rsidR="008C3232" w:rsidRPr="00A34385" w:rsidRDefault="008C3232" w:rsidP="00167669">
            <w:pPr>
              <w:spacing w:after="200" w:line="276" w:lineRule="auto"/>
              <w:rPr>
                <w:b/>
                <w:bCs/>
              </w:rPr>
            </w:pPr>
            <w:r w:rsidRPr="00A34385">
              <w:rPr>
                <w:b/>
              </w:rPr>
              <w:t xml:space="preserve">0 = disagree </w:t>
            </w:r>
            <w:r w:rsidRPr="00A34385">
              <w:rPr>
                <w:b/>
              </w:rPr>
              <w:br/>
              <w:t>1 = partially agree</w:t>
            </w:r>
            <w:r w:rsidRPr="00A34385">
              <w:rPr>
                <w:b/>
              </w:rPr>
              <w:br/>
              <w:t>2 = agree</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Approach to the entry</w:t>
            </w:r>
          </w:p>
        </w:tc>
        <w:tc>
          <w:tcPr>
            <w:tcW w:w="567" w:type="dxa"/>
            <w:noWrap/>
            <w:textDirection w:val="tbRl"/>
            <w:hideMark/>
          </w:tcPr>
          <w:p w:rsidR="008C3232" w:rsidRPr="00A34385" w:rsidRDefault="008C3232" w:rsidP="00167669">
            <w:pPr>
              <w:spacing w:after="200" w:line="276" w:lineRule="auto"/>
              <w:jc w:val="center"/>
              <w:rPr>
                <w:b/>
                <w:bCs/>
              </w:rPr>
            </w:pPr>
            <w:r w:rsidRPr="00A34385">
              <w:rPr>
                <w:b/>
                <w:bCs/>
              </w:rPr>
              <w:t>Entry space</w:t>
            </w:r>
          </w:p>
        </w:tc>
        <w:tc>
          <w:tcPr>
            <w:tcW w:w="708" w:type="dxa"/>
            <w:noWrap/>
            <w:textDirection w:val="tbRl"/>
            <w:hideMark/>
          </w:tcPr>
          <w:p w:rsidR="008C3232" w:rsidRPr="00A34385" w:rsidRDefault="008C3232" w:rsidP="00167669">
            <w:pPr>
              <w:spacing w:after="200" w:line="276" w:lineRule="auto"/>
              <w:jc w:val="center"/>
              <w:rPr>
                <w:b/>
                <w:bCs/>
              </w:rPr>
            </w:pPr>
            <w:r w:rsidRPr="00A34385">
              <w:rPr>
                <w:b/>
                <w:bCs/>
              </w:rPr>
              <w:t>Route to the destination</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Destination</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Route from  the destination</w:t>
            </w:r>
          </w:p>
        </w:tc>
      </w:tr>
      <w:tr w:rsidR="008C3232" w:rsidRPr="00A34385" w:rsidTr="00167669">
        <w:trPr>
          <w:cantSplit/>
          <w:trHeight w:val="340"/>
        </w:trPr>
        <w:tc>
          <w:tcPr>
            <w:tcW w:w="624" w:type="dxa"/>
            <w:vMerge w:val="restart"/>
            <w:shd w:val="clear" w:color="auto" w:fill="F2F2F2" w:themeFill="background1" w:themeFillShade="F2"/>
            <w:textDirection w:val="btLr"/>
          </w:tcPr>
          <w:p w:rsidR="008C3232" w:rsidRPr="00A34385" w:rsidRDefault="008C3232" w:rsidP="00167669">
            <w:pPr>
              <w:spacing w:after="200" w:line="276" w:lineRule="auto"/>
              <w:jc w:val="center"/>
            </w:pPr>
            <w:r w:rsidRPr="00A34385">
              <w:t>Safety</w:t>
            </w:r>
          </w:p>
        </w:tc>
        <w:tc>
          <w:tcPr>
            <w:tcW w:w="5954" w:type="dxa"/>
            <w:shd w:val="clear" w:color="auto" w:fill="F2F2F2" w:themeFill="background1" w:themeFillShade="F2"/>
            <w:hideMark/>
          </w:tcPr>
          <w:p w:rsidR="008C3232" w:rsidRPr="00A34385" w:rsidRDefault="008C3232" w:rsidP="00167669">
            <w:pPr>
              <w:spacing w:after="200" w:line="276" w:lineRule="auto"/>
            </w:pPr>
            <w:r w:rsidRPr="00A34385">
              <w:t>All areas are free from dark shadows or bright glare.</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567"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8"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hideMark/>
          </w:tcPr>
          <w:p w:rsidR="008C3232" w:rsidRPr="00A34385" w:rsidRDefault="008C3232" w:rsidP="00167669">
            <w:pPr>
              <w:spacing w:after="200" w:line="276" w:lineRule="auto"/>
            </w:pPr>
            <w:r w:rsidRPr="00A34385">
              <w:t>All areas are well lit.</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567"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8"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hideMark/>
          </w:tcPr>
          <w:p w:rsidR="008C3232" w:rsidRPr="00A34385" w:rsidRDefault="008C3232" w:rsidP="00167669">
            <w:pPr>
              <w:spacing w:after="200" w:line="276" w:lineRule="auto"/>
            </w:pPr>
            <w:r w:rsidRPr="00A34385">
              <w:t>All areas can be accessed without need to negotiate steps/stairs.</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567"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8"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hideMark/>
          </w:tcPr>
          <w:p w:rsidR="008C3232" w:rsidRPr="00A34385" w:rsidRDefault="008C3232" w:rsidP="00167669">
            <w:pPr>
              <w:spacing w:line="276" w:lineRule="auto"/>
            </w:pPr>
            <w:r w:rsidRPr="00A34385">
              <w:t xml:space="preserve">All changes in surface levels are safe. </w:t>
            </w:r>
            <w:r w:rsidRPr="00A34385">
              <w:rPr>
                <w:i/>
                <w:iCs/>
              </w:rPr>
              <w:t>Consider clear marking of level changes, illumination, presence of handrails and non-slip surfaces</w:t>
            </w:r>
            <w:r w:rsidRPr="00A34385">
              <w:t>. (Score 2 if no level changes)</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567"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8"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hideMark/>
          </w:tcPr>
          <w:p w:rsidR="008C3232" w:rsidRPr="00A34385" w:rsidRDefault="008C3232" w:rsidP="00167669">
            <w:pPr>
              <w:spacing w:line="276" w:lineRule="auto"/>
            </w:pPr>
            <w:r w:rsidRPr="00A34385">
              <w:t>Gradients of all ramped areas are safe for people using a wheelchair or walking aid. (Score 2 if no ramps)</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567"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8" w:type="dxa"/>
            <w:shd w:val="clear" w:color="auto" w:fill="F2F2F2" w:themeFill="background1" w:themeFillShade="F2"/>
            <w:hideMark/>
          </w:tcPr>
          <w:p w:rsidR="008C3232" w:rsidRPr="00A34385" w:rsidRDefault="008C3232" w:rsidP="00167669">
            <w:pPr>
              <w:spacing w:after="200" w:line="276" w:lineRule="auto"/>
            </w:pPr>
            <w:r w:rsidRPr="00A34385">
              <w:t> </w:t>
            </w:r>
          </w:p>
        </w:tc>
        <w:tc>
          <w:tcPr>
            <w:tcW w:w="709" w:type="dxa"/>
            <w:shd w:val="clear" w:color="auto" w:fill="000000" w:themeFill="text1"/>
            <w:hideMark/>
          </w:tcPr>
          <w:p w:rsidR="008C3232" w:rsidRPr="00A34385" w:rsidRDefault="008C3232" w:rsidP="00167669">
            <w:pPr>
              <w:spacing w:after="200" w:line="276" w:lineRule="auto"/>
            </w:pPr>
            <w:r w:rsidRPr="00A34385">
              <w:t> </w:t>
            </w:r>
          </w:p>
        </w:tc>
        <w:tc>
          <w:tcPr>
            <w:tcW w:w="709" w:type="dxa"/>
            <w:shd w:val="clear" w:color="auto" w:fill="F2F2F2" w:themeFill="background1" w:themeFillShade="F2"/>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line="276" w:lineRule="auto"/>
            </w:pPr>
            <w:r w:rsidRPr="00A34385">
              <w:t xml:space="preserve">The way to the next stage of the journey is clearly visible and safely accessible. </w:t>
            </w:r>
            <w:r w:rsidRPr="00A34385">
              <w:rPr>
                <w:i/>
                <w:iCs/>
              </w:rPr>
              <w:t>Consider ease of access to path, trip hazards at the edge of the path, slipperiness, evenness, width sufficient for 2 people to pass, absence of obstacles on the path.</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line="276" w:lineRule="auto"/>
            </w:pPr>
            <w:r w:rsidRPr="00A34385">
              <w:t>All manually operated entry doors /gates are easily operated e.g. have lever handles/push plates (Score 2 where gates/doors are automatic or not present)</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val="restart"/>
            <w:textDirection w:val="btLr"/>
          </w:tcPr>
          <w:p w:rsidR="008C3232" w:rsidRPr="00A34385" w:rsidRDefault="008C3232" w:rsidP="00167669">
            <w:pPr>
              <w:spacing w:after="200" w:line="276" w:lineRule="auto"/>
              <w:jc w:val="center"/>
            </w:pPr>
            <w:r w:rsidRPr="00A34385">
              <w:t>Seeing and being seen</w:t>
            </w:r>
          </w:p>
        </w:tc>
        <w:tc>
          <w:tcPr>
            <w:tcW w:w="5954" w:type="dxa"/>
            <w:hideMark/>
          </w:tcPr>
          <w:p w:rsidR="008C3232" w:rsidRPr="00A34385" w:rsidRDefault="008C3232" w:rsidP="00167669">
            <w:pPr>
              <w:spacing w:after="200" w:line="276" w:lineRule="auto"/>
            </w:pPr>
            <w:r w:rsidRPr="00A34385">
              <w:t>The entry/exit can be easily  identified</w:t>
            </w:r>
          </w:p>
        </w:tc>
        <w:tc>
          <w:tcPr>
            <w:tcW w:w="709" w:type="dxa"/>
            <w:hideMark/>
          </w:tcPr>
          <w:p w:rsidR="008C3232" w:rsidRPr="00A34385" w:rsidRDefault="008C3232" w:rsidP="00167669">
            <w:pPr>
              <w:spacing w:after="200" w:line="276" w:lineRule="auto"/>
            </w:pPr>
            <w:r w:rsidRPr="00A34385">
              <w:t> </w:t>
            </w:r>
          </w:p>
        </w:tc>
        <w:tc>
          <w:tcPr>
            <w:tcW w:w="567" w:type="dxa"/>
            <w:shd w:val="clear" w:color="auto" w:fill="000000" w:themeFill="text1"/>
            <w:hideMark/>
          </w:tcPr>
          <w:p w:rsidR="008C3232" w:rsidRPr="00A34385" w:rsidRDefault="008C3232" w:rsidP="00167669">
            <w:pPr>
              <w:spacing w:after="200" w:line="276" w:lineRule="auto"/>
            </w:pPr>
            <w:r w:rsidRPr="00A34385">
              <w:t> </w:t>
            </w:r>
          </w:p>
        </w:tc>
        <w:tc>
          <w:tcPr>
            <w:tcW w:w="708" w:type="dxa"/>
            <w:shd w:val="clear" w:color="auto" w:fill="000000" w:themeFill="text1"/>
            <w:hideMark/>
          </w:tcPr>
          <w:p w:rsidR="008C3232" w:rsidRPr="00A34385" w:rsidRDefault="008C3232" w:rsidP="00167669">
            <w:pPr>
              <w:spacing w:after="200" w:line="276" w:lineRule="auto"/>
            </w:pPr>
            <w:r w:rsidRPr="00A34385">
              <w:t> </w:t>
            </w:r>
          </w:p>
        </w:tc>
        <w:tc>
          <w:tcPr>
            <w:tcW w:w="709" w:type="dxa"/>
            <w:shd w:val="clear" w:color="auto" w:fill="000000" w:themeFill="text1"/>
            <w:hideMark/>
          </w:tcPr>
          <w:p w:rsidR="008C3232" w:rsidRPr="00A34385" w:rsidRDefault="008C3232" w:rsidP="00167669">
            <w:pPr>
              <w:spacing w:after="200" w:line="276" w:lineRule="auto"/>
            </w:pPr>
            <w:r w:rsidRPr="00A34385">
              <w:t> </w:t>
            </w:r>
          </w:p>
        </w:tc>
        <w:tc>
          <w:tcPr>
            <w:tcW w:w="709" w:type="dxa"/>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tcPr>
          <w:p w:rsidR="008C3232" w:rsidRPr="00A34385" w:rsidRDefault="008C3232" w:rsidP="00167669">
            <w:pPr>
              <w:spacing w:after="200" w:line="276" w:lineRule="auto"/>
              <w:jc w:val="center"/>
            </w:pPr>
          </w:p>
        </w:tc>
        <w:tc>
          <w:tcPr>
            <w:tcW w:w="5954" w:type="dxa"/>
            <w:hideMark/>
          </w:tcPr>
          <w:p w:rsidR="008C3232" w:rsidRPr="00A34385" w:rsidRDefault="008C3232" w:rsidP="00167669">
            <w:pPr>
              <w:spacing w:after="200" w:line="276" w:lineRule="auto"/>
            </w:pPr>
            <w:r w:rsidRPr="00A34385">
              <w:t>The way to a toilet can be easily seen</w:t>
            </w:r>
          </w:p>
        </w:tc>
        <w:tc>
          <w:tcPr>
            <w:tcW w:w="709" w:type="dxa"/>
            <w:hideMark/>
          </w:tcPr>
          <w:p w:rsidR="008C3232" w:rsidRPr="00A34385" w:rsidRDefault="008C3232" w:rsidP="00167669">
            <w:pPr>
              <w:spacing w:after="200" w:line="276" w:lineRule="auto"/>
            </w:pPr>
            <w:r w:rsidRPr="00A34385">
              <w:t> </w:t>
            </w:r>
          </w:p>
        </w:tc>
        <w:tc>
          <w:tcPr>
            <w:tcW w:w="567" w:type="dxa"/>
            <w:hideMark/>
          </w:tcPr>
          <w:p w:rsidR="008C3232" w:rsidRPr="00A34385" w:rsidRDefault="008C3232" w:rsidP="00167669">
            <w:pPr>
              <w:spacing w:after="200" w:line="276" w:lineRule="auto"/>
            </w:pPr>
            <w:r w:rsidRPr="00A34385">
              <w:t> </w:t>
            </w:r>
          </w:p>
        </w:tc>
        <w:tc>
          <w:tcPr>
            <w:tcW w:w="708" w:type="dxa"/>
            <w:hideMark/>
          </w:tcPr>
          <w:p w:rsidR="008C3232" w:rsidRPr="00A34385" w:rsidRDefault="008C3232" w:rsidP="00167669">
            <w:pPr>
              <w:spacing w:after="200" w:line="276" w:lineRule="auto"/>
            </w:pPr>
            <w:r w:rsidRPr="00A34385">
              <w:t> </w:t>
            </w:r>
          </w:p>
        </w:tc>
        <w:tc>
          <w:tcPr>
            <w:tcW w:w="709" w:type="dxa"/>
            <w:hideMark/>
          </w:tcPr>
          <w:p w:rsidR="008C3232" w:rsidRPr="00A34385" w:rsidRDefault="008C3232" w:rsidP="00167669">
            <w:pPr>
              <w:spacing w:after="200" w:line="276" w:lineRule="auto"/>
            </w:pPr>
            <w:r w:rsidRPr="00A34385">
              <w:t> </w:t>
            </w:r>
          </w:p>
        </w:tc>
        <w:tc>
          <w:tcPr>
            <w:tcW w:w="709" w:type="dxa"/>
            <w:hideMark/>
          </w:tcPr>
          <w:p w:rsidR="008C3232" w:rsidRPr="00A34385" w:rsidRDefault="008C3232" w:rsidP="00167669">
            <w:pPr>
              <w:spacing w:after="200" w:line="276" w:lineRule="auto"/>
            </w:pPr>
            <w:r w:rsidRPr="00A34385">
              <w:t> </w:t>
            </w:r>
          </w:p>
        </w:tc>
      </w:tr>
      <w:tr w:rsidR="008C3232" w:rsidRPr="00A34385" w:rsidTr="00167669">
        <w:tblPrEx>
          <w:tblCellMar>
            <w:left w:w="108" w:type="dxa"/>
            <w:right w:w="108" w:type="dxa"/>
          </w:tblCellMar>
        </w:tblPrEx>
        <w:trPr>
          <w:trHeight w:val="340"/>
        </w:trPr>
        <w:tc>
          <w:tcPr>
            <w:tcW w:w="624" w:type="dxa"/>
            <w:vMerge/>
          </w:tcPr>
          <w:p w:rsidR="008C3232" w:rsidRPr="00A34385" w:rsidRDefault="008C3232" w:rsidP="00167669">
            <w:pPr>
              <w:spacing w:after="200" w:line="276" w:lineRule="auto"/>
              <w:jc w:val="center"/>
            </w:pPr>
          </w:p>
        </w:tc>
        <w:tc>
          <w:tcPr>
            <w:tcW w:w="5954" w:type="dxa"/>
            <w:hideMark/>
          </w:tcPr>
          <w:p w:rsidR="008C3232" w:rsidRPr="00A34385" w:rsidRDefault="008C3232" w:rsidP="00167669">
            <w:pPr>
              <w:spacing w:line="276" w:lineRule="auto"/>
            </w:pPr>
            <w:r w:rsidRPr="00A34385">
              <w:t>The next destination can be easily seen and identified e.g. enquiry desk, aisle, corridor, office, way back to exit.</w:t>
            </w:r>
          </w:p>
        </w:tc>
        <w:tc>
          <w:tcPr>
            <w:tcW w:w="709" w:type="dxa"/>
            <w:hideMark/>
          </w:tcPr>
          <w:p w:rsidR="008C3232" w:rsidRPr="00A34385" w:rsidRDefault="008C3232" w:rsidP="00167669">
            <w:pPr>
              <w:spacing w:after="200" w:line="276" w:lineRule="auto"/>
            </w:pPr>
            <w:r w:rsidRPr="00A34385">
              <w:t> </w:t>
            </w:r>
          </w:p>
        </w:tc>
        <w:tc>
          <w:tcPr>
            <w:tcW w:w="567" w:type="dxa"/>
            <w:hideMark/>
          </w:tcPr>
          <w:p w:rsidR="008C3232" w:rsidRPr="00A34385" w:rsidRDefault="008C3232" w:rsidP="00167669">
            <w:pPr>
              <w:spacing w:after="200" w:line="276" w:lineRule="auto"/>
            </w:pPr>
            <w:r w:rsidRPr="00A34385">
              <w:t> </w:t>
            </w:r>
          </w:p>
        </w:tc>
        <w:tc>
          <w:tcPr>
            <w:tcW w:w="708" w:type="dxa"/>
            <w:hideMark/>
          </w:tcPr>
          <w:p w:rsidR="008C3232" w:rsidRPr="00A34385" w:rsidRDefault="008C3232" w:rsidP="00167669">
            <w:pPr>
              <w:spacing w:after="200" w:line="276" w:lineRule="auto"/>
            </w:pPr>
            <w:r w:rsidRPr="00A34385">
              <w:t> </w:t>
            </w:r>
          </w:p>
        </w:tc>
        <w:tc>
          <w:tcPr>
            <w:tcW w:w="709" w:type="dxa"/>
            <w:hideMark/>
          </w:tcPr>
          <w:p w:rsidR="008C3232" w:rsidRPr="00A34385" w:rsidRDefault="008C3232" w:rsidP="00167669">
            <w:pPr>
              <w:spacing w:after="200" w:line="276" w:lineRule="auto"/>
            </w:pPr>
            <w:r w:rsidRPr="00A34385">
              <w:t> </w:t>
            </w:r>
          </w:p>
        </w:tc>
        <w:tc>
          <w:tcPr>
            <w:tcW w:w="709" w:type="dxa"/>
            <w:shd w:val="clear" w:color="auto" w:fill="000000" w:themeFill="text1"/>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tcPr>
          <w:p w:rsidR="008C3232" w:rsidRPr="00A34385" w:rsidRDefault="008C3232" w:rsidP="00167669">
            <w:pPr>
              <w:spacing w:after="200" w:line="276" w:lineRule="auto"/>
              <w:jc w:val="center"/>
            </w:pPr>
          </w:p>
        </w:tc>
        <w:tc>
          <w:tcPr>
            <w:tcW w:w="5954" w:type="dxa"/>
            <w:hideMark/>
          </w:tcPr>
          <w:p w:rsidR="008C3232" w:rsidRPr="00A34385" w:rsidRDefault="008C3232" w:rsidP="00167669">
            <w:pPr>
              <w:spacing w:line="276" w:lineRule="auto"/>
            </w:pPr>
            <w:r w:rsidRPr="00A34385">
              <w:t>The final destination allows the person with dementia to see all of the areas that they may wish to use.</w:t>
            </w:r>
          </w:p>
        </w:tc>
        <w:tc>
          <w:tcPr>
            <w:tcW w:w="709" w:type="dxa"/>
            <w:shd w:val="clear" w:color="auto" w:fill="000000" w:themeFill="text1"/>
            <w:hideMark/>
          </w:tcPr>
          <w:p w:rsidR="008C3232" w:rsidRPr="00A34385" w:rsidRDefault="008C3232" w:rsidP="00167669">
            <w:pPr>
              <w:spacing w:after="200" w:line="276" w:lineRule="auto"/>
            </w:pPr>
            <w:r w:rsidRPr="00A34385">
              <w:t> </w:t>
            </w:r>
          </w:p>
        </w:tc>
        <w:tc>
          <w:tcPr>
            <w:tcW w:w="567" w:type="dxa"/>
            <w:shd w:val="clear" w:color="auto" w:fill="000000" w:themeFill="text1"/>
            <w:hideMark/>
          </w:tcPr>
          <w:p w:rsidR="008C3232" w:rsidRPr="00A34385" w:rsidRDefault="008C3232" w:rsidP="00167669">
            <w:pPr>
              <w:spacing w:after="200" w:line="276" w:lineRule="auto"/>
            </w:pPr>
            <w:r w:rsidRPr="00A34385">
              <w:t> </w:t>
            </w:r>
          </w:p>
        </w:tc>
        <w:tc>
          <w:tcPr>
            <w:tcW w:w="708" w:type="dxa"/>
            <w:shd w:val="clear" w:color="auto" w:fill="000000" w:themeFill="text1"/>
            <w:hideMark/>
          </w:tcPr>
          <w:p w:rsidR="008C3232" w:rsidRPr="00A34385" w:rsidRDefault="008C3232" w:rsidP="00167669">
            <w:pPr>
              <w:spacing w:after="200" w:line="276" w:lineRule="auto"/>
            </w:pPr>
            <w:r w:rsidRPr="00A34385">
              <w:t> </w:t>
            </w:r>
          </w:p>
        </w:tc>
        <w:tc>
          <w:tcPr>
            <w:tcW w:w="709" w:type="dxa"/>
            <w:hideMark/>
          </w:tcPr>
          <w:p w:rsidR="008C3232" w:rsidRPr="00A34385" w:rsidRDefault="008C3232" w:rsidP="00167669">
            <w:pPr>
              <w:spacing w:after="200" w:line="276" w:lineRule="auto"/>
            </w:pPr>
            <w:r w:rsidRPr="00A34385">
              <w:t> </w:t>
            </w:r>
          </w:p>
        </w:tc>
        <w:tc>
          <w:tcPr>
            <w:tcW w:w="709" w:type="dxa"/>
            <w:shd w:val="clear" w:color="auto" w:fill="000000" w:themeFill="text1"/>
            <w:hideMark/>
          </w:tcPr>
          <w:p w:rsidR="008C3232" w:rsidRPr="00A34385" w:rsidRDefault="008C3232" w:rsidP="00167669">
            <w:pPr>
              <w:spacing w:after="200" w:line="276" w:lineRule="auto"/>
            </w:pPr>
            <w:r w:rsidRPr="00A34385">
              <w:t> </w:t>
            </w:r>
          </w:p>
        </w:tc>
      </w:tr>
      <w:tr w:rsidR="008C3232" w:rsidRPr="00A34385" w:rsidTr="00167669">
        <w:trPr>
          <w:cantSplit/>
          <w:trHeight w:val="340"/>
        </w:trPr>
        <w:tc>
          <w:tcPr>
            <w:tcW w:w="624" w:type="dxa"/>
            <w:vMerge w:val="restart"/>
            <w:shd w:val="clear" w:color="auto" w:fill="F2F2F2" w:themeFill="background1" w:themeFillShade="F2"/>
            <w:textDirection w:val="btLr"/>
          </w:tcPr>
          <w:p w:rsidR="008C3232" w:rsidRPr="00A34385" w:rsidRDefault="008C3232" w:rsidP="00167669">
            <w:pPr>
              <w:spacing w:after="200" w:line="276" w:lineRule="auto"/>
              <w:jc w:val="center"/>
            </w:pPr>
            <w:r w:rsidRPr="00A34385">
              <w:t>Familiarity</w:t>
            </w:r>
          </w:p>
        </w:tc>
        <w:tc>
          <w:tcPr>
            <w:tcW w:w="5954" w:type="dxa"/>
            <w:shd w:val="clear" w:color="auto" w:fill="F2F2F2" w:themeFill="background1" w:themeFillShade="F2"/>
          </w:tcPr>
          <w:p w:rsidR="008C3232" w:rsidRPr="00A34385" w:rsidRDefault="008C3232" w:rsidP="00167669">
            <w:pPr>
              <w:spacing w:after="200" w:line="276" w:lineRule="auto"/>
            </w:pPr>
            <w:r w:rsidRPr="00A34385">
              <w:t xml:space="preserve">The space is welcoming.  </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line="276" w:lineRule="auto"/>
            </w:pPr>
            <w:r w:rsidRPr="00A34385">
              <w:t>The function of the space is obvious, e.g. a foyer, a thoroughfare leading to a destination.</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line="276" w:lineRule="auto"/>
            </w:pPr>
            <w:r w:rsidRPr="00A34385">
              <w:t>Architectural design features, including landscaping and furniture, are familiar and easily understood by a person with dementia.</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after="200" w:line="276" w:lineRule="auto"/>
            </w:pPr>
            <w:r w:rsidRPr="00A34385">
              <w:t>Colours and decor are familiar</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val="restart"/>
            <w:textDirection w:val="btLr"/>
          </w:tcPr>
          <w:p w:rsidR="008C3232" w:rsidRPr="00A34385" w:rsidRDefault="008C3232" w:rsidP="00167669">
            <w:pPr>
              <w:spacing w:after="200" w:line="276" w:lineRule="auto"/>
              <w:jc w:val="center"/>
            </w:pPr>
            <w:r w:rsidRPr="00A34385">
              <w:t>Size</w:t>
            </w:r>
          </w:p>
        </w:tc>
        <w:tc>
          <w:tcPr>
            <w:tcW w:w="5954" w:type="dxa"/>
          </w:tcPr>
          <w:p w:rsidR="008C3232" w:rsidRPr="00A34385" w:rsidRDefault="008C3232" w:rsidP="00167669">
            <w:pPr>
              <w:spacing w:line="276" w:lineRule="auto"/>
            </w:pPr>
            <w:r w:rsidRPr="00A34385">
              <w:t>The size and scale of the space allows a person with dementia to feel comfortable and at ease e.g. not too large or too confined.</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jc w:val="center"/>
            </w:pPr>
          </w:p>
        </w:tc>
        <w:tc>
          <w:tcPr>
            <w:tcW w:w="5954" w:type="dxa"/>
          </w:tcPr>
          <w:p w:rsidR="008C3232" w:rsidRPr="00A34385" w:rsidRDefault="008C3232" w:rsidP="00167669">
            <w:pPr>
              <w:spacing w:line="276" w:lineRule="auto"/>
            </w:pPr>
            <w:r w:rsidRPr="00A34385">
              <w:t>The number of people present in the space allows the person living with  dementia  to feel comfortable and at ease</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val="restart"/>
            <w:shd w:val="clear" w:color="auto" w:fill="F2F2F2" w:themeFill="background1" w:themeFillShade="F2"/>
            <w:textDirection w:val="btLr"/>
          </w:tcPr>
          <w:p w:rsidR="008C3232" w:rsidRPr="00A34385" w:rsidRDefault="008C3232" w:rsidP="00167669">
            <w:pPr>
              <w:spacing w:after="200" w:line="276" w:lineRule="auto"/>
              <w:jc w:val="center"/>
            </w:pPr>
            <w:r w:rsidRPr="00A34385">
              <w:lastRenderedPageBreak/>
              <w:t>Variety of  spaces</w:t>
            </w:r>
          </w:p>
        </w:tc>
        <w:tc>
          <w:tcPr>
            <w:tcW w:w="5954" w:type="dxa"/>
            <w:shd w:val="clear" w:color="auto" w:fill="F2F2F2" w:themeFill="background1" w:themeFillShade="F2"/>
          </w:tcPr>
          <w:p w:rsidR="008C3232" w:rsidRPr="00A34385" w:rsidRDefault="008C3232" w:rsidP="00167669">
            <w:pPr>
              <w:spacing w:line="276" w:lineRule="auto"/>
            </w:pPr>
            <w:r w:rsidRPr="00A34385">
              <w:t>Seating is provided to allow the person with dementia to sit quietly by themselves or with a small number of others</w:t>
            </w:r>
          </w:p>
        </w:tc>
        <w:tc>
          <w:tcPr>
            <w:tcW w:w="709" w:type="dxa"/>
            <w:shd w:val="clear" w:color="auto" w:fill="000000" w:themeFill="text1"/>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608"/>
        </w:trPr>
        <w:tc>
          <w:tcPr>
            <w:tcW w:w="624" w:type="dxa"/>
            <w:vMerge/>
            <w:shd w:val="clear" w:color="auto" w:fill="F2F2F2" w:themeFill="background1" w:themeFillShade="F2"/>
          </w:tcPr>
          <w:p w:rsidR="008C3232" w:rsidRPr="00A34385" w:rsidRDefault="008C3232" w:rsidP="00167669">
            <w:pPr>
              <w:spacing w:after="200" w:line="276" w:lineRule="auto"/>
              <w:jc w:val="center"/>
            </w:pPr>
          </w:p>
        </w:tc>
        <w:tc>
          <w:tcPr>
            <w:tcW w:w="5954" w:type="dxa"/>
            <w:shd w:val="clear" w:color="auto" w:fill="F2F2F2" w:themeFill="background1" w:themeFillShade="F2"/>
          </w:tcPr>
          <w:p w:rsidR="008C3232" w:rsidRPr="00A34385" w:rsidRDefault="008C3232" w:rsidP="00167669">
            <w:pPr>
              <w:spacing w:line="276" w:lineRule="auto"/>
            </w:pPr>
            <w:r w:rsidRPr="00A34385">
              <w:t>The space  promotes easy and comfortable interaction with people of different ages and interests</w:t>
            </w:r>
          </w:p>
        </w:tc>
        <w:tc>
          <w:tcPr>
            <w:tcW w:w="709" w:type="dxa"/>
            <w:shd w:val="clear" w:color="auto" w:fill="000000" w:themeFill="text1"/>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val="restart"/>
            <w:shd w:val="clear" w:color="auto" w:fill="FFFFFF" w:themeFill="background1"/>
            <w:textDirection w:val="btLr"/>
          </w:tcPr>
          <w:p w:rsidR="008C3232" w:rsidRPr="00A34385" w:rsidRDefault="008C3232" w:rsidP="00167669">
            <w:pPr>
              <w:spacing w:after="200" w:line="276" w:lineRule="auto"/>
              <w:jc w:val="center"/>
            </w:pPr>
            <w:r w:rsidRPr="00A34385">
              <w:t>Movement and engagement</w:t>
            </w:r>
          </w:p>
        </w:tc>
        <w:tc>
          <w:tcPr>
            <w:tcW w:w="5954" w:type="dxa"/>
            <w:shd w:val="clear" w:color="auto" w:fill="FFFFFF" w:themeFill="background1"/>
          </w:tcPr>
          <w:p w:rsidR="008C3232" w:rsidRPr="00A34385" w:rsidRDefault="008C3232" w:rsidP="00167669">
            <w:pPr>
              <w:spacing w:after="200" w:line="276" w:lineRule="auto"/>
            </w:pPr>
            <w:r w:rsidRPr="00A34385">
              <w:t>There are both shady and sunny areas along the journey.</w:t>
            </w:r>
          </w:p>
        </w:tc>
        <w:tc>
          <w:tcPr>
            <w:tcW w:w="709" w:type="dxa"/>
            <w:shd w:val="clear" w:color="auto" w:fill="FFFFFF" w:themeFill="background1"/>
          </w:tcPr>
          <w:p w:rsidR="008C3232" w:rsidRPr="00A34385" w:rsidRDefault="008C3232" w:rsidP="00167669">
            <w:pPr>
              <w:spacing w:after="200" w:line="276" w:lineRule="auto"/>
            </w:pPr>
          </w:p>
        </w:tc>
        <w:tc>
          <w:tcPr>
            <w:tcW w:w="567" w:type="dxa"/>
            <w:shd w:val="clear" w:color="auto" w:fill="000000" w:themeFill="text1"/>
          </w:tcPr>
          <w:p w:rsidR="008C3232" w:rsidRPr="00A34385" w:rsidRDefault="008C3232" w:rsidP="00167669">
            <w:pPr>
              <w:spacing w:after="200" w:line="276" w:lineRule="auto"/>
            </w:pPr>
          </w:p>
        </w:tc>
        <w:tc>
          <w:tcPr>
            <w:tcW w:w="708" w:type="dxa"/>
            <w:shd w:val="clear" w:color="auto" w:fill="000000" w:themeFill="text1"/>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FFFFF" w:themeFill="background1"/>
          </w:tcPr>
          <w:p w:rsidR="008C3232" w:rsidRPr="00A34385" w:rsidRDefault="008C3232" w:rsidP="00167669">
            <w:pPr>
              <w:spacing w:after="200" w:line="276" w:lineRule="auto"/>
              <w:jc w:val="center"/>
            </w:pPr>
          </w:p>
        </w:tc>
        <w:tc>
          <w:tcPr>
            <w:tcW w:w="5954" w:type="dxa"/>
            <w:shd w:val="clear" w:color="auto" w:fill="FFFFFF" w:themeFill="background1"/>
          </w:tcPr>
          <w:p w:rsidR="008C3232" w:rsidRPr="00A34385" w:rsidRDefault="008C3232" w:rsidP="00167669">
            <w:pPr>
              <w:spacing w:after="200" w:line="276" w:lineRule="auto"/>
            </w:pPr>
            <w:r w:rsidRPr="00A34385">
              <w:t>The journey is pleasant.</w:t>
            </w:r>
          </w:p>
        </w:tc>
        <w:tc>
          <w:tcPr>
            <w:tcW w:w="709" w:type="dxa"/>
            <w:shd w:val="clear" w:color="auto" w:fill="FFFFFF" w:themeFill="background1"/>
          </w:tcPr>
          <w:p w:rsidR="008C3232" w:rsidRPr="00A34385" w:rsidRDefault="008C3232" w:rsidP="00167669">
            <w:pPr>
              <w:spacing w:after="200" w:line="276" w:lineRule="auto"/>
            </w:pPr>
          </w:p>
        </w:tc>
        <w:tc>
          <w:tcPr>
            <w:tcW w:w="567" w:type="dxa"/>
            <w:shd w:val="clear" w:color="auto" w:fill="FFFFFF" w:themeFill="background1"/>
          </w:tcPr>
          <w:p w:rsidR="008C3232" w:rsidRPr="00A34385" w:rsidRDefault="008C3232" w:rsidP="00167669">
            <w:pPr>
              <w:spacing w:after="200" w:line="276" w:lineRule="auto"/>
            </w:pPr>
          </w:p>
        </w:tc>
        <w:tc>
          <w:tcPr>
            <w:tcW w:w="708" w:type="dxa"/>
            <w:shd w:val="clear" w:color="auto" w:fill="FFFFFF" w:themeFill="background1"/>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FFFFF" w:themeFill="background1"/>
          </w:tcPr>
          <w:p w:rsidR="008C3232" w:rsidRPr="00A34385" w:rsidRDefault="008C3232" w:rsidP="00167669">
            <w:pPr>
              <w:spacing w:after="200" w:line="276" w:lineRule="auto"/>
              <w:jc w:val="center"/>
            </w:pPr>
          </w:p>
        </w:tc>
        <w:tc>
          <w:tcPr>
            <w:tcW w:w="5954" w:type="dxa"/>
            <w:shd w:val="clear" w:color="auto" w:fill="FFFFFF" w:themeFill="background1"/>
          </w:tcPr>
          <w:p w:rsidR="008C3232" w:rsidRPr="00A34385" w:rsidRDefault="008C3232" w:rsidP="00167669">
            <w:pPr>
              <w:spacing w:line="276" w:lineRule="auto"/>
            </w:pPr>
            <w:r w:rsidRPr="00A34385">
              <w:t>Seating or nooks enable a person living with a dementia to sit and rest.</w:t>
            </w:r>
          </w:p>
        </w:tc>
        <w:tc>
          <w:tcPr>
            <w:tcW w:w="709" w:type="dxa"/>
            <w:shd w:val="clear" w:color="auto" w:fill="FFFFFF" w:themeFill="background1"/>
          </w:tcPr>
          <w:p w:rsidR="008C3232" w:rsidRPr="00A34385" w:rsidRDefault="008C3232" w:rsidP="00167669">
            <w:pPr>
              <w:spacing w:after="200" w:line="276" w:lineRule="auto"/>
            </w:pPr>
          </w:p>
        </w:tc>
        <w:tc>
          <w:tcPr>
            <w:tcW w:w="567" w:type="dxa"/>
            <w:shd w:val="clear" w:color="auto" w:fill="FFFFFF" w:themeFill="background1"/>
          </w:tcPr>
          <w:p w:rsidR="008C3232" w:rsidRPr="00A34385" w:rsidRDefault="008C3232" w:rsidP="00167669">
            <w:pPr>
              <w:spacing w:after="200" w:line="276" w:lineRule="auto"/>
            </w:pPr>
          </w:p>
        </w:tc>
        <w:tc>
          <w:tcPr>
            <w:tcW w:w="708" w:type="dxa"/>
            <w:shd w:val="clear" w:color="auto" w:fill="FFFFFF" w:themeFill="background1"/>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FFFFF" w:themeFill="background1"/>
          </w:tcPr>
          <w:p w:rsidR="008C3232" w:rsidRPr="00A34385" w:rsidRDefault="008C3232" w:rsidP="00167669">
            <w:pPr>
              <w:spacing w:after="200" w:line="276" w:lineRule="auto"/>
              <w:jc w:val="center"/>
            </w:pPr>
          </w:p>
        </w:tc>
        <w:tc>
          <w:tcPr>
            <w:tcW w:w="5954" w:type="dxa"/>
            <w:shd w:val="clear" w:color="auto" w:fill="FFFFFF" w:themeFill="background1"/>
          </w:tcPr>
          <w:p w:rsidR="008C3232" w:rsidRPr="00A34385" w:rsidRDefault="008C3232" w:rsidP="00167669">
            <w:pPr>
              <w:spacing w:line="276" w:lineRule="auto"/>
            </w:pPr>
            <w:r w:rsidRPr="00A34385">
              <w:t>Spaces  provide opportunities to participate in or observe activities of interest</w:t>
            </w:r>
          </w:p>
        </w:tc>
        <w:tc>
          <w:tcPr>
            <w:tcW w:w="709" w:type="dxa"/>
            <w:shd w:val="clear" w:color="auto" w:fill="FFFFFF" w:themeFill="background1"/>
          </w:tcPr>
          <w:p w:rsidR="008C3232" w:rsidRPr="00A34385" w:rsidRDefault="008C3232" w:rsidP="00167669">
            <w:pPr>
              <w:spacing w:after="200" w:line="276" w:lineRule="auto"/>
            </w:pPr>
          </w:p>
        </w:tc>
        <w:tc>
          <w:tcPr>
            <w:tcW w:w="567" w:type="dxa"/>
            <w:shd w:val="clear" w:color="auto" w:fill="FFFFFF" w:themeFill="background1"/>
          </w:tcPr>
          <w:p w:rsidR="008C3232" w:rsidRPr="00A34385" w:rsidRDefault="008C3232" w:rsidP="00167669">
            <w:pPr>
              <w:spacing w:after="200" w:line="276" w:lineRule="auto"/>
            </w:pPr>
          </w:p>
        </w:tc>
        <w:tc>
          <w:tcPr>
            <w:tcW w:w="708" w:type="dxa"/>
            <w:shd w:val="clear" w:color="auto" w:fill="FFFFFF" w:themeFill="background1"/>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r>
      <w:tr w:rsidR="008C3232" w:rsidRPr="00A34385" w:rsidTr="00167669">
        <w:trPr>
          <w:cantSplit/>
          <w:trHeight w:val="340"/>
        </w:trPr>
        <w:tc>
          <w:tcPr>
            <w:tcW w:w="624" w:type="dxa"/>
            <w:vMerge w:val="restart"/>
            <w:shd w:val="clear" w:color="auto" w:fill="F2F2F2" w:themeFill="background1" w:themeFillShade="F2"/>
            <w:textDirection w:val="btLr"/>
          </w:tcPr>
          <w:p w:rsidR="008C3232" w:rsidRPr="00A34385" w:rsidRDefault="008C3232" w:rsidP="00167669">
            <w:pPr>
              <w:spacing w:after="200" w:line="276" w:lineRule="auto"/>
            </w:pPr>
            <w:r w:rsidRPr="00A34385">
              <w:t>Stimulus Reduction</w:t>
            </w:r>
          </w:p>
        </w:tc>
        <w:tc>
          <w:tcPr>
            <w:tcW w:w="5954" w:type="dxa"/>
            <w:shd w:val="clear" w:color="auto" w:fill="F2F2F2" w:themeFill="background1" w:themeFillShade="F2"/>
          </w:tcPr>
          <w:p w:rsidR="008C3232" w:rsidRPr="00A34385" w:rsidRDefault="008C3232" w:rsidP="00167669">
            <w:pPr>
              <w:spacing w:line="276" w:lineRule="auto"/>
            </w:pPr>
            <w:r w:rsidRPr="00A34385">
              <w:t>The space is free from distracting visual clutter i.e. notices, advertisements, objects, street furniture that are irrelevant.</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after="200" w:line="276" w:lineRule="auto"/>
            </w:pPr>
            <w:r w:rsidRPr="00A34385">
              <w:t>Signage provides simple, essential information at decision points.</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974"/>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line="276" w:lineRule="auto"/>
            </w:pPr>
            <w:r w:rsidRPr="00A34385">
              <w:t>Entry to areas where a person living with a dementia may be exposed to danger are not easily seen or accessed, e.g. they are the same colour as the wall.</w:t>
            </w:r>
          </w:p>
        </w:tc>
        <w:tc>
          <w:tcPr>
            <w:tcW w:w="709" w:type="dxa"/>
            <w:shd w:val="clear" w:color="auto" w:fill="000000" w:themeFill="text1"/>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after="200" w:line="276" w:lineRule="auto"/>
            </w:pPr>
            <w:r w:rsidRPr="00A34385">
              <w:t>Background noise is of a low level.</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line="276" w:lineRule="auto"/>
            </w:pPr>
            <w:r w:rsidRPr="00A34385">
              <w:t>Public address systems are used minimally and only when necessary (Score 2 if not present).</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line="276" w:lineRule="auto"/>
            </w:pPr>
            <w:r w:rsidRPr="00A34385">
              <w:t>There are no alarming or disturbing noises, e.g. flapping doors, noisy automatic doors.</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line="276" w:lineRule="auto"/>
            </w:pPr>
            <w:r w:rsidRPr="00A34385">
              <w:t>There are no confusing odours, e.g. a bakery competing with a florist.</w:t>
            </w:r>
          </w:p>
        </w:tc>
        <w:tc>
          <w:tcPr>
            <w:tcW w:w="709" w:type="dxa"/>
            <w:shd w:val="clear" w:color="auto" w:fill="F2F2F2" w:themeFill="background1" w:themeFillShade="F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r w:rsidR="008C3232" w:rsidRPr="00A34385" w:rsidTr="00167669">
        <w:trPr>
          <w:cantSplit/>
          <w:trHeight w:val="340"/>
        </w:trPr>
        <w:tc>
          <w:tcPr>
            <w:tcW w:w="624" w:type="dxa"/>
            <w:vMerge/>
            <w:shd w:val="clear" w:color="auto" w:fill="F2F2F2" w:themeFill="background1" w:themeFillShade="F2"/>
          </w:tcPr>
          <w:p w:rsidR="008C3232" w:rsidRPr="00A34385" w:rsidRDefault="008C3232" w:rsidP="00167669">
            <w:pPr>
              <w:spacing w:after="200" w:line="276" w:lineRule="auto"/>
            </w:pPr>
          </w:p>
        </w:tc>
        <w:tc>
          <w:tcPr>
            <w:tcW w:w="5954" w:type="dxa"/>
            <w:shd w:val="clear" w:color="auto" w:fill="F2F2F2" w:themeFill="background1" w:themeFillShade="F2"/>
          </w:tcPr>
          <w:p w:rsidR="008C3232" w:rsidRPr="00A34385" w:rsidRDefault="008C3232" w:rsidP="00167669">
            <w:pPr>
              <w:spacing w:after="200" w:line="276" w:lineRule="auto"/>
            </w:pPr>
            <w:r w:rsidRPr="00A34385">
              <w:t xml:space="preserve">Floor finishes do not have patterns with a high level of contrast  </w:t>
            </w:r>
          </w:p>
        </w:tc>
        <w:tc>
          <w:tcPr>
            <w:tcW w:w="709" w:type="dxa"/>
            <w:shd w:val="clear" w:color="auto" w:fill="EEECE1" w:themeFill="background2"/>
          </w:tcPr>
          <w:p w:rsidR="008C3232" w:rsidRPr="00A34385" w:rsidRDefault="008C3232" w:rsidP="00167669">
            <w:pPr>
              <w:spacing w:after="200" w:line="276" w:lineRule="auto"/>
            </w:pPr>
          </w:p>
        </w:tc>
        <w:tc>
          <w:tcPr>
            <w:tcW w:w="567" w:type="dxa"/>
            <w:shd w:val="clear" w:color="auto" w:fill="F2F2F2" w:themeFill="background1" w:themeFillShade="F2"/>
          </w:tcPr>
          <w:p w:rsidR="008C3232" w:rsidRPr="00A34385" w:rsidRDefault="008C3232" w:rsidP="00167669">
            <w:pPr>
              <w:spacing w:after="200" w:line="276" w:lineRule="auto"/>
            </w:pPr>
          </w:p>
        </w:tc>
        <w:tc>
          <w:tcPr>
            <w:tcW w:w="708"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c>
          <w:tcPr>
            <w:tcW w:w="709" w:type="dxa"/>
            <w:shd w:val="clear" w:color="auto" w:fill="F2F2F2" w:themeFill="background1" w:themeFillShade="F2"/>
          </w:tcPr>
          <w:p w:rsidR="008C3232" w:rsidRPr="00A34385" w:rsidRDefault="008C3232" w:rsidP="00167669">
            <w:pPr>
              <w:spacing w:after="200" w:line="276" w:lineRule="auto"/>
            </w:pPr>
          </w:p>
        </w:tc>
      </w:tr>
    </w:tbl>
    <w:p w:rsidR="008C3232" w:rsidRDefault="008C3232" w:rsidP="008C3232"/>
    <w:p w:rsidR="008C3232" w:rsidRDefault="008C3232" w:rsidP="008C3232">
      <w:r>
        <w:br w:type="page"/>
      </w:r>
    </w:p>
    <w:tbl>
      <w:tblPr>
        <w:tblStyle w:val="TableGrid1"/>
        <w:tblW w:w="9980" w:type="dxa"/>
        <w:tblLayout w:type="fixed"/>
        <w:tblCellMar>
          <w:left w:w="57" w:type="dxa"/>
          <w:right w:w="0" w:type="dxa"/>
        </w:tblCellMar>
        <w:tblLook w:val="04A0" w:firstRow="1" w:lastRow="0" w:firstColumn="1" w:lastColumn="0" w:noHBand="0" w:noVBand="1"/>
      </w:tblPr>
      <w:tblGrid>
        <w:gridCol w:w="624"/>
        <w:gridCol w:w="5954"/>
        <w:gridCol w:w="709"/>
        <w:gridCol w:w="567"/>
        <w:gridCol w:w="708"/>
        <w:gridCol w:w="709"/>
        <w:gridCol w:w="709"/>
      </w:tblGrid>
      <w:tr w:rsidR="008C3232" w:rsidRPr="00A34385" w:rsidTr="00167669">
        <w:trPr>
          <w:cantSplit/>
          <w:trHeight w:val="1756"/>
          <w:tblHeader/>
        </w:trPr>
        <w:tc>
          <w:tcPr>
            <w:tcW w:w="624" w:type="dxa"/>
          </w:tcPr>
          <w:p w:rsidR="008C3232" w:rsidRPr="00A34385" w:rsidRDefault="008C3232" w:rsidP="00167669">
            <w:pPr>
              <w:spacing w:after="200" w:line="276" w:lineRule="auto"/>
              <w:jc w:val="center"/>
              <w:rPr>
                <w:b/>
              </w:rPr>
            </w:pPr>
          </w:p>
          <w:p w:rsidR="008C3232" w:rsidRPr="00A34385" w:rsidRDefault="008C3232" w:rsidP="00167669">
            <w:pPr>
              <w:spacing w:after="200" w:line="276" w:lineRule="auto"/>
              <w:jc w:val="center"/>
              <w:rPr>
                <w:b/>
              </w:rPr>
            </w:pPr>
          </w:p>
        </w:tc>
        <w:tc>
          <w:tcPr>
            <w:tcW w:w="5954" w:type="dxa"/>
            <w:vAlign w:val="center"/>
            <w:hideMark/>
          </w:tcPr>
          <w:p w:rsidR="008C3232" w:rsidRPr="00A34385" w:rsidRDefault="008C3232" w:rsidP="00167669">
            <w:pPr>
              <w:spacing w:after="200" w:line="276" w:lineRule="auto"/>
              <w:rPr>
                <w:b/>
                <w:bCs/>
              </w:rPr>
            </w:pPr>
            <w:r w:rsidRPr="00A34385">
              <w:rPr>
                <w:b/>
              </w:rPr>
              <w:t xml:space="preserve">0 = disagree </w:t>
            </w:r>
            <w:r w:rsidRPr="00A34385">
              <w:rPr>
                <w:b/>
              </w:rPr>
              <w:br/>
              <w:t>1 = partially agree</w:t>
            </w:r>
            <w:r w:rsidRPr="00A34385">
              <w:rPr>
                <w:b/>
              </w:rPr>
              <w:br/>
              <w:t>2 = agree</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Approach to the entry</w:t>
            </w:r>
          </w:p>
        </w:tc>
        <w:tc>
          <w:tcPr>
            <w:tcW w:w="567" w:type="dxa"/>
            <w:noWrap/>
            <w:textDirection w:val="tbRl"/>
            <w:hideMark/>
          </w:tcPr>
          <w:p w:rsidR="008C3232" w:rsidRPr="00A34385" w:rsidRDefault="008C3232" w:rsidP="00167669">
            <w:pPr>
              <w:spacing w:after="200" w:line="276" w:lineRule="auto"/>
              <w:jc w:val="center"/>
              <w:rPr>
                <w:b/>
                <w:bCs/>
              </w:rPr>
            </w:pPr>
            <w:r w:rsidRPr="00A34385">
              <w:rPr>
                <w:b/>
                <w:bCs/>
              </w:rPr>
              <w:t>Entry space</w:t>
            </w:r>
          </w:p>
        </w:tc>
        <w:tc>
          <w:tcPr>
            <w:tcW w:w="708" w:type="dxa"/>
            <w:noWrap/>
            <w:textDirection w:val="tbRl"/>
            <w:hideMark/>
          </w:tcPr>
          <w:p w:rsidR="008C3232" w:rsidRPr="00A34385" w:rsidRDefault="008C3232" w:rsidP="00167669">
            <w:pPr>
              <w:spacing w:after="200" w:line="276" w:lineRule="auto"/>
              <w:jc w:val="center"/>
              <w:rPr>
                <w:b/>
                <w:bCs/>
              </w:rPr>
            </w:pPr>
            <w:r w:rsidRPr="00A34385">
              <w:rPr>
                <w:b/>
                <w:bCs/>
              </w:rPr>
              <w:t>Route to the destination</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Destination</w:t>
            </w:r>
          </w:p>
        </w:tc>
        <w:tc>
          <w:tcPr>
            <w:tcW w:w="709" w:type="dxa"/>
            <w:noWrap/>
            <w:textDirection w:val="tbRl"/>
            <w:hideMark/>
          </w:tcPr>
          <w:p w:rsidR="008C3232" w:rsidRPr="00A34385" w:rsidRDefault="008C3232" w:rsidP="00167669">
            <w:pPr>
              <w:spacing w:after="200" w:line="276" w:lineRule="auto"/>
              <w:jc w:val="center"/>
              <w:rPr>
                <w:b/>
                <w:bCs/>
              </w:rPr>
            </w:pPr>
            <w:r w:rsidRPr="00A34385">
              <w:rPr>
                <w:b/>
                <w:bCs/>
              </w:rPr>
              <w:t>Route from  the destination</w:t>
            </w:r>
          </w:p>
        </w:tc>
      </w:tr>
      <w:tr w:rsidR="008C3232" w:rsidRPr="00A34385" w:rsidTr="00167669">
        <w:trPr>
          <w:cantSplit/>
          <w:trHeight w:val="340"/>
        </w:trPr>
        <w:tc>
          <w:tcPr>
            <w:tcW w:w="624" w:type="dxa"/>
            <w:vMerge w:val="restart"/>
            <w:textDirection w:val="btLr"/>
          </w:tcPr>
          <w:p w:rsidR="008C3232" w:rsidRPr="00A34385" w:rsidRDefault="008C3232" w:rsidP="00167669">
            <w:pPr>
              <w:spacing w:after="200" w:line="276" w:lineRule="auto"/>
            </w:pPr>
            <w:proofErr w:type="spellStart"/>
            <w:r w:rsidRPr="00A34385">
              <w:t>timulus</w:t>
            </w:r>
            <w:proofErr w:type="spellEnd"/>
            <w:r w:rsidRPr="00A34385">
              <w:t xml:space="preserve"> Enhancement</w:t>
            </w:r>
          </w:p>
        </w:tc>
        <w:tc>
          <w:tcPr>
            <w:tcW w:w="5954" w:type="dxa"/>
          </w:tcPr>
          <w:p w:rsidR="008C3232" w:rsidRPr="00A34385" w:rsidRDefault="008C3232" w:rsidP="00167669">
            <w:pPr>
              <w:spacing w:line="276" w:lineRule="auto"/>
            </w:pPr>
            <w:r w:rsidRPr="00A34385">
              <w:t>Cues, such as recognisable images or symbols are positioned at decision points such as junctions and turnings along the journey to the next destination.</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pPr>
          </w:p>
        </w:tc>
        <w:tc>
          <w:tcPr>
            <w:tcW w:w="5954" w:type="dxa"/>
          </w:tcPr>
          <w:p w:rsidR="008C3232" w:rsidRPr="00A34385" w:rsidRDefault="008C3232" w:rsidP="00167669">
            <w:pPr>
              <w:spacing w:line="276" w:lineRule="auto"/>
            </w:pPr>
            <w:r w:rsidRPr="00A34385">
              <w:t>Signs assist the person with dementia to complete the journey and task.</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pPr>
          </w:p>
        </w:tc>
        <w:tc>
          <w:tcPr>
            <w:tcW w:w="5954" w:type="dxa"/>
          </w:tcPr>
          <w:p w:rsidR="008C3232" w:rsidRPr="00A34385" w:rsidRDefault="008C3232" w:rsidP="00167669">
            <w:pPr>
              <w:spacing w:after="200" w:line="276" w:lineRule="auto"/>
            </w:pPr>
            <w:r w:rsidRPr="00A34385">
              <w:t xml:space="preserve">Objects and/or furniture clearly show people that they are on the correct part of the journey.  </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shd w:val="clear" w:color="auto" w:fill="FFFFFF" w:themeFill="background1"/>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pPr>
          </w:p>
        </w:tc>
        <w:tc>
          <w:tcPr>
            <w:tcW w:w="5954" w:type="dxa"/>
          </w:tcPr>
          <w:p w:rsidR="008C3232" w:rsidRPr="00A34385" w:rsidRDefault="008C3232" w:rsidP="00167669">
            <w:pPr>
              <w:spacing w:line="276" w:lineRule="auto"/>
            </w:pPr>
            <w:r w:rsidRPr="00A34385">
              <w:t>The variety of materials and finishes present create an interesting journey to and from  the destination and help the person with dementia  identify the stages of the journey  (e.g. brick, timber, concrete, stone, grass)</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pPr>
          </w:p>
        </w:tc>
        <w:tc>
          <w:tcPr>
            <w:tcW w:w="5954" w:type="dxa"/>
          </w:tcPr>
          <w:p w:rsidR="008C3232" w:rsidRPr="00A34385" w:rsidRDefault="008C3232" w:rsidP="00167669">
            <w:pPr>
              <w:spacing w:line="276" w:lineRule="auto"/>
            </w:pPr>
            <w:r w:rsidRPr="00A34385">
              <w:t xml:space="preserve">Olfactory cues are present that provide a variety of experiences and help identify the stages of the journey (e.g. smell of perfumed plants, bakery, </w:t>
            </w:r>
            <w:proofErr w:type="gramStart"/>
            <w:r w:rsidRPr="00A34385">
              <w:t>cafe</w:t>
            </w:r>
            <w:proofErr w:type="gramEnd"/>
            <w:r w:rsidRPr="00A34385">
              <w:t>).</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vMerge/>
          </w:tcPr>
          <w:p w:rsidR="008C3232" w:rsidRPr="00A34385" w:rsidRDefault="008C3232" w:rsidP="00167669">
            <w:pPr>
              <w:spacing w:after="200" w:line="276" w:lineRule="auto"/>
            </w:pPr>
          </w:p>
        </w:tc>
        <w:tc>
          <w:tcPr>
            <w:tcW w:w="5954" w:type="dxa"/>
          </w:tcPr>
          <w:p w:rsidR="008C3232" w:rsidRPr="00A34385" w:rsidRDefault="008C3232" w:rsidP="00167669">
            <w:pPr>
              <w:spacing w:line="276" w:lineRule="auto"/>
            </w:pPr>
            <w:r w:rsidRPr="00A34385">
              <w:t>Auditory cues are present that provide a variety of experiences and help identify the stages of the journey.</w:t>
            </w:r>
          </w:p>
        </w:tc>
        <w:tc>
          <w:tcPr>
            <w:tcW w:w="709" w:type="dxa"/>
          </w:tcPr>
          <w:p w:rsidR="008C3232" w:rsidRPr="00A34385" w:rsidRDefault="008C3232" w:rsidP="00167669">
            <w:pPr>
              <w:spacing w:after="200" w:line="276" w:lineRule="auto"/>
            </w:pPr>
          </w:p>
        </w:tc>
        <w:tc>
          <w:tcPr>
            <w:tcW w:w="567" w:type="dxa"/>
          </w:tcPr>
          <w:p w:rsidR="008C3232" w:rsidRPr="00A34385" w:rsidRDefault="008C3232" w:rsidP="00167669">
            <w:pPr>
              <w:spacing w:after="200" w:line="276" w:lineRule="auto"/>
            </w:pPr>
          </w:p>
        </w:tc>
        <w:tc>
          <w:tcPr>
            <w:tcW w:w="708" w:type="dxa"/>
          </w:tcPr>
          <w:p w:rsidR="008C3232" w:rsidRPr="00A34385" w:rsidRDefault="008C3232" w:rsidP="00167669">
            <w:pPr>
              <w:spacing w:after="200" w:line="276" w:lineRule="auto"/>
            </w:pPr>
          </w:p>
        </w:tc>
        <w:tc>
          <w:tcPr>
            <w:tcW w:w="709" w:type="dxa"/>
            <w:shd w:val="clear" w:color="auto" w:fill="000000" w:themeFill="text1"/>
          </w:tcPr>
          <w:p w:rsidR="008C3232" w:rsidRPr="00A34385" w:rsidRDefault="008C3232" w:rsidP="00167669">
            <w:pPr>
              <w:spacing w:after="200" w:line="276" w:lineRule="auto"/>
            </w:pPr>
          </w:p>
        </w:tc>
        <w:tc>
          <w:tcPr>
            <w:tcW w:w="709" w:type="dxa"/>
          </w:tcPr>
          <w:p w:rsidR="008C3232" w:rsidRPr="00A34385" w:rsidRDefault="008C3232" w:rsidP="00167669">
            <w:pPr>
              <w:spacing w:after="200" w:line="276" w:lineRule="auto"/>
            </w:pPr>
          </w:p>
        </w:tc>
      </w:tr>
      <w:tr w:rsidR="008C3232" w:rsidRPr="00A34385" w:rsidTr="00167669">
        <w:trPr>
          <w:cantSplit/>
          <w:trHeight w:val="340"/>
        </w:trPr>
        <w:tc>
          <w:tcPr>
            <w:tcW w:w="624" w:type="dxa"/>
            <w:shd w:val="clear" w:color="auto" w:fill="EEECE1" w:themeFill="background2"/>
          </w:tcPr>
          <w:p w:rsidR="008C3232" w:rsidRPr="00A34385" w:rsidRDefault="008C3232" w:rsidP="00167669">
            <w:pPr>
              <w:spacing w:after="200" w:line="276" w:lineRule="auto"/>
            </w:pPr>
          </w:p>
        </w:tc>
        <w:tc>
          <w:tcPr>
            <w:tcW w:w="5954" w:type="dxa"/>
            <w:shd w:val="clear" w:color="auto" w:fill="EEECE1" w:themeFill="background2"/>
            <w:vAlign w:val="center"/>
          </w:tcPr>
          <w:p w:rsidR="008C3232" w:rsidRPr="00A34385" w:rsidRDefault="008C3232" w:rsidP="00167669">
            <w:pPr>
              <w:spacing w:after="200" w:line="276" w:lineRule="auto"/>
              <w:rPr>
                <w:b/>
              </w:rPr>
            </w:pPr>
            <w:r w:rsidRPr="00A34385">
              <w:rPr>
                <w:b/>
              </w:rPr>
              <w:t xml:space="preserve">Total Scores  </w:t>
            </w:r>
          </w:p>
        </w:tc>
        <w:tc>
          <w:tcPr>
            <w:tcW w:w="709" w:type="dxa"/>
            <w:shd w:val="clear" w:color="auto" w:fill="EEECE1" w:themeFill="background2"/>
          </w:tcPr>
          <w:p w:rsidR="008C3232" w:rsidRPr="00A34385" w:rsidRDefault="008C3232" w:rsidP="00167669">
            <w:pPr>
              <w:spacing w:after="200" w:line="276" w:lineRule="auto"/>
            </w:pPr>
          </w:p>
          <w:p w:rsidR="008C3232" w:rsidRPr="00A34385" w:rsidRDefault="008C3232" w:rsidP="00167669">
            <w:pPr>
              <w:spacing w:after="200" w:line="276" w:lineRule="auto"/>
            </w:pPr>
          </w:p>
        </w:tc>
        <w:tc>
          <w:tcPr>
            <w:tcW w:w="567" w:type="dxa"/>
            <w:shd w:val="clear" w:color="auto" w:fill="EEECE1" w:themeFill="background2"/>
          </w:tcPr>
          <w:p w:rsidR="008C3232" w:rsidRPr="00A34385" w:rsidRDefault="008C3232" w:rsidP="00167669">
            <w:pPr>
              <w:spacing w:after="200" w:line="276" w:lineRule="auto"/>
            </w:pPr>
          </w:p>
        </w:tc>
        <w:tc>
          <w:tcPr>
            <w:tcW w:w="708" w:type="dxa"/>
            <w:shd w:val="clear" w:color="auto" w:fill="EEECE1" w:themeFill="background2"/>
          </w:tcPr>
          <w:p w:rsidR="008C3232" w:rsidRPr="00A34385" w:rsidRDefault="008C3232" w:rsidP="00167669">
            <w:pPr>
              <w:spacing w:after="200" w:line="276" w:lineRule="auto"/>
            </w:pPr>
          </w:p>
        </w:tc>
        <w:tc>
          <w:tcPr>
            <w:tcW w:w="709" w:type="dxa"/>
            <w:shd w:val="clear" w:color="auto" w:fill="EEECE1" w:themeFill="background2"/>
          </w:tcPr>
          <w:p w:rsidR="008C3232" w:rsidRPr="00A34385" w:rsidRDefault="008C3232" w:rsidP="00167669">
            <w:pPr>
              <w:spacing w:after="200" w:line="276" w:lineRule="auto"/>
            </w:pPr>
          </w:p>
        </w:tc>
        <w:tc>
          <w:tcPr>
            <w:tcW w:w="709" w:type="dxa"/>
            <w:shd w:val="clear" w:color="auto" w:fill="EEECE1" w:themeFill="background2"/>
          </w:tcPr>
          <w:p w:rsidR="008C3232" w:rsidRPr="00A34385" w:rsidRDefault="008C3232" w:rsidP="00167669">
            <w:pPr>
              <w:spacing w:after="200" w:line="276" w:lineRule="auto"/>
            </w:pPr>
          </w:p>
        </w:tc>
      </w:tr>
    </w:tbl>
    <w:p w:rsidR="008C3232" w:rsidRPr="00A34385" w:rsidRDefault="008C3232" w:rsidP="008C3232"/>
    <w:p w:rsidR="00CA6D6D" w:rsidRDefault="008C3232">
      <w:r w:rsidRPr="00A34385">
        <w:t xml:space="preserve">Full instructions and a spreadsheet to assist with scoring and reporting are available from the </w:t>
      </w:r>
      <w:proofErr w:type="spellStart"/>
      <w:r w:rsidRPr="00A34385">
        <w:t>Alzheimers</w:t>
      </w:r>
      <w:proofErr w:type="spellEnd"/>
      <w:r w:rsidRPr="00A34385">
        <w:t xml:space="preserve"> Australia web site </w:t>
      </w:r>
      <w:hyperlink r:id="rId5" w:history="1">
        <w:r w:rsidRPr="00A34385">
          <w:rPr>
            <w:rStyle w:val="Hyperlink"/>
          </w:rPr>
          <w:t>www.enablingenvironments.com.au</w:t>
        </w:r>
      </w:hyperlink>
      <w:r w:rsidRPr="00A34385">
        <w:t xml:space="preserve"> </w:t>
      </w:r>
    </w:p>
    <w:p w:rsidR="00B94416" w:rsidRDefault="00B94416">
      <w:r>
        <w:br w:type="page"/>
      </w:r>
    </w:p>
    <w:p w:rsidR="00B94416" w:rsidRDefault="00B94416">
      <w:pPr>
        <w:rPr>
          <w:b/>
        </w:rPr>
      </w:pPr>
      <w:r w:rsidRPr="00B94416">
        <w:rPr>
          <w:b/>
        </w:rPr>
        <w:lastRenderedPageBreak/>
        <w:t>Requested text summary</w:t>
      </w:r>
    </w:p>
    <w:p w:rsidR="00B94416" w:rsidRPr="00B94416" w:rsidRDefault="00B94416">
      <w:r>
        <w:t>This file contains the Dementia Friendly Communities Environmental Assessment Tool (DFC-EAT). (Microsoft Word Document, 32 kb)</w:t>
      </w:r>
    </w:p>
    <w:sectPr w:rsidR="00B94416" w:rsidRPr="00B94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32"/>
    <w:rsid w:val="0000175E"/>
    <w:rsid w:val="00001B85"/>
    <w:rsid w:val="000021E6"/>
    <w:rsid w:val="000025B8"/>
    <w:rsid w:val="00003942"/>
    <w:rsid w:val="00003EEB"/>
    <w:rsid w:val="0000486B"/>
    <w:rsid w:val="000048B9"/>
    <w:rsid w:val="00004B26"/>
    <w:rsid w:val="00005107"/>
    <w:rsid w:val="00005993"/>
    <w:rsid w:val="00007402"/>
    <w:rsid w:val="00007515"/>
    <w:rsid w:val="0001133E"/>
    <w:rsid w:val="0001142A"/>
    <w:rsid w:val="000119EF"/>
    <w:rsid w:val="00011CA6"/>
    <w:rsid w:val="00011F00"/>
    <w:rsid w:val="000129F3"/>
    <w:rsid w:val="00013B06"/>
    <w:rsid w:val="0001485C"/>
    <w:rsid w:val="00014862"/>
    <w:rsid w:val="00014872"/>
    <w:rsid w:val="00015521"/>
    <w:rsid w:val="0001575E"/>
    <w:rsid w:val="000178EE"/>
    <w:rsid w:val="000204FD"/>
    <w:rsid w:val="000217D5"/>
    <w:rsid w:val="000217F5"/>
    <w:rsid w:val="000222AF"/>
    <w:rsid w:val="00022A98"/>
    <w:rsid w:val="000230CC"/>
    <w:rsid w:val="000239A4"/>
    <w:rsid w:val="00024274"/>
    <w:rsid w:val="00024DD7"/>
    <w:rsid w:val="0002624D"/>
    <w:rsid w:val="00027387"/>
    <w:rsid w:val="00027812"/>
    <w:rsid w:val="00032469"/>
    <w:rsid w:val="00034178"/>
    <w:rsid w:val="00034991"/>
    <w:rsid w:val="00035037"/>
    <w:rsid w:val="0003504F"/>
    <w:rsid w:val="000358D6"/>
    <w:rsid w:val="00035E41"/>
    <w:rsid w:val="00036A27"/>
    <w:rsid w:val="000375A5"/>
    <w:rsid w:val="00040759"/>
    <w:rsid w:val="00041915"/>
    <w:rsid w:val="00041BE7"/>
    <w:rsid w:val="00042A2C"/>
    <w:rsid w:val="00042F86"/>
    <w:rsid w:val="0004401B"/>
    <w:rsid w:val="00044693"/>
    <w:rsid w:val="00044E40"/>
    <w:rsid w:val="00045589"/>
    <w:rsid w:val="0004560C"/>
    <w:rsid w:val="00045F0A"/>
    <w:rsid w:val="0004643B"/>
    <w:rsid w:val="00047C96"/>
    <w:rsid w:val="0005038E"/>
    <w:rsid w:val="00050AAA"/>
    <w:rsid w:val="00051279"/>
    <w:rsid w:val="00051F1F"/>
    <w:rsid w:val="00052884"/>
    <w:rsid w:val="0005373B"/>
    <w:rsid w:val="000547E8"/>
    <w:rsid w:val="00054B0B"/>
    <w:rsid w:val="00055D6E"/>
    <w:rsid w:val="00057863"/>
    <w:rsid w:val="00060684"/>
    <w:rsid w:val="00060D5E"/>
    <w:rsid w:val="00061B18"/>
    <w:rsid w:val="00061FB4"/>
    <w:rsid w:val="00064381"/>
    <w:rsid w:val="0006522E"/>
    <w:rsid w:val="0006647A"/>
    <w:rsid w:val="000669A9"/>
    <w:rsid w:val="00067A79"/>
    <w:rsid w:val="00067B33"/>
    <w:rsid w:val="00070A8B"/>
    <w:rsid w:val="00070F97"/>
    <w:rsid w:val="00071485"/>
    <w:rsid w:val="000718D2"/>
    <w:rsid w:val="000732D6"/>
    <w:rsid w:val="00073BAE"/>
    <w:rsid w:val="00074A18"/>
    <w:rsid w:val="00074C92"/>
    <w:rsid w:val="0007544D"/>
    <w:rsid w:val="00076C8E"/>
    <w:rsid w:val="0008125C"/>
    <w:rsid w:val="00082970"/>
    <w:rsid w:val="0008311F"/>
    <w:rsid w:val="000837F9"/>
    <w:rsid w:val="00083DD5"/>
    <w:rsid w:val="0008439F"/>
    <w:rsid w:val="00084530"/>
    <w:rsid w:val="000846BF"/>
    <w:rsid w:val="00084A84"/>
    <w:rsid w:val="00084C4D"/>
    <w:rsid w:val="00084D9E"/>
    <w:rsid w:val="00084E54"/>
    <w:rsid w:val="00086D20"/>
    <w:rsid w:val="000877E7"/>
    <w:rsid w:val="000905DB"/>
    <w:rsid w:val="00090A73"/>
    <w:rsid w:val="00092668"/>
    <w:rsid w:val="00093339"/>
    <w:rsid w:val="000941FD"/>
    <w:rsid w:val="00094F9E"/>
    <w:rsid w:val="00095BCD"/>
    <w:rsid w:val="000967EB"/>
    <w:rsid w:val="000A0AB2"/>
    <w:rsid w:val="000A4019"/>
    <w:rsid w:val="000A4AD6"/>
    <w:rsid w:val="000A67BD"/>
    <w:rsid w:val="000A6A8C"/>
    <w:rsid w:val="000B0AA4"/>
    <w:rsid w:val="000B0EAC"/>
    <w:rsid w:val="000B146B"/>
    <w:rsid w:val="000B4A7B"/>
    <w:rsid w:val="000B4D33"/>
    <w:rsid w:val="000B504C"/>
    <w:rsid w:val="000B555B"/>
    <w:rsid w:val="000B7D8A"/>
    <w:rsid w:val="000B7FE5"/>
    <w:rsid w:val="000C0310"/>
    <w:rsid w:val="000C176D"/>
    <w:rsid w:val="000C1861"/>
    <w:rsid w:val="000C2FAC"/>
    <w:rsid w:val="000C31B0"/>
    <w:rsid w:val="000C494C"/>
    <w:rsid w:val="000C6128"/>
    <w:rsid w:val="000D0101"/>
    <w:rsid w:val="000D11A4"/>
    <w:rsid w:val="000D1BE4"/>
    <w:rsid w:val="000D213B"/>
    <w:rsid w:val="000D244D"/>
    <w:rsid w:val="000D28B4"/>
    <w:rsid w:val="000D2B6D"/>
    <w:rsid w:val="000D3187"/>
    <w:rsid w:val="000D4B36"/>
    <w:rsid w:val="000D4D26"/>
    <w:rsid w:val="000D4E78"/>
    <w:rsid w:val="000D5C56"/>
    <w:rsid w:val="000D70DC"/>
    <w:rsid w:val="000E0239"/>
    <w:rsid w:val="000E02CD"/>
    <w:rsid w:val="000E099C"/>
    <w:rsid w:val="000E0A8C"/>
    <w:rsid w:val="000E0F4E"/>
    <w:rsid w:val="000E198A"/>
    <w:rsid w:val="000E3684"/>
    <w:rsid w:val="000E3F4C"/>
    <w:rsid w:val="000E57B3"/>
    <w:rsid w:val="000E58E3"/>
    <w:rsid w:val="000E5DD6"/>
    <w:rsid w:val="000E6B88"/>
    <w:rsid w:val="000E7E75"/>
    <w:rsid w:val="000F0136"/>
    <w:rsid w:val="000F0594"/>
    <w:rsid w:val="000F0B6D"/>
    <w:rsid w:val="000F13C4"/>
    <w:rsid w:val="000F1B89"/>
    <w:rsid w:val="000F1E4C"/>
    <w:rsid w:val="000F2379"/>
    <w:rsid w:val="000F325F"/>
    <w:rsid w:val="000F353B"/>
    <w:rsid w:val="000F4E19"/>
    <w:rsid w:val="000F4E99"/>
    <w:rsid w:val="000F4F55"/>
    <w:rsid w:val="000F66E2"/>
    <w:rsid w:val="000F74FC"/>
    <w:rsid w:val="000F78AB"/>
    <w:rsid w:val="000F7E8F"/>
    <w:rsid w:val="00100CA7"/>
    <w:rsid w:val="001015D8"/>
    <w:rsid w:val="00101BE3"/>
    <w:rsid w:val="00102219"/>
    <w:rsid w:val="0010487B"/>
    <w:rsid w:val="00104B0A"/>
    <w:rsid w:val="00104E4B"/>
    <w:rsid w:val="00105303"/>
    <w:rsid w:val="00105FD6"/>
    <w:rsid w:val="00107106"/>
    <w:rsid w:val="00111748"/>
    <w:rsid w:val="0011331C"/>
    <w:rsid w:val="00113718"/>
    <w:rsid w:val="00113C2E"/>
    <w:rsid w:val="00113F13"/>
    <w:rsid w:val="0011404B"/>
    <w:rsid w:val="001154E4"/>
    <w:rsid w:val="001162B4"/>
    <w:rsid w:val="00116AAF"/>
    <w:rsid w:val="00116BF9"/>
    <w:rsid w:val="00121B56"/>
    <w:rsid w:val="0012247E"/>
    <w:rsid w:val="00123758"/>
    <w:rsid w:val="00126795"/>
    <w:rsid w:val="00126B1E"/>
    <w:rsid w:val="0012700C"/>
    <w:rsid w:val="001272E3"/>
    <w:rsid w:val="00127B30"/>
    <w:rsid w:val="0013046D"/>
    <w:rsid w:val="00130926"/>
    <w:rsid w:val="00130FDA"/>
    <w:rsid w:val="0013281B"/>
    <w:rsid w:val="00132820"/>
    <w:rsid w:val="00133233"/>
    <w:rsid w:val="001349A2"/>
    <w:rsid w:val="00134F93"/>
    <w:rsid w:val="00135895"/>
    <w:rsid w:val="00136563"/>
    <w:rsid w:val="001373B5"/>
    <w:rsid w:val="00140D23"/>
    <w:rsid w:val="0014360E"/>
    <w:rsid w:val="001439DE"/>
    <w:rsid w:val="00143DC1"/>
    <w:rsid w:val="0014452E"/>
    <w:rsid w:val="001450C1"/>
    <w:rsid w:val="001453E9"/>
    <w:rsid w:val="0014559D"/>
    <w:rsid w:val="00145C2A"/>
    <w:rsid w:val="00145E7C"/>
    <w:rsid w:val="00146544"/>
    <w:rsid w:val="00147531"/>
    <w:rsid w:val="00150C5B"/>
    <w:rsid w:val="00153BD5"/>
    <w:rsid w:val="0015459D"/>
    <w:rsid w:val="001557CB"/>
    <w:rsid w:val="00155811"/>
    <w:rsid w:val="00155B92"/>
    <w:rsid w:val="00156468"/>
    <w:rsid w:val="00157C39"/>
    <w:rsid w:val="00160066"/>
    <w:rsid w:val="0016390C"/>
    <w:rsid w:val="00166272"/>
    <w:rsid w:val="00166BFC"/>
    <w:rsid w:val="00166ED2"/>
    <w:rsid w:val="00167B7C"/>
    <w:rsid w:val="00167C72"/>
    <w:rsid w:val="00171406"/>
    <w:rsid w:val="00171BA9"/>
    <w:rsid w:val="00171C83"/>
    <w:rsid w:val="0017210F"/>
    <w:rsid w:val="001729EC"/>
    <w:rsid w:val="00173F89"/>
    <w:rsid w:val="0017404B"/>
    <w:rsid w:val="00174099"/>
    <w:rsid w:val="00174727"/>
    <w:rsid w:val="001748FC"/>
    <w:rsid w:val="00175DFB"/>
    <w:rsid w:val="001775DE"/>
    <w:rsid w:val="00181275"/>
    <w:rsid w:val="00183581"/>
    <w:rsid w:val="00183B93"/>
    <w:rsid w:val="0018546E"/>
    <w:rsid w:val="00186D24"/>
    <w:rsid w:val="00190154"/>
    <w:rsid w:val="0019148C"/>
    <w:rsid w:val="00191FFC"/>
    <w:rsid w:val="00193BD7"/>
    <w:rsid w:val="001970A0"/>
    <w:rsid w:val="001A0144"/>
    <w:rsid w:val="001A0919"/>
    <w:rsid w:val="001A139A"/>
    <w:rsid w:val="001A328A"/>
    <w:rsid w:val="001A3530"/>
    <w:rsid w:val="001A3792"/>
    <w:rsid w:val="001A4A72"/>
    <w:rsid w:val="001A4ABB"/>
    <w:rsid w:val="001A6CCF"/>
    <w:rsid w:val="001A727B"/>
    <w:rsid w:val="001A7C6B"/>
    <w:rsid w:val="001B0778"/>
    <w:rsid w:val="001B0A82"/>
    <w:rsid w:val="001B1159"/>
    <w:rsid w:val="001B2B45"/>
    <w:rsid w:val="001B30A0"/>
    <w:rsid w:val="001B397F"/>
    <w:rsid w:val="001B44F3"/>
    <w:rsid w:val="001B4F0F"/>
    <w:rsid w:val="001B5122"/>
    <w:rsid w:val="001B5BEF"/>
    <w:rsid w:val="001B6346"/>
    <w:rsid w:val="001B644F"/>
    <w:rsid w:val="001B780D"/>
    <w:rsid w:val="001C058D"/>
    <w:rsid w:val="001C0C59"/>
    <w:rsid w:val="001C1913"/>
    <w:rsid w:val="001C24C9"/>
    <w:rsid w:val="001C285A"/>
    <w:rsid w:val="001C30A7"/>
    <w:rsid w:val="001C41D6"/>
    <w:rsid w:val="001C58C8"/>
    <w:rsid w:val="001C68D9"/>
    <w:rsid w:val="001D09BD"/>
    <w:rsid w:val="001D430D"/>
    <w:rsid w:val="001D45E9"/>
    <w:rsid w:val="001D464E"/>
    <w:rsid w:val="001D4755"/>
    <w:rsid w:val="001D4E9A"/>
    <w:rsid w:val="001D613E"/>
    <w:rsid w:val="001D6764"/>
    <w:rsid w:val="001D73F2"/>
    <w:rsid w:val="001D79CF"/>
    <w:rsid w:val="001E0F3B"/>
    <w:rsid w:val="001E2EEB"/>
    <w:rsid w:val="001E3483"/>
    <w:rsid w:val="001E41AE"/>
    <w:rsid w:val="001E4620"/>
    <w:rsid w:val="001E5B4A"/>
    <w:rsid w:val="001E71CB"/>
    <w:rsid w:val="001E74D2"/>
    <w:rsid w:val="001E7714"/>
    <w:rsid w:val="001F1A8A"/>
    <w:rsid w:val="001F21CA"/>
    <w:rsid w:val="001F22D0"/>
    <w:rsid w:val="001F2660"/>
    <w:rsid w:val="001F31FD"/>
    <w:rsid w:val="001F49EE"/>
    <w:rsid w:val="001F6505"/>
    <w:rsid w:val="001F6AA9"/>
    <w:rsid w:val="001F6C86"/>
    <w:rsid w:val="001F77AF"/>
    <w:rsid w:val="002004D8"/>
    <w:rsid w:val="002025D5"/>
    <w:rsid w:val="00202F5A"/>
    <w:rsid w:val="00203508"/>
    <w:rsid w:val="0020435D"/>
    <w:rsid w:val="002071F5"/>
    <w:rsid w:val="00210FF6"/>
    <w:rsid w:val="002116BC"/>
    <w:rsid w:val="00212D0E"/>
    <w:rsid w:val="00213103"/>
    <w:rsid w:val="00215016"/>
    <w:rsid w:val="0021668D"/>
    <w:rsid w:val="002175A9"/>
    <w:rsid w:val="00217BC6"/>
    <w:rsid w:val="00221456"/>
    <w:rsid w:val="00221500"/>
    <w:rsid w:val="0022233F"/>
    <w:rsid w:val="002226CB"/>
    <w:rsid w:val="002234F1"/>
    <w:rsid w:val="002235F5"/>
    <w:rsid w:val="00224A70"/>
    <w:rsid w:val="00224B8D"/>
    <w:rsid w:val="00225435"/>
    <w:rsid w:val="00227BA6"/>
    <w:rsid w:val="00227C38"/>
    <w:rsid w:val="002316D9"/>
    <w:rsid w:val="002330F0"/>
    <w:rsid w:val="002337F0"/>
    <w:rsid w:val="002342D1"/>
    <w:rsid w:val="00234332"/>
    <w:rsid w:val="00234772"/>
    <w:rsid w:val="002349B3"/>
    <w:rsid w:val="002355DA"/>
    <w:rsid w:val="00235664"/>
    <w:rsid w:val="00235F7F"/>
    <w:rsid w:val="00236771"/>
    <w:rsid w:val="00236D63"/>
    <w:rsid w:val="0023712B"/>
    <w:rsid w:val="002377FD"/>
    <w:rsid w:val="0023799F"/>
    <w:rsid w:val="00240B88"/>
    <w:rsid w:val="00241232"/>
    <w:rsid w:val="00241877"/>
    <w:rsid w:val="00241AAC"/>
    <w:rsid w:val="002421D1"/>
    <w:rsid w:val="00243390"/>
    <w:rsid w:val="002445AB"/>
    <w:rsid w:val="002447D6"/>
    <w:rsid w:val="0024638B"/>
    <w:rsid w:val="00247E1D"/>
    <w:rsid w:val="0025037A"/>
    <w:rsid w:val="002516C0"/>
    <w:rsid w:val="00251F64"/>
    <w:rsid w:val="00252129"/>
    <w:rsid w:val="00252C9F"/>
    <w:rsid w:val="00252DB0"/>
    <w:rsid w:val="0025312E"/>
    <w:rsid w:val="00253466"/>
    <w:rsid w:val="00254827"/>
    <w:rsid w:val="002563D1"/>
    <w:rsid w:val="00260965"/>
    <w:rsid w:val="00260B34"/>
    <w:rsid w:val="002631C0"/>
    <w:rsid w:val="002645F8"/>
    <w:rsid w:val="00264BA8"/>
    <w:rsid w:val="0026594C"/>
    <w:rsid w:val="002661CB"/>
    <w:rsid w:val="00266584"/>
    <w:rsid w:val="00266A7C"/>
    <w:rsid w:val="00270073"/>
    <w:rsid w:val="00272AF5"/>
    <w:rsid w:val="00272C55"/>
    <w:rsid w:val="00273124"/>
    <w:rsid w:val="00273232"/>
    <w:rsid w:val="00274252"/>
    <w:rsid w:val="00274B4B"/>
    <w:rsid w:val="002757EB"/>
    <w:rsid w:val="0027648B"/>
    <w:rsid w:val="002767DA"/>
    <w:rsid w:val="00277B59"/>
    <w:rsid w:val="0028087F"/>
    <w:rsid w:val="00280A6B"/>
    <w:rsid w:val="00280F60"/>
    <w:rsid w:val="002814A8"/>
    <w:rsid w:val="002815C4"/>
    <w:rsid w:val="00281CE7"/>
    <w:rsid w:val="002821CC"/>
    <w:rsid w:val="00282988"/>
    <w:rsid w:val="0028394D"/>
    <w:rsid w:val="0028418A"/>
    <w:rsid w:val="00284654"/>
    <w:rsid w:val="00284985"/>
    <w:rsid w:val="0028654F"/>
    <w:rsid w:val="002869F6"/>
    <w:rsid w:val="002900FD"/>
    <w:rsid w:val="00290689"/>
    <w:rsid w:val="002909BC"/>
    <w:rsid w:val="00293B77"/>
    <w:rsid w:val="002941B9"/>
    <w:rsid w:val="002944FF"/>
    <w:rsid w:val="002958D6"/>
    <w:rsid w:val="002969DC"/>
    <w:rsid w:val="00297CE6"/>
    <w:rsid w:val="00297D3C"/>
    <w:rsid w:val="002A01CE"/>
    <w:rsid w:val="002A1489"/>
    <w:rsid w:val="002A1825"/>
    <w:rsid w:val="002A1DC4"/>
    <w:rsid w:val="002A1EF2"/>
    <w:rsid w:val="002A225E"/>
    <w:rsid w:val="002A37B5"/>
    <w:rsid w:val="002A41C4"/>
    <w:rsid w:val="002A461D"/>
    <w:rsid w:val="002A60B5"/>
    <w:rsid w:val="002A640E"/>
    <w:rsid w:val="002A7561"/>
    <w:rsid w:val="002A76D2"/>
    <w:rsid w:val="002B053C"/>
    <w:rsid w:val="002B14EC"/>
    <w:rsid w:val="002B1E25"/>
    <w:rsid w:val="002B1EBA"/>
    <w:rsid w:val="002B35D2"/>
    <w:rsid w:val="002B492E"/>
    <w:rsid w:val="002B5047"/>
    <w:rsid w:val="002B5575"/>
    <w:rsid w:val="002B558A"/>
    <w:rsid w:val="002B65AB"/>
    <w:rsid w:val="002B6C27"/>
    <w:rsid w:val="002B74C5"/>
    <w:rsid w:val="002C2B7C"/>
    <w:rsid w:val="002C3584"/>
    <w:rsid w:val="002C482A"/>
    <w:rsid w:val="002C4997"/>
    <w:rsid w:val="002C5367"/>
    <w:rsid w:val="002C6738"/>
    <w:rsid w:val="002C716D"/>
    <w:rsid w:val="002C7A35"/>
    <w:rsid w:val="002D0166"/>
    <w:rsid w:val="002D0915"/>
    <w:rsid w:val="002D1E4D"/>
    <w:rsid w:val="002D434D"/>
    <w:rsid w:val="002D545C"/>
    <w:rsid w:val="002D5E8E"/>
    <w:rsid w:val="002D5E97"/>
    <w:rsid w:val="002D6D02"/>
    <w:rsid w:val="002D7667"/>
    <w:rsid w:val="002D76DD"/>
    <w:rsid w:val="002D7749"/>
    <w:rsid w:val="002E018A"/>
    <w:rsid w:val="002E2356"/>
    <w:rsid w:val="002E3E33"/>
    <w:rsid w:val="002E3F8D"/>
    <w:rsid w:val="002E57D9"/>
    <w:rsid w:val="002E6CF9"/>
    <w:rsid w:val="002E7516"/>
    <w:rsid w:val="002E7FB0"/>
    <w:rsid w:val="002F002F"/>
    <w:rsid w:val="002F073A"/>
    <w:rsid w:val="002F14D0"/>
    <w:rsid w:val="002F1A2F"/>
    <w:rsid w:val="002F2743"/>
    <w:rsid w:val="002F5684"/>
    <w:rsid w:val="002F7BA5"/>
    <w:rsid w:val="0030034B"/>
    <w:rsid w:val="00302953"/>
    <w:rsid w:val="003039D2"/>
    <w:rsid w:val="00303FD4"/>
    <w:rsid w:val="00304172"/>
    <w:rsid w:val="0030590F"/>
    <w:rsid w:val="00306083"/>
    <w:rsid w:val="00306C70"/>
    <w:rsid w:val="003078F6"/>
    <w:rsid w:val="00307DD7"/>
    <w:rsid w:val="003100C3"/>
    <w:rsid w:val="00310D34"/>
    <w:rsid w:val="00311783"/>
    <w:rsid w:val="0031178A"/>
    <w:rsid w:val="00311E93"/>
    <w:rsid w:val="003120D0"/>
    <w:rsid w:val="00312252"/>
    <w:rsid w:val="003147F7"/>
    <w:rsid w:val="00314B0C"/>
    <w:rsid w:val="00315902"/>
    <w:rsid w:val="003160DC"/>
    <w:rsid w:val="00316678"/>
    <w:rsid w:val="00316B54"/>
    <w:rsid w:val="00316BBA"/>
    <w:rsid w:val="00316C5E"/>
    <w:rsid w:val="0032003A"/>
    <w:rsid w:val="00321F89"/>
    <w:rsid w:val="00323E85"/>
    <w:rsid w:val="003240EB"/>
    <w:rsid w:val="00325AB9"/>
    <w:rsid w:val="00325DA4"/>
    <w:rsid w:val="00325F0F"/>
    <w:rsid w:val="003267F0"/>
    <w:rsid w:val="00326D60"/>
    <w:rsid w:val="00327EA2"/>
    <w:rsid w:val="00332984"/>
    <w:rsid w:val="0033339E"/>
    <w:rsid w:val="003333DD"/>
    <w:rsid w:val="003343F8"/>
    <w:rsid w:val="003348E6"/>
    <w:rsid w:val="00336043"/>
    <w:rsid w:val="00336FA8"/>
    <w:rsid w:val="0033797B"/>
    <w:rsid w:val="00342B15"/>
    <w:rsid w:val="00343685"/>
    <w:rsid w:val="003448BD"/>
    <w:rsid w:val="0034533C"/>
    <w:rsid w:val="00346667"/>
    <w:rsid w:val="003467BB"/>
    <w:rsid w:val="00346851"/>
    <w:rsid w:val="00346F77"/>
    <w:rsid w:val="00347487"/>
    <w:rsid w:val="00350897"/>
    <w:rsid w:val="00350D7D"/>
    <w:rsid w:val="00351401"/>
    <w:rsid w:val="00351596"/>
    <w:rsid w:val="0035171A"/>
    <w:rsid w:val="00351BFD"/>
    <w:rsid w:val="00351EE7"/>
    <w:rsid w:val="0035305E"/>
    <w:rsid w:val="0035514A"/>
    <w:rsid w:val="003551B6"/>
    <w:rsid w:val="00357104"/>
    <w:rsid w:val="00360803"/>
    <w:rsid w:val="0036332F"/>
    <w:rsid w:val="00364213"/>
    <w:rsid w:val="00364349"/>
    <w:rsid w:val="00364488"/>
    <w:rsid w:val="0036473B"/>
    <w:rsid w:val="00364EE5"/>
    <w:rsid w:val="00365AAC"/>
    <w:rsid w:val="00365C0B"/>
    <w:rsid w:val="0036675A"/>
    <w:rsid w:val="00366770"/>
    <w:rsid w:val="00366E35"/>
    <w:rsid w:val="00372FCA"/>
    <w:rsid w:val="00373A6F"/>
    <w:rsid w:val="003743E1"/>
    <w:rsid w:val="00374991"/>
    <w:rsid w:val="003751D5"/>
    <w:rsid w:val="0037594C"/>
    <w:rsid w:val="00375B16"/>
    <w:rsid w:val="00376F29"/>
    <w:rsid w:val="003770A8"/>
    <w:rsid w:val="00380E7C"/>
    <w:rsid w:val="003823C6"/>
    <w:rsid w:val="003836D8"/>
    <w:rsid w:val="003859AB"/>
    <w:rsid w:val="00386516"/>
    <w:rsid w:val="003874C0"/>
    <w:rsid w:val="00390310"/>
    <w:rsid w:val="00391616"/>
    <w:rsid w:val="00391D75"/>
    <w:rsid w:val="00391DB7"/>
    <w:rsid w:val="0039381C"/>
    <w:rsid w:val="003938B8"/>
    <w:rsid w:val="00393D8D"/>
    <w:rsid w:val="0039443D"/>
    <w:rsid w:val="00394B70"/>
    <w:rsid w:val="0039714F"/>
    <w:rsid w:val="003A2862"/>
    <w:rsid w:val="003A2C09"/>
    <w:rsid w:val="003A2E61"/>
    <w:rsid w:val="003A4CB3"/>
    <w:rsid w:val="003A56F6"/>
    <w:rsid w:val="003A6625"/>
    <w:rsid w:val="003A67AE"/>
    <w:rsid w:val="003B0A1C"/>
    <w:rsid w:val="003B17A0"/>
    <w:rsid w:val="003B22E7"/>
    <w:rsid w:val="003B4D99"/>
    <w:rsid w:val="003B4EA4"/>
    <w:rsid w:val="003B51B9"/>
    <w:rsid w:val="003B5272"/>
    <w:rsid w:val="003B67AB"/>
    <w:rsid w:val="003C0050"/>
    <w:rsid w:val="003C0132"/>
    <w:rsid w:val="003C0B3C"/>
    <w:rsid w:val="003C1A94"/>
    <w:rsid w:val="003C2452"/>
    <w:rsid w:val="003C2B4E"/>
    <w:rsid w:val="003C3479"/>
    <w:rsid w:val="003C3546"/>
    <w:rsid w:val="003C3CDC"/>
    <w:rsid w:val="003C4806"/>
    <w:rsid w:val="003C5E92"/>
    <w:rsid w:val="003C6C5D"/>
    <w:rsid w:val="003C7EF6"/>
    <w:rsid w:val="003D0554"/>
    <w:rsid w:val="003D0F29"/>
    <w:rsid w:val="003D1198"/>
    <w:rsid w:val="003D2DDF"/>
    <w:rsid w:val="003D2E67"/>
    <w:rsid w:val="003D3DB1"/>
    <w:rsid w:val="003D3E8C"/>
    <w:rsid w:val="003D5628"/>
    <w:rsid w:val="003D590A"/>
    <w:rsid w:val="003D5FFD"/>
    <w:rsid w:val="003D62FF"/>
    <w:rsid w:val="003D6B33"/>
    <w:rsid w:val="003D72FF"/>
    <w:rsid w:val="003D755F"/>
    <w:rsid w:val="003D769A"/>
    <w:rsid w:val="003E0703"/>
    <w:rsid w:val="003E0CC2"/>
    <w:rsid w:val="003E11EB"/>
    <w:rsid w:val="003E36EC"/>
    <w:rsid w:val="003E3F2C"/>
    <w:rsid w:val="003E4FBE"/>
    <w:rsid w:val="003E5951"/>
    <w:rsid w:val="003E605F"/>
    <w:rsid w:val="003E749D"/>
    <w:rsid w:val="003F18E1"/>
    <w:rsid w:val="003F2DB1"/>
    <w:rsid w:val="003F38B6"/>
    <w:rsid w:val="003F3BDB"/>
    <w:rsid w:val="003F5315"/>
    <w:rsid w:val="003F5AE9"/>
    <w:rsid w:val="003F6EA6"/>
    <w:rsid w:val="00400891"/>
    <w:rsid w:val="00400DCB"/>
    <w:rsid w:val="00402241"/>
    <w:rsid w:val="00402AE1"/>
    <w:rsid w:val="00402D0C"/>
    <w:rsid w:val="00403DFC"/>
    <w:rsid w:val="0040400C"/>
    <w:rsid w:val="004059FB"/>
    <w:rsid w:val="00406CA5"/>
    <w:rsid w:val="00407F9B"/>
    <w:rsid w:val="00412687"/>
    <w:rsid w:val="004148AF"/>
    <w:rsid w:val="0041519F"/>
    <w:rsid w:val="0041590C"/>
    <w:rsid w:val="00416A2E"/>
    <w:rsid w:val="0041706F"/>
    <w:rsid w:val="00417C1F"/>
    <w:rsid w:val="0042141D"/>
    <w:rsid w:val="0042207E"/>
    <w:rsid w:val="00423D08"/>
    <w:rsid w:val="00424338"/>
    <w:rsid w:val="00426A35"/>
    <w:rsid w:val="00426C73"/>
    <w:rsid w:val="00426E10"/>
    <w:rsid w:val="004272D1"/>
    <w:rsid w:val="00427477"/>
    <w:rsid w:val="00427CA4"/>
    <w:rsid w:val="0043389D"/>
    <w:rsid w:val="00434044"/>
    <w:rsid w:val="00435F00"/>
    <w:rsid w:val="00436156"/>
    <w:rsid w:val="004364D9"/>
    <w:rsid w:val="00440073"/>
    <w:rsid w:val="00441BCC"/>
    <w:rsid w:val="00441C1D"/>
    <w:rsid w:val="00441EBE"/>
    <w:rsid w:val="00443754"/>
    <w:rsid w:val="004452CF"/>
    <w:rsid w:val="004456F5"/>
    <w:rsid w:val="00445BF8"/>
    <w:rsid w:val="00445CB3"/>
    <w:rsid w:val="00446BC7"/>
    <w:rsid w:val="00447995"/>
    <w:rsid w:val="004504E3"/>
    <w:rsid w:val="00450CE4"/>
    <w:rsid w:val="00451565"/>
    <w:rsid w:val="0045334C"/>
    <w:rsid w:val="00454AAF"/>
    <w:rsid w:val="00455D95"/>
    <w:rsid w:val="0045667E"/>
    <w:rsid w:val="004573B4"/>
    <w:rsid w:val="00460623"/>
    <w:rsid w:val="00461952"/>
    <w:rsid w:val="00462048"/>
    <w:rsid w:val="00462212"/>
    <w:rsid w:val="004649ED"/>
    <w:rsid w:val="00464F33"/>
    <w:rsid w:val="004665D0"/>
    <w:rsid w:val="0046668B"/>
    <w:rsid w:val="00467110"/>
    <w:rsid w:val="004675A0"/>
    <w:rsid w:val="00467617"/>
    <w:rsid w:val="004713CF"/>
    <w:rsid w:val="004738DC"/>
    <w:rsid w:val="00473AD1"/>
    <w:rsid w:val="00474685"/>
    <w:rsid w:val="004763AD"/>
    <w:rsid w:val="00477294"/>
    <w:rsid w:val="00477A7F"/>
    <w:rsid w:val="00480441"/>
    <w:rsid w:val="00480DE9"/>
    <w:rsid w:val="00481672"/>
    <w:rsid w:val="00482902"/>
    <w:rsid w:val="0048519E"/>
    <w:rsid w:val="00485BF0"/>
    <w:rsid w:val="004862EE"/>
    <w:rsid w:val="004864E4"/>
    <w:rsid w:val="00486D1C"/>
    <w:rsid w:val="00486DE1"/>
    <w:rsid w:val="00487E16"/>
    <w:rsid w:val="00491F39"/>
    <w:rsid w:val="00492C25"/>
    <w:rsid w:val="004949BA"/>
    <w:rsid w:val="0049584E"/>
    <w:rsid w:val="00495E91"/>
    <w:rsid w:val="00495F7A"/>
    <w:rsid w:val="00496385"/>
    <w:rsid w:val="004964C9"/>
    <w:rsid w:val="004A08B8"/>
    <w:rsid w:val="004A13E7"/>
    <w:rsid w:val="004A155E"/>
    <w:rsid w:val="004A1987"/>
    <w:rsid w:val="004A1C42"/>
    <w:rsid w:val="004A43F0"/>
    <w:rsid w:val="004A4624"/>
    <w:rsid w:val="004A4837"/>
    <w:rsid w:val="004A55EC"/>
    <w:rsid w:val="004A75B7"/>
    <w:rsid w:val="004A77F8"/>
    <w:rsid w:val="004B1B59"/>
    <w:rsid w:val="004B2303"/>
    <w:rsid w:val="004B3D2D"/>
    <w:rsid w:val="004B676B"/>
    <w:rsid w:val="004C132B"/>
    <w:rsid w:val="004C1487"/>
    <w:rsid w:val="004C166B"/>
    <w:rsid w:val="004C1685"/>
    <w:rsid w:val="004C2664"/>
    <w:rsid w:val="004C2CE4"/>
    <w:rsid w:val="004C390C"/>
    <w:rsid w:val="004C4103"/>
    <w:rsid w:val="004C42C0"/>
    <w:rsid w:val="004C68C3"/>
    <w:rsid w:val="004D06C5"/>
    <w:rsid w:val="004D10FE"/>
    <w:rsid w:val="004D13ED"/>
    <w:rsid w:val="004D173A"/>
    <w:rsid w:val="004D19BD"/>
    <w:rsid w:val="004D1C94"/>
    <w:rsid w:val="004D2ACF"/>
    <w:rsid w:val="004D2C5E"/>
    <w:rsid w:val="004D3A05"/>
    <w:rsid w:val="004D5593"/>
    <w:rsid w:val="004D5A9E"/>
    <w:rsid w:val="004D5D84"/>
    <w:rsid w:val="004D654E"/>
    <w:rsid w:val="004D6F7A"/>
    <w:rsid w:val="004D7D88"/>
    <w:rsid w:val="004E0DBF"/>
    <w:rsid w:val="004E22D4"/>
    <w:rsid w:val="004E23BC"/>
    <w:rsid w:val="004E306F"/>
    <w:rsid w:val="004E36E5"/>
    <w:rsid w:val="004E3B38"/>
    <w:rsid w:val="004E3F4A"/>
    <w:rsid w:val="004E42C8"/>
    <w:rsid w:val="004E45A1"/>
    <w:rsid w:val="004E48E8"/>
    <w:rsid w:val="004E57FD"/>
    <w:rsid w:val="004E7CEC"/>
    <w:rsid w:val="004F01B3"/>
    <w:rsid w:val="004F04B7"/>
    <w:rsid w:val="004F19D9"/>
    <w:rsid w:val="004F1CE7"/>
    <w:rsid w:val="004F333E"/>
    <w:rsid w:val="004F3A10"/>
    <w:rsid w:val="004F4FBE"/>
    <w:rsid w:val="004F56A5"/>
    <w:rsid w:val="004F68D5"/>
    <w:rsid w:val="004F791B"/>
    <w:rsid w:val="0050066F"/>
    <w:rsid w:val="005009BC"/>
    <w:rsid w:val="00500A85"/>
    <w:rsid w:val="00501B60"/>
    <w:rsid w:val="0050206C"/>
    <w:rsid w:val="00502236"/>
    <w:rsid w:val="00502A97"/>
    <w:rsid w:val="00502B13"/>
    <w:rsid w:val="00503CB1"/>
    <w:rsid w:val="00503CE4"/>
    <w:rsid w:val="005040C0"/>
    <w:rsid w:val="0050486A"/>
    <w:rsid w:val="00504AB6"/>
    <w:rsid w:val="00506956"/>
    <w:rsid w:val="00506F5F"/>
    <w:rsid w:val="00510B9C"/>
    <w:rsid w:val="0051161F"/>
    <w:rsid w:val="0051467F"/>
    <w:rsid w:val="005155BD"/>
    <w:rsid w:val="00516E0B"/>
    <w:rsid w:val="00517354"/>
    <w:rsid w:val="00517FD4"/>
    <w:rsid w:val="00521202"/>
    <w:rsid w:val="00521258"/>
    <w:rsid w:val="0052151A"/>
    <w:rsid w:val="0052166B"/>
    <w:rsid w:val="005243DC"/>
    <w:rsid w:val="00525B4E"/>
    <w:rsid w:val="00527C73"/>
    <w:rsid w:val="0053022C"/>
    <w:rsid w:val="005302C2"/>
    <w:rsid w:val="00530E07"/>
    <w:rsid w:val="0053138E"/>
    <w:rsid w:val="00531842"/>
    <w:rsid w:val="00532543"/>
    <w:rsid w:val="0053266A"/>
    <w:rsid w:val="0053458E"/>
    <w:rsid w:val="00534CAB"/>
    <w:rsid w:val="00535EBE"/>
    <w:rsid w:val="00536763"/>
    <w:rsid w:val="00537AA0"/>
    <w:rsid w:val="00537EAB"/>
    <w:rsid w:val="00541159"/>
    <w:rsid w:val="005420EB"/>
    <w:rsid w:val="005424BC"/>
    <w:rsid w:val="00542F20"/>
    <w:rsid w:val="00543503"/>
    <w:rsid w:val="00543B55"/>
    <w:rsid w:val="0054413B"/>
    <w:rsid w:val="00544D2B"/>
    <w:rsid w:val="00547C1D"/>
    <w:rsid w:val="00547C44"/>
    <w:rsid w:val="0055015B"/>
    <w:rsid w:val="00551328"/>
    <w:rsid w:val="00551F40"/>
    <w:rsid w:val="00552269"/>
    <w:rsid w:val="00552FC5"/>
    <w:rsid w:val="00553107"/>
    <w:rsid w:val="0055364F"/>
    <w:rsid w:val="00553B37"/>
    <w:rsid w:val="00555A45"/>
    <w:rsid w:val="005563FC"/>
    <w:rsid w:val="005566A0"/>
    <w:rsid w:val="005611FF"/>
    <w:rsid w:val="00561638"/>
    <w:rsid w:val="00561B90"/>
    <w:rsid w:val="00563CA8"/>
    <w:rsid w:val="005643E7"/>
    <w:rsid w:val="00564444"/>
    <w:rsid w:val="005667C1"/>
    <w:rsid w:val="00566F57"/>
    <w:rsid w:val="005671D1"/>
    <w:rsid w:val="00567BB8"/>
    <w:rsid w:val="00567FEE"/>
    <w:rsid w:val="00570726"/>
    <w:rsid w:val="00571154"/>
    <w:rsid w:val="005715DA"/>
    <w:rsid w:val="00571F56"/>
    <w:rsid w:val="0057260F"/>
    <w:rsid w:val="00573701"/>
    <w:rsid w:val="00573C5F"/>
    <w:rsid w:val="00576B58"/>
    <w:rsid w:val="00577126"/>
    <w:rsid w:val="0057732C"/>
    <w:rsid w:val="00577AE9"/>
    <w:rsid w:val="00577B69"/>
    <w:rsid w:val="00577E27"/>
    <w:rsid w:val="00582552"/>
    <w:rsid w:val="00584978"/>
    <w:rsid w:val="005853E0"/>
    <w:rsid w:val="00585AAF"/>
    <w:rsid w:val="00586384"/>
    <w:rsid w:val="005865A6"/>
    <w:rsid w:val="00586CF7"/>
    <w:rsid w:val="00587AE6"/>
    <w:rsid w:val="00590AD3"/>
    <w:rsid w:val="005911B6"/>
    <w:rsid w:val="0059325F"/>
    <w:rsid w:val="00595943"/>
    <w:rsid w:val="00595E4F"/>
    <w:rsid w:val="005A1F1B"/>
    <w:rsid w:val="005A27E5"/>
    <w:rsid w:val="005A35E8"/>
    <w:rsid w:val="005A3CD0"/>
    <w:rsid w:val="005A50BD"/>
    <w:rsid w:val="005A59CC"/>
    <w:rsid w:val="005A7058"/>
    <w:rsid w:val="005A72DB"/>
    <w:rsid w:val="005A7691"/>
    <w:rsid w:val="005B0E3D"/>
    <w:rsid w:val="005B0FF9"/>
    <w:rsid w:val="005B1022"/>
    <w:rsid w:val="005B183E"/>
    <w:rsid w:val="005B4B45"/>
    <w:rsid w:val="005B6C8F"/>
    <w:rsid w:val="005B78D5"/>
    <w:rsid w:val="005B7EA2"/>
    <w:rsid w:val="005B7EDB"/>
    <w:rsid w:val="005C03CB"/>
    <w:rsid w:val="005C1533"/>
    <w:rsid w:val="005C1F18"/>
    <w:rsid w:val="005C21DE"/>
    <w:rsid w:val="005C3A75"/>
    <w:rsid w:val="005C53CA"/>
    <w:rsid w:val="005C57A7"/>
    <w:rsid w:val="005C5C56"/>
    <w:rsid w:val="005C5C6B"/>
    <w:rsid w:val="005C6270"/>
    <w:rsid w:val="005C6965"/>
    <w:rsid w:val="005C6AE2"/>
    <w:rsid w:val="005C6B70"/>
    <w:rsid w:val="005C7296"/>
    <w:rsid w:val="005C7653"/>
    <w:rsid w:val="005C7F6F"/>
    <w:rsid w:val="005D012D"/>
    <w:rsid w:val="005D0ADD"/>
    <w:rsid w:val="005D183D"/>
    <w:rsid w:val="005D1EA0"/>
    <w:rsid w:val="005D223A"/>
    <w:rsid w:val="005D22C6"/>
    <w:rsid w:val="005D2DD0"/>
    <w:rsid w:val="005D54F9"/>
    <w:rsid w:val="005D5998"/>
    <w:rsid w:val="005D622A"/>
    <w:rsid w:val="005D65E0"/>
    <w:rsid w:val="005D669F"/>
    <w:rsid w:val="005D6F13"/>
    <w:rsid w:val="005D7462"/>
    <w:rsid w:val="005E0BEB"/>
    <w:rsid w:val="005E0EC9"/>
    <w:rsid w:val="005E30B5"/>
    <w:rsid w:val="005E313C"/>
    <w:rsid w:val="005E388A"/>
    <w:rsid w:val="005E4350"/>
    <w:rsid w:val="005E538D"/>
    <w:rsid w:val="005E54CE"/>
    <w:rsid w:val="005E5D3E"/>
    <w:rsid w:val="005F014D"/>
    <w:rsid w:val="005F0433"/>
    <w:rsid w:val="005F0B17"/>
    <w:rsid w:val="005F0DA7"/>
    <w:rsid w:val="005F3D20"/>
    <w:rsid w:val="005F41F9"/>
    <w:rsid w:val="005F56F7"/>
    <w:rsid w:val="005F58A5"/>
    <w:rsid w:val="005F642C"/>
    <w:rsid w:val="005F699A"/>
    <w:rsid w:val="005F7818"/>
    <w:rsid w:val="005F78D1"/>
    <w:rsid w:val="005F791F"/>
    <w:rsid w:val="00601C39"/>
    <w:rsid w:val="006036AB"/>
    <w:rsid w:val="0060370E"/>
    <w:rsid w:val="0060465B"/>
    <w:rsid w:val="00605084"/>
    <w:rsid w:val="0060554F"/>
    <w:rsid w:val="00605C17"/>
    <w:rsid w:val="00606E94"/>
    <w:rsid w:val="00607198"/>
    <w:rsid w:val="00607802"/>
    <w:rsid w:val="0061137F"/>
    <w:rsid w:val="006116FF"/>
    <w:rsid w:val="006123B6"/>
    <w:rsid w:val="00612915"/>
    <w:rsid w:val="006135CB"/>
    <w:rsid w:val="00613BB3"/>
    <w:rsid w:val="006141F5"/>
    <w:rsid w:val="006152E4"/>
    <w:rsid w:val="00615F66"/>
    <w:rsid w:val="00616B16"/>
    <w:rsid w:val="0062106C"/>
    <w:rsid w:val="00621939"/>
    <w:rsid w:val="00621E2E"/>
    <w:rsid w:val="00622309"/>
    <w:rsid w:val="0062356E"/>
    <w:rsid w:val="00623A27"/>
    <w:rsid w:val="00623CEA"/>
    <w:rsid w:val="0062450D"/>
    <w:rsid w:val="00624E78"/>
    <w:rsid w:val="0062754B"/>
    <w:rsid w:val="006303ED"/>
    <w:rsid w:val="0063096B"/>
    <w:rsid w:val="00632848"/>
    <w:rsid w:val="00633869"/>
    <w:rsid w:val="00633DD4"/>
    <w:rsid w:val="006345B0"/>
    <w:rsid w:val="00634BDB"/>
    <w:rsid w:val="006366A6"/>
    <w:rsid w:val="0063796A"/>
    <w:rsid w:val="006400AF"/>
    <w:rsid w:val="00640B27"/>
    <w:rsid w:val="0064102C"/>
    <w:rsid w:val="00641805"/>
    <w:rsid w:val="00643040"/>
    <w:rsid w:val="00643D31"/>
    <w:rsid w:val="00644C16"/>
    <w:rsid w:val="00644C3E"/>
    <w:rsid w:val="00644D7E"/>
    <w:rsid w:val="006450DA"/>
    <w:rsid w:val="00645CFB"/>
    <w:rsid w:val="00645DEC"/>
    <w:rsid w:val="00646464"/>
    <w:rsid w:val="006470D3"/>
    <w:rsid w:val="006506BE"/>
    <w:rsid w:val="00652122"/>
    <w:rsid w:val="006522F3"/>
    <w:rsid w:val="00652A73"/>
    <w:rsid w:val="00652AA4"/>
    <w:rsid w:val="00652EAE"/>
    <w:rsid w:val="0065351B"/>
    <w:rsid w:val="006536FD"/>
    <w:rsid w:val="00653866"/>
    <w:rsid w:val="0065659E"/>
    <w:rsid w:val="00661669"/>
    <w:rsid w:val="0066235B"/>
    <w:rsid w:val="00664214"/>
    <w:rsid w:val="00665AD9"/>
    <w:rsid w:val="00665FF5"/>
    <w:rsid w:val="006674A6"/>
    <w:rsid w:val="00667C36"/>
    <w:rsid w:val="0067087D"/>
    <w:rsid w:val="00672C95"/>
    <w:rsid w:val="00674042"/>
    <w:rsid w:val="0067408D"/>
    <w:rsid w:val="00674648"/>
    <w:rsid w:val="006750E4"/>
    <w:rsid w:val="0067545B"/>
    <w:rsid w:val="0067572C"/>
    <w:rsid w:val="006761FA"/>
    <w:rsid w:val="006767B5"/>
    <w:rsid w:val="00676DFD"/>
    <w:rsid w:val="00677B3E"/>
    <w:rsid w:val="00680AB8"/>
    <w:rsid w:val="006825AA"/>
    <w:rsid w:val="00684092"/>
    <w:rsid w:val="00684451"/>
    <w:rsid w:val="00685290"/>
    <w:rsid w:val="0068539C"/>
    <w:rsid w:val="00687213"/>
    <w:rsid w:val="00687528"/>
    <w:rsid w:val="00687FD1"/>
    <w:rsid w:val="006903B2"/>
    <w:rsid w:val="00690A75"/>
    <w:rsid w:val="006926BF"/>
    <w:rsid w:val="0069294E"/>
    <w:rsid w:val="00692A88"/>
    <w:rsid w:val="00693427"/>
    <w:rsid w:val="006935D0"/>
    <w:rsid w:val="00693644"/>
    <w:rsid w:val="0069369C"/>
    <w:rsid w:val="00693855"/>
    <w:rsid w:val="00693B65"/>
    <w:rsid w:val="00694FE5"/>
    <w:rsid w:val="00695426"/>
    <w:rsid w:val="00695492"/>
    <w:rsid w:val="00695A9C"/>
    <w:rsid w:val="0069670F"/>
    <w:rsid w:val="006976FF"/>
    <w:rsid w:val="006A0FDE"/>
    <w:rsid w:val="006A1664"/>
    <w:rsid w:val="006A1F0F"/>
    <w:rsid w:val="006A4681"/>
    <w:rsid w:val="006A4873"/>
    <w:rsid w:val="006A6B3C"/>
    <w:rsid w:val="006A6BB3"/>
    <w:rsid w:val="006B0EC1"/>
    <w:rsid w:val="006B10FE"/>
    <w:rsid w:val="006B26F0"/>
    <w:rsid w:val="006B2AC9"/>
    <w:rsid w:val="006B34CB"/>
    <w:rsid w:val="006B36DC"/>
    <w:rsid w:val="006B3D4C"/>
    <w:rsid w:val="006B412D"/>
    <w:rsid w:val="006B46BE"/>
    <w:rsid w:val="006B56F2"/>
    <w:rsid w:val="006B6369"/>
    <w:rsid w:val="006B6373"/>
    <w:rsid w:val="006B72D1"/>
    <w:rsid w:val="006B7E3B"/>
    <w:rsid w:val="006B7FB7"/>
    <w:rsid w:val="006C06E2"/>
    <w:rsid w:val="006C23CC"/>
    <w:rsid w:val="006C2BA2"/>
    <w:rsid w:val="006C2D00"/>
    <w:rsid w:val="006C4493"/>
    <w:rsid w:val="006C5731"/>
    <w:rsid w:val="006C7361"/>
    <w:rsid w:val="006C7B49"/>
    <w:rsid w:val="006D0AE6"/>
    <w:rsid w:val="006D1BAB"/>
    <w:rsid w:val="006D266E"/>
    <w:rsid w:val="006D30E2"/>
    <w:rsid w:val="006D42E2"/>
    <w:rsid w:val="006D4897"/>
    <w:rsid w:val="006D4C92"/>
    <w:rsid w:val="006E0505"/>
    <w:rsid w:val="006E12DB"/>
    <w:rsid w:val="006E175C"/>
    <w:rsid w:val="006E2416"/>
    <w:rsid w:val="006E2845"/>
    <w:rsid w:val="006E45AD"/>
    <w:rsid w:val="006E4EEC"/>
    <w:rsid w:val="006E4F42"/>
    <w:rsid w:val="006E7BF5"/>
    <w:rsid w:val="006E7CCB"/>
    <w:rsid w:val="006F10F1"/>
    <w:rsid w:val="006F1605"/>
    <w:rsid w:val="006F1ABF"/>
    <w:rsid w:val="006F1BA3"/>
    <w:rsid w:val="006F2B97"/>
    <w:rsid w:val="006F4037"/>
    <w:rsid w:val="006F671D"/>
    <w:rsid w:val="006F7E15"/>
    <w:rsid w:val="007000FD"/>
    <w:rsid w:val="007003B8"/>
    <w:rsid w:val="00700903"/>
    <w:rsid w:val="00700CE9"/>
    <w:rsid w:val="00701D4F"/>
    <w:rsid w:val="007026B8"/>
    <w:rsid w:val="00703B80"/>
    <w:rsid w:val="00704912"/>
    <w:rsid w:val="0070525A"/>
    <w:rsid w:val="007059BC"/>
    <w:rsid w:val="00705A3A"/>
    <w:rsid w:val="00706623"/>
    <w:rsid w:val="00707BD6"/>
    <w:rsid w:val="00711A94"/>
    <w:rsid w:val="00712123"/>
    <w:rsid w:val="00712326"/>
    <w:rsid w:val="007123AE"/>
    <w:rsid w:val="00712793"/>
    <w:rsid w:val="00712F49"/>
    <w:rsid w:val="00713F8F"/>
    <w:rsid w:val="007146A4"/>
    <w:rsid w:val="0071491E"/>
    <w:rsid w:val="00715D2D"/>
    <w:rsid w:val="007179A6"/>
    <w:rsid w:val="00717D43"/>
    <w:rsid w:val="00720A38"/>
    <w:rsid w:val="00720AAB"/>
    <w:rsid w:val="007216CC"/>
    <w:rsid w:val="00722C6A"/>
    <w:rsid w:val="00722F21"/>
    <w:rsid w:val="007265C8"/>
    <w:rsid w:val="00727B98"/>
    <w:rsid w:val="00727F1C"/>
    <w:rsid w:val="00730A36"/>
    <w:rsid w:val="00731A22"/>
    <w:rsid w:val="0073287B"/>
    <w:rsid w:val="00736CFA"/>
    <w:rsid w:val="007411C3"/>
    <w:rsid w:val="0074341A"/>
    <w:rsid w:val="00743556"/>
    <w:rsid w:val="0074468A"/>
    <w:rsid w:val="0074482B"/>
    <w:rsid w:val="007457BD"/>
    <w:rsid w:val="00745C18"/>
    <w:rsid w:val="00746FC3"/>
    <w:rsid w:val="0074797F"/>
    <w:rsid w:val="0075028D"/>
    <w:rsid w:val="00750536"/>
    <w:rsid w:val="00750AA2"/>
    <w:rsid w:val="00750AB1"/>
    <w:rsid w:val="00750CF6"/>
    <w:rsid w:val="00751E68"/>
    <w:rsid w:val="00753839"/>
    <w:rsid w:val="007539CC"/>
    <w:rsid w:val="00753C5A"/>
    <w:rsid w:val="0075484E"/>
    <w:rsid w:val="007554E4"/>
    <w:rsid w:val="0075607F"/>
    <w:rsid w:val="00756837"/>
    <w:rsid w:val="00757AF7"/>
    <w:rsid w:val="00760046"/>
    <w:rsid w:val="007610A8"/>
    <w:rsid w:val="0076153F"/>
    <w:rsid w:val="007615B3"/>
    <w:rsid w:val="00763B13"/>
    <w:rsid w:val="00764220"/>
    <w:rsid w:val="0076438B"/>
    <w:rsid w:val="007652DD"/>
    <w:rsid w:val="00770FD8"/>
    <w:rsid w:val="0077399C"/>
    <w:rsid w:val="00773CFF"/>
    <w:rsid w:val="0077494D"/>
    <w:rsid w:val="00775331"/>
    <w:rsid w:val="00775D20"/>
    <w:rsid w:val="00776374"/>
    <w:rsid w:val="007765B3"/>
    <w:rsid w:val="0078269A"/>
    <w:rsid w:val="00782DE5"/>
    <w:rsid w:val="007831DD"/>
    <w:rsid w:val="00785C15"/>
    <w:rsid w:val="00785C8D"/>
    <w:rsid w:val="007905DF"/>
    <w:rsid w:val="00791C2A"/>
    <w:rsid w:val="00791D7F"/>
    <w:rsid w:val="00791EA8"/>
    <w:rsid w:val="00792094"/>
    <w:rsid w:val="00793C0F"/>
    <w:rsid w:val="0079536A"/>
    <w:rsid w:val="00795907"/>
    <w:rsid w:val="007963DA"/>
    <w:rsid w:val="007A11F2"/>
    <w:rsid w:val="007A255F"/>
    <w:rsid w:val="007A3669"/>
    <w:rsid w:val="007A45AA"/>
    <w:rsid w:val="007A49BA"/>
    <w:rsid w:val="007A5508"/>
    <w:rsid w:val="007A58EE"/>
    <w:rsid w:val="007A5B38"/>
    <w:rsid w:val="007A5E25"/>
    <w:rsid w:val="007A7D2B"/>
    <w:rsid w:val="007A7EBB"/>
    <w:rsid w:val="007B053A"/>
    <w:rsid w:val="007B0599"/>
    <w:rsid w:val="007B14A0"/>
    <w:rsid w:val="007B2098"/>
    <w:rsid w:val="007B2437"/>
    <w:rsid w:val="007B38AA"/>
    <w:rsid w:val="007B3FF4"/>
    <w:rsid w:val="007B4F9D"/>
    <w:rsid w:val="007B52C1"/>
    <w:rsid w:val="007B5F85"/>
    <w:rsid w:val="007B6CF8"/>
    <w:rsid w:val="007C0DDB"/>
    <w:rsid w:val="007C1975"/>
    <w:rsid w:val="007C2E8B"/>
    <w:rsid w:val="007C423D"/>
    <w:rsid w:val="007C539E"/>
    <w:rsid w:val="007C5AFF"/>
    <w:rsid w:val="007C71F8"/>
    <w:rsid w:val="007C74AE"/>
    <w:rsid w:val="007D10E2"/>
    <w:rsid w:val="007D14B5"/>
    <w:rsid w:val="007D1946"/>
    <w:rsid w:val="007D1B4E"/>
    <w:rsid w:val="007D2C8E"/>
    <w:rsid w:val="007D2F84"/>
    <w:rsid w:val="007D3DCE"/>
    <w:rsid w:val="007D43A0"/>
    <w:rsid w:val="007D449A"/>
    <w:rsid w:val="007D4BD3"/>
    <w:rsid w:val="007D5F41"/>
    <w:rsid w:val="007D6006"/>
    <w:rsid w:val="007E1BF6"/>
    <w:rsid w:val="007E2356"/>
    <w:rsid w:val="007E2521"/>
    <w:rsid w:val="007E413E"/>
    <w:rsid w:val="007E4C7C"/>
    <w:rsid w:val="007E4F33"/>
    <w:rsid w:val="007E53D8"/>
    <w:rsid w:val="007E5893"/>
    <w:rsid w:val="007F0CCF"/>
    <w:rsid w:val="007F3385"/>
    <w:rsid w:val="007F3E7C"/>
    <w:rsid w:val="007F3FCE"/>
    <w:rsid w:val="007F4714"/>
    <w:rsid w:val="007F4F49"/>
    <w:rsid w:val="007F5A97"/>
    <w:rsid w:val="007F5D7C"/>
    <w:rsid w:val="007F6A0D"/>
    <w:rsid w:val="007F792B"/>
    <w:rsid w:val="0080071D"/>
    <w:rsid w:val="00801159"/>
    <w:rsid w:val="00801268"/>
    <w:rsid w:val="00801492"/>
    <w:rsid w:val="00803DA8"/>
    <w:rsid w:val="00804009"/>
    <w:rsid w:val="00804D37"/>
    <w:rsid w:val="0080551E"/>
    <w:rsid w:val="008057F9"/>
    <w:rsid w:val="00805B93"/>
    <w:rsid w:val="0080679B"/>
    <w:rsid w:val="00806DA5"/>
    <w:rsid w:val="00806E6A"/>
    <w:rsid w:val="0080775D"/>
    <w:rsid w:val="00807910"/>
    <w:rsid w:val="00810383"/>
    <w:rsid w:val="008103BF"/>
    <w:rsid w:val="00810ADE"/>
    <w:rsid w:val="0081120C"/>
    <w:rsid w:val="00812A63"/>
    <w:rsid w:val="00813497"/>
    <w:rsid w:val="00815774"/>
    <w:rsid w:val="008158F4"/>
    <w:rsid w:val="00815F63"/>
    <w:rsid w:val="008165AA"/>
    <w:rsid w:val="00816D84"/>
    <w:rsid w:val="00820310"/>
    <w:rsid w:val="008205AC"/>
    <w:rsid w:val="0082118D"/>
    <w:rsid w:val="00821E6E"/>
    <w:rsid w:val="00822566"/>
    <w:rsid w:val="008235E2"/>
    <w:rsid w:val="00823CF3"/>
    <w:rsid w:val="00823E24"/>
    <w:rsid w:val="00824AE7"/>
    <w:rsid w:val="00825141"/>
    <w:rsid w:val="0082541A"/>
    <w:rsid w:val="00825D7B"/>
    <w:rsid w:val="00825DD7"/>
    <w:rsid w:val="0082635D"/>
    <w:rsid w:val="00826481"/>
    <w:rsid w:val="0082682C"/>
    <w:rsid w:val="00830E83"/>
    <w:rsid w:val="00832C44"/>
    <w:rsid w:val="00832EBF"/>
    <w:rsid w:val="00833D55"/>
    <w:rsid w:val="00835F38"/>
    <w:rsid w:val="00837588"/>
    <w:rsid w:val="00837BEC"/>
    <w:rsid w:val="00840130"/>
    <w:rsid w:val="00840969"/>
    <w:rsid w:val="00841990"/>
    <w:rsid w:val="00841E08"/>
    <w:rsid w:val="00842F47"/>
    <w:rsid w:val="0084313D"/>
    <w:rsid w:val="00843C5E"/>
    <w:rsid w:val="00845546"/>
    <w:rsid w:val="00845662"/>
    <w:rsid w:val="00847118"/>
    <w:rsid w:val="00850CDD"/>
    <w:rsid w:val="00850D04"/>
    <w:rsid w:val="00851CD1"/>
    <w:rsid w:val="00852A6D"/>
    <w:rsid w:val="00854302"/>
    <w:rsid w:val="00855787"/>
    <w:rsid w:val="008560B2"/>
    <w:rsid w:val="008562A6"/>
    <w:rsid w:val="008567D9"/>
    <w:rsid w:val="00857EB1"/>
    <w:rsid w:val="008606A8"/>
    <w:rsid w:val="00863F5F"/>
    <w:rsid w:val="008641D3"/>
    <w:rsid w:val="00864C35"/>
    <w:rsid w:val="00865253"/>
    <w:rsid w:val="0086558B"/>
    <w:rsid w:val="00872DED"/>
    <w:rsid w:val="008733C5"/>
    <w:rsid w:val="00873ECC"/>
    <w:rsid w:val="00875136"/>
    <w:rsid w:val="00875697"/>
    <w:rsid w:val="0087753C"/>
    <w:rsid w:val="0087775C"/>
    <w:rsid w:val="00877AE0"/>
    <w:rsid w:val="00880343"/>
    <w:rsid w:val="008818F1"/>
    <w:rsid w:val="00882183"/>
    <w:rsid w:val="00882346"/>
    <w:rsid w:val="00882C96"/>
    <w:rsid w:val="00883C1C"/>
    <w:rsid w:val="00885511"/>
    <w:rsid w:val="0088578F"/>
    <w:rsid w:val="00885F90"/>
    <w:rsid w:val="00887411"/>
    <w:rsid w:val="00887AAE"/>
    <w:rsid w:val="00890BAD"/>
    <w:rsid w:val="00892B25"/>
    <w:rsid w:val="00892E9D"/>
    <w:rsid w:val="00897734"/>
    <w:rsid w:val="008A06C7"/>
    <w:rsid w:val="008A0A73"/>
    <w:rsid w:val="008A0EDE"/>
    <w:rsid w:val="008A19E4"/>
    <w:rsid w:val="008A2E17"/>
    <w:rsid w:val="008A4EEB"/>
    <w:rsid w:val="008A4F1A"/>
    <w:rsid w:val="008A709D"/>
    <w:rsid w:val="008A795A"/>
    <w:rsid w:val="008B3785"/>
    <w:rsid w:val="008B4B53"/>
    <w:rsid w:val="008B4FF7"/>
    <w:rsid w:val="008B5657"/>
    <w:rsid w:val="008B6961"/>
    <w:rsid w:val="008B7F11"/>
    <w:rsid w:val="008C03DD"/>
    <w:rsid w:val="008C12E4"/>
    <w:rsid w:val="008C132A"/>
    <w:rsid w:val="008C1D1A"/>
    <w:rsid w:val="008C2C5E"/>
    <w:rsid w:val="008C3232"/>
    <w:rsid w:val="008C4D79"/>
    <w:rsid w:val="008C54E4"/>
    <w:rsid w:val="008C654A"/>
    <w:rsid w:val="008C6A5A"/>
    <w:rsid w:val="008C6D71"/>
    <w:rsid w:val="008C6E8E"/>
    <w:rsid w:val="008D00AC"/>
    <w:rsid w:val="008D011C"/>
    <w:rsid w:val="008D023E"/>
    <w:rsid w:val="008D0C93"/>
    <w:rsid w:val="008D1593"/>
    <w:rsid w:val="008D446D"/>
    <w:rsid w:val="008D46BF"/>
    <w:rsid w:val="008D4E30"/>
    <w:rsid w:val="008D51FB"/>
    <w:rsid w:val="008D665D"/>
    <w:rsid w:val="008D6F20"/>
    <w:rsid w:val="008D7646"/>
    <w:rsid w:val="008D79F5"/>
    <w:rsid w:val="008E1F0E"/>
    <w:rsid w:val="008E2457"/>
    <w:rsid w:val="008E2C64"/>
    <w:rsid w:val="008E3523"/>
    <w:rsid w:val="008E516D"/>
    <w:rsid w:val="008E54D6"/>
    <w:rsid w:val="008E5D37"/>
    <w:rsid w:val="008E5E08"/>
    <w:rsid w:val="008E7A5B"/>
    <w:rsid w:val="008E7AA0"/>
    <w:rsid w:val="008E7AD4"/>
    <w:rsid w:val="008F119C"/>
    <w:rsid w:val="008F2125"/>
    <w:rsid w:val="008F483C"/>
    <w:rsid w:val="008F4A44"/>
    <w:rsid w:val="008F7B0D"/>
    <w:rsid w:val="00900902"/>
    <w:rsid w:val="00901323"/>
    <w:rsid w:val="0090266C"/>
    <w:rsid w:val="0090396C"/>
    <w:rsid w:val="00904A53"/>
    <w:rsid w:val="0090572B"/>
    <w:rsid w:val="00906F4D"/>
    <w:rsid w:val="00907979"/>
    <w:rsid w:val="009107D4"/>
    <w:rsid w:val="009108D0"/>
    <w:rsid w:val="009112B8"/>
    <w:rsid w:val="009119CD"/>
    <w:rsid w:val="00911CE5"/>
    <w:rsid w:val="00911E58"/>
    <w:rsid w:val="009142F1"/>
    <w:rsid w:val="009149BC"/>
    <w:rsid w:val="009154D3"/>
    <w:rsid w:val="00915911"/>
    <w:rsid w:val="00915AA0"/>
    <w:rsid w:val="0091695C"/>
    <w:rsid w:val="009204B3"/>
    <w:rsid w:val="009214EA"/>
    <w:rsid w:val="00921536"/>
    <w:rsid w:val="009220BB"/>
    <w:rsid w:val="009226A8"/>
    <w:rsid w:val="009230AD"/>
    <w:rsid w:val="009241DD"/>
    <w:rsid w:val="00924C7B"/>
    <w:rsid w:val="00924E60"/>
    <w:rsid w:val="009254ED"/>
    <w:rsid w:val="009274FA"/>
    <w:rsid w:val="00927A5A"/>
    <w:rsid w:val="00927C0B"/>
    <w:rsid w:val="00930690"/>
    <w:rsid w:val="00931010"/>
    <w:rsid w:val="00933192"/>
    <w:rsid w:val="00935687"/>
    <w:rsid w:val="00935B80"/>
    <w:rsid w:val="00936208"/>
    <w:rsid w:val="00936CD8"/>
    <w:rsid w:val="009378B5"/>
    <w:rsid w:val="00940D53"/>
    <w:rsid w:val="009417B3"/>
    <w:rsid w:val="00941B77"/>
    <w:rsid w:val="00942397"/>
    <w:rsid w:val="0094442A"/>
    <w:rsid w:val="009454E6"/>
    <w:rsid w:val="00945574"/>
    <w:rsid w:val="009458E0"/>
    <w:rsid w:val="009461BB"/>
    <w:rsid w:val="00946496"/>
    <w:rsid w:val="00946C3E"/>
    <w:rsid w:val="00946FE7"/>
    <w:rsid w:val="009476CC"/>
    <w:rsid w:val="00950055"/>
    <w:rsid w:val="0095075E"/>
    <w:rsid w:val="0095145C"/>
    <w:rsid w:val="00951C9A"/>
    <w:rsid w:val="0095331A"/>
    <w:rsid w:val="00953E3B"/>
    <w:rsid w:val="00954605"/>
    <w:rsid w:val="009551B3"/>
    <w:rsid w:val="009552BD"/>
    <w:rsid w:val="009554C6"/>
    <w:rsid w:val="00956FE7"/>
    <w:rsid w:val="00960068"/>
    <w:rsid w:val="0096035C"/>
    <w:rsid w:val="009605EB"/>
    <w:rsid w:val="009605EF"/>
    <w:rsid w:val="00960780"/>
    <w:rsid w:val="00960A7E"/>
    <w:rsid w:val="00962E86"/>
    <w:rsid w:val="009646A7"/>
    <w:rsid w:val="00965581"/>
    <w:rsid w:val="00965931"/>
    <w:rsid w:val="009672E2"/>
    <w:rsid w:val="00967DE3"/>
    <w:rsid w:val="009701F6"/>
    <w:rsid w:val="009702A7"/>
    <w:rsid w:val="009711A5"/>
    <w:rsid w:val="00971C28"/>
    <w:rsid w:val="00971C61"/>
    <w:rsid w:val="009723E1"/>
    <w:rsid w:val="00973289"/>
    <w:rsid w:val="009836B8"/>
    <w:rsid w:val="00984984"/>
    <w:rsid w:val="00984DF1"/>
    <w:rsid w:val="0098615D"/>
    <w:rsid w:val="009873C3"/>
    <w:rsid w:val="009912AF"/>
    <w:rsid w:val="009912C7"/>
    <w:rsid w:val="0099206E"/>
    <w:rsid w:val="00994613"/>
    <w:rsid w:val="00997980"/>
    <w:rsid w:val="009A11DA"/>
    <w:rsid w:val="009A1635"/>
    <w:rsid w:val="009A1DD8"/>
    <w:rsid w:val="009A4B93"/>
    <w:rsid w:val="009A5B5E"/>
    <w:rsid w:val="009A652C"/>
    <w:rsid w:val="009B10EF"/>
    <w:rsid w:val="009B1EA0"/>
    <w:rsid w:val="009B429E"/>
    <w:rsid w:val="009B5407"/>
    <w:rsid w:val="009B5509"/>
    <w:rsid w:val="009B5A89"/>
    <w:rsid w:val="009B681B"/>
    <w:rsid w:val="009C00FC"/>
    <w:rsid w:val="009C012C"/>
    <w:rsid w:val="009C0702"/>
    <w:rsid w:val="009C0BE0"/>
    <w:rsid w:val="009C1185"/>
    <w:rsid w:val="009C1192"/>
    <w:rsid w:val="009C4AE7"/>
    <w:rsid w:val="009C5BF8"/>
    <w:rsid w:val="009C6073"/>
    <w:rsid w:val="009C70C2"/>
    <w:rsid w:val="009C74BB"/>
    <w:rsid w:val="009D098D"/>
    <w:rsid w:val="009D0B94"/>
    <w:rsid w:val="009D0BAD"/>
    <w:rsid w:val="009D100D"/>
    <w:rsid w:val="009D14ED"/>
    <w:rsid w:val="009D1A87"/>
    <w:rsid w:val="009D2121"/>
    <w:rsid w:val="009D38E2"/>
    <w:rsid w:val="009D74A6"/>
    <w:rsid w:val="009D7D3F"/>
    <w:rsid w:val="009E15BC"/>
    <w:rsid w:val="009E2902"/>
    <w:rsid w:val="009E313E"/>
    <w:rsid w:val="009E42FB"/>
    <w:rsid w:val="009E6730"/>
    <w:rsid w:val="009E6881"/>
    <w:rsid w:val="009E707E"/>
    <w:rsid w:val="009E7173"/>
    <w:rsid w:val="009E7D14"/>
    <w:rsid w:val="009F1313"/>
    <w:rsid w:val="009F18EA"/>
    <w:rsid w:val="009F2AB1"/>
    <w:rsid w:val="009F304E"/>
    <w:rsid w:val="009F307D"/>
    <w:rsid w:val="009F323F"/>
    <w:rsid w:val="009F33F5"/>
    <w:rsid w:val="009F4222"/>
    <w:rsid w:val="009F5D6A"/>
    <w:rsid w:val="009F66B6"/>
    <w:rsid w:val="009F703D"/>
    <w:rsid w:val="00A00055"/>
    <w:rsid w:val="00A03E3E"/>
    <w:rsid w:val="00A04110"/>
    <w:rsid w:val="00A04298"/>
    <w:rsid w:val="00A05AE5"/>
    <w:rsid w:val="00A06B73"/>
    <w:rsid w:val="00A072F1"/>
    <w:rsid w:val="00A07FE1"/>
    <w:rsid w:val="00A11301"/>
    <w:rsid w:val="00A12AA0"/>
    <w:rsid w:val="00A13147"/>
    <w:rsid w:val="00A20277"/>
    <w:rsid w:val="00A2059F"/>
    <w:rsid w:val="00A2167C"/>
    <w:rsid w:val="00A2279F"/>
    <w:rsid w:val="00A23A00"/>
    <w:rsid w:val="00A23F28"/>
    <w:rsid w:val="00A25997"/>
    <w:rsid w:val="00A27A3F"/>
    <w:rsid w:val="00A30685"/>
    <w:rsid w:val="00A30D25"/>
    <w:rsid w:val="00A32E3C"/>
    <w:rsid w:val="00A363F1"/>
    <w:rsid w:val="00A366AE"/>
    <w:rsid w:val="00A368EB"/>
    <w:rsid w:val="00A36F1C"/>
    <w:rsid w:val="00A37B2A"/>
    <w:rsid w:val="00A408E8"/>
    <w:rsid w:val="00A40A8B"/>
    <w:rsid w:val="00A414C0"/>
    <w:rsid w:val="00A44019"/>
    <w:rsid w:val="00A4454D"/>
    <w:rsid w:val="00A45C80"/>
    <w:rsid w:val="00A45E10"/>
    <w:rsid w:val="00A477B0"/>
    <w:rsid w:val="00A51B22"/>
    <w:rsid w:val="00A52594"/>
    <w:rsid w:val="00A52C7C"/>
    <w:rsid w:val="00A54776"/>
    <w:rsid w:val="00A54E13"/>
    <w:rsid w:val="00A576FC"/>
    <w:rsid w:val="00A605AF"/>
    <w:rsid w:val="00A607EC"/>
    <w:rsid w:val="00A61319"/>
    <w:rsid w:val="00A6137C"/>
    <w:rsid w:val="00A62B7B"/>
    <w:rsid w:val="00A6393A"/>
    <w:rsid w:val="00A651AD"/>
    <w:rsid w:val="00A65221"/>
    <w:rsid w:val="00A65B2E"/>
    <w:rsid w:val="00A66537"/>
    <w:rsid w:val="00A673C0"/>
    <w:rsid w:val="00A70FD5"/>
    <w:rsid w:val="00A7152B"/>
    <w:rsid w:val="00A735A2"/>
    <w:rsid w:val="00A74822"/>
    <w:rsid w:val="00A74825"/>
    <w:rsid w:val="00A75B82"/>
    <w:rsid w:val="00A76BF4"/>
    <w:rsid w:val="00A77118"/>
    <w:rsid w:val="00A802EC"/>
    <w:rsid w:val="00A8108B"/>
    <w:rsid w:val="00A81822"/>
    <w:rsid w:val="00A81AA8"/>
    <w:rsid w:val="00A81FDE"/>
    <w:rsid w:val="00A82095"/>
    <w:rsid w:val="00A83605"/>
    <w:rsid w:val="00A851A2"/>
    <w:rsid w:val="00A85243"/>
    <w:rsid w:val="00A85350"/>
    <w:rsid w:val="00A85A49"/>
    <w:rsid w:val="00A862AF"/>
    <w:rsid w:val="00A86F08"/>
    <w:rsid w:val="00A87B4F"/>
    <w:rsid w:val="00A913BD"/>
    <w:rsid w:val="00A91923"/>
    <w:rsid w:val="00A92987"/>
    <w:rsid w:val="00A932FF"/>
    <w:rsid w:val="00A95270"/>
    <w:rsid w:val="00A9607C"/>
    <w:rsid w:val="00A9716E"/>
    <w:rsid w:val="00AA0212"/>
    <w:rsid w:val="00AA1FF8"/>
    <w:rsid w:val="00AA385F"/>
    <w:rsid w:val="00AA414A"/>
    <w:rsid w:val="00AA4486"/>
    <w:rsid w:val="00AA46A5"/>
    <w:rsid w:val="00AA51A5"/>
    <w:rsid w:val="00AA58C3"/>
    <w:rsid w:val="00AA58F3"/>
    <w:rsid w:val="00AA6331"/>
    <w:rsid w:val="00AA6DA2"/>
    <w:rsid w:val="00AA6F00"/>
    <w:rsid w:val="00AA6F74"/>
    <w:rsid w:val="00AA7357"/>
    <w:rsid w:val="00AB04EA"/>
    <w:rsid w:val="00AB1ADB"/>
    <w:rsid w:val="00AB2F27"/>
    <w:rsid w:val="00AB3497"/>
    <w:rsid w:val="00AB44DF"/>
    <w:rsid w:val="00AB5EC2"/>
    <w:rsid w:val="00AB675D"/>
    <w:rsid w:val="00AB786C"/>
    <w:rsid w:val="00AB7DDA"/>
    <w:rsid w:val="00AC05E0"/>
    <w:rsid w:val="00AC0875"/>
    <w:rsid w:val="00AC1929"/>
    <w:rsid w:val="00AC2790"/>
    <w:rsid w:val="00AC2C2A"/>
    <w:rsid w:val="00AC2C6F"/>
    <w:rsid w:val="00AC3238"/>
    <w:rsid w:val="00AC53A6"/>
    <w:rsid w:val="00AC7F0F"/>
    <w:rsid w:val="00AD0224"/>
    <w:rsid w:val="00AD1E88"/>
    <w:rsid w:val="00AD2E6F"/>
    <w:rsid w:val="00AD32B5"/>
    <w:rsid w:val="00AD3722"/>
    <w:rsid w:val="00AD3A9E"/>
    <w:rsid w:val="00AD403D"/>
    <w:rsid w:val="00AD5C3D"/>
    <w:rsid w:val="00AD5DCB"/>
    <w:rsid w:val="00AD667C"/>
    <w:rsid w:val="00AD7D0C"/>
    <w:rsid w:val="00AE1668"/>
    <w:rsid w:val="00AE20B0"/>
    <w:rsid w:val="00AE2FA6"/>
    <w:rsid w:val="00AE40A8"/>
    <w:rsid w:val="00AE714F"/>
    <w:rsid w:val="00AF08BD"/>
    <w:rsid w:val="00AF0E01"/>
    <w:rsid w:val="00AF16AB"/>
    <w:rsid w:val="00AF2AED"/>
    <w:rsid w:val="00AF3128"/>
    <w:rsid w:val="00AF3D54"/>
    <w:rsid w:val="00AF6F45"/>
    <w:rsid w:val="00AF712A"/>
    <w:rsid w:val="00B002C1"/>
    <w:rsid w:val="00B00F6D"/>
    <w:rsid w:val="00B011C5"/>
    <w:rsid w:val="00B019F9"/>
    <w:rsid w:val="00B02232"/>
    <w:rsid w:val="00B02BB1"/>
    <w:rsid w:val="00B02FD1"/>
    <w:rsid w:val="00B04C7F"/>
    <w:rsid w:val="00B0546A"/>
    <w:rsid w:val="00B07772"/>
    <w:rsid w:val="00B0789F"/>
    <w:rsid w:val="00B102FC"/>
    <w:rsid w:val="00B10D7E"/>
    <w:rsid w:val="00B11B2E"/>
    <w:rsid w:val="00B1332D"/>
    <w:rsid w:val="00B13E72"/>
    <w:rsid w:val="00B14430"/>
    <w:rsid w:val="00B16A80"/>
    <w:rsid w:val="00B1706A"/>
    <w:rsid w:val="00B1735E"/>
    <w:rsid w:val="00B179E0"/>
    <w:rsid w:val="00B17D52"/>
    <w:rsid w:val="00B21232"/>
    <w:rsid w:val="00B219C6"/>
    <w:rsid w:val="00B22AC3"/>
    <w:rsid w:val="00B23734"/>
    <w:rsid w:val="00B245C0"/>
    <w:rsid w:val="00B25EAD"/>
    <w:rsid w:val="00B2637D"/>
    <w:rsid w:val="00B26A42"/>
    <w:rsid w:val="00B27957"/>
    <w:rsid w:val="00B27D85"/>
    <w:rsid w:val="00B27E2B"/>
    <w:rsid w:val="00B27FB1"/>
    <w:rsid w:val="00B31629"/>
    <w:rsid w:val="00B32297"/>
    <w:rsid w:val="00B32482"/>
    <w:rsid w:val="00B342D1"/>
    <w:rsid w:val="00B353DD"/>
    <w:rsid w:val="00B35695"/>
    <w:rsid w:val="00B357D6"/>
    <w:rsid w:val="00B36AC9"/>
    <w:rsid w:val="00B40CF8"/>
    <w:rsid w:val="00B436AE"/>
    <w:rsid w:val="00B47D64"/>
    <w:rsid w:val="00B51C3D"/>
    <w:rsid w:val="00B521CB"/>
    <w:rsid w:val="00B53A8C"/>
    <w:rsid w:val="00B550A5"/>
    <w:rsid w:val="00B55273"/>
    <w:rsid w:val="00B55297"/>
    <w:rsid w:val="00B56976"/>
    <w:rsid w:val="00B572A0"/>
    <w:rsid w:val="00B6030B"/>
    <w:rsid w:val="00B6046B"/>
    <w:rsid w:val="00B614F0"/>
    <w:rsid w:val="00B61A37"/>
    <w:rsid w:val="00B6238E"/>
    <w:rsid w:val="00B62E2C"/>
    <w:rsid w:val="00B6327B"/>
    <w:rsid w:val="00B64101"/>
    <w:rsid w:val="00B654A8"/>
    <w:rsid w:val="00B655CF"/>
    <w:rsid w:val="00B66611"/>
    <w:rsid w:val="00B67384"/>
    <w:rsid w:val="00B709DF"/>
    <w:rsid w:val="00B725C1"/>
    <w:rsid w:val="00B72831"/>
    <w:rsid w:val="00B735C1"/>
    <w:rsid w:val="00B73D81"/>
    <w:rsid w:val="00B74B86"/>
    <w:rsid w:val="00B75B1F"/>
    <w:rsid w:val="00B762A1"/>
    <w:rsid w:val="00B76DA2"/>
    <w:rsid w:val="00B77242"/>
    <w:rsid w:val="00B77D28"/>
    <w:rsid w:val="00B77E7A"/>
    <w:rsid w:val="00B82E50"/>
    <w:rsid w:val="00B839E4"/>
    <w:rsid w:val="00B84561"/>
    <w:rsid w:val="00B8482B"/>
    <w:rsid w:val="00B84CB7"/>
    <w:rsid w:val="00B85297"/>
    <w:rsid w:val="00B86121"/>
    <w:rsid w:val="00B86744"/>
    <w:rsid w:val="00B86ED0"/>
    <w:rsid w:val="00B875FD"/>
    <w:rsid w:val="00B8764A"/>
    <w:rsid w:val="00B87CC9"/>
    <w:rsid w:val="00B91E6F"/>
    <w:rsid w:val="00B93A4A"/>
    <w:rsid w:val="00B94416"/>
    <w:rsid w:val="00B947E1"/>
    <w:rsid w:val="00B96F2A"/>
    <w:rsid w:val="00B97A78"/>
    <w:rsid w:val="00B97D53"/>
    <w:rsid w:val="00BA0BBC"/>
    <w:rsid w:val="00BA0C63"/>
    <w:rsid w:val="00BA0E23"/>
    <w:rsid w:val="00BA2964"/>
    <w:rsid w:val="00BA2AD7"/>
    <w:rsid w:val="00BA2F8C"/>
    <w:rsid w:val="00BA3373"/>
    <w:rsid w:val="00BA3C08"/>
    <w:rsid w:val="00BA43A2"/>
    <w:rsid w:val="00BA5228"/>
    <w:rsid w:val="00BA5B9B"/>
    <w:rsid w:val="00BA7373"/>
    <w:rsid w:val="00BA73A1"/>
    <w:rsid w:val="00BA73F4"/>
    <w:rsid w:val="00BA7B37"/>
    <w:rsid w:val="00BA7F77"/>
    <w:rsid w:val="00BB0141"/>
    <w:rsid w:val="00BB01FC"/>
    <w:rsid w:val="00BB0A30"/>
    <w:rsid w:val="00BB1402"/>
    <w:rsid w:val="00BB1EDA"/>
    <w:rsid w:val="00BB5B18"/>
    <w:rsid w:val="00BB6281"/>
    <w:rsid w:val="00BB7515"/>
    <w:rsid w:val="00BB7644"/>
    <w:rsid w:val="00BC1092"/>
    <w:rsid w:val="00BC1FB1"/>
    <w:rsid w:val="00BC2645"/>
    <w:rsid w:val="00BC2DCB"/>
    <w:rsid w:val="00BC3C95"/>
    <w:rsid w:val="00BC4D59"/>
    <w:rsid w:val="00BC4F46"/>
    <w:rsid w:val="00BC5C30"/>
    <w:rsid w:val="00BC5F98"/>
    <w:rsid w:val="00BC7289"/>
    <w:rsid w:val="00BC7862"/>
    <w:rsid w:val="00BD1688"/>
    <w:rsid w:val="00BD34E4"/>
    <w:rsid w:val="00BD3BEA"/>
    <w:rsid w:val="00BD7975"/>
    <w:rsid w:val="00BE0B41"/>
    <w:rsid w:val="00BE1156"/>
    <w:rsid w:val="00BE168C"/>
    <w:rsid w:val="00BE1B65"/>
    <w:rsid w:val="00BE3CFC"/>
    <w:rsid w:val="00BE42D5"/>
    <w:rsid w:val="00BE4B19"/>
    <w:rsid w:val="00BE53BD"/>
    <w:rsid w:val="00BE6615"/>
    <w:rsid w:val="00BE7A3C"/>
    <w:rsid w:val="00BE7BBE"/>
    <w:rsid w:val="00BF0254"/>
    <w:rsid w:val="00BF0E78"/>
    <w:rsid w:val="00BF0E93"/>
    <w:rsid w:val="00BF3568"/>
    <w:rsid w:val="00BF76DE"/>
    <w:rsid w:val="00C02549"/>
    <w:rsid w:val="00C03B52"/>
    <w:rsid w:val="00C03D05"/>
    <w:rsid w:val="00C04156"/>
    <w:rsid w:val="00C04CD4"/>
    <w:rsid w:val="00C06912"/>
    <w:rsid w:val="00C07042"/>
    <w:rsid w:val="00C0782F"/>
    <w:rsid w:val="00C11B8D"/>
    <w:rsid w:val="00C12984"/>
    <w:rsid w:val="00C12CE4"/>
    <w:rsid w:val="00C12F55"/>
    <w:rsid w:val="00C134DA"/>
    <w:rsid w:val="00C14848"/>
    <w:rsid w:val="00C14908"/>
    <w:rsid w:val="00C14C7E"/>
    <w:rsid w:val="00C15633"/>
    <w:rsid w:val="00C16237"/>
    <w:rsid w:val="00C22847"/>
    <w:rsid w:val="00C22ED2"/>
    <w:rsid w:val="00C23241"/>
    <w:rsid w:val="00C24141"/>
    <w:rsid w:val="00C24569"/>
    <w:rsid w:val="00C25FAB"/>
    <w:rsid w:val="00C2626E"/>
    <w:rsid w:val="00C26355"/>
    <w:rsid w:val="00C26B43"/>
    <w:rsid w:val="00C2763F"/>
    <w:rsid w:val="00C30298"/>
    <w:rsid w:val="00C3039C"/>
    <w:rsid w:val="00C30C86"/>
    <w:rsid w:val="00C346FA"/>
    <w:rsid w:val="00C34A9F"/>
    <w:rsid w:val="00C35281"/>
    <w:rsid w:val="00C37099"/>
    <w:rsid w:val="00C3734B"/>
    <w:rsid w:val="00C373E9"/>
    <w:rsid w:val="00C3753A"/>
    <w:rsid w:val="00C375AA"/>
    <w:rsid w:val="00C40C98"/>
    <w:rsid w:val="00C40E1F"/>
    <w:rsid w:val="00C420CE"/>
    <w:rsid w:val="00C42514"/>
    <w:rsid w:val="00C45211"/>
    <w:rsid w:val="00C45B45"/>
    <w:rsid w:val="00C45E3C"/>
    <w:rsid w:val="00C45ECA"/>
    <w:rsid w:val="00C46029"/>
    <w:rsid w:val="00C460E0"/>
    <w:rsid w:val="00C466E6"/>
    <w:rsid w:val="00C46CEA"/>
    <w:rsid w:val="00C46F11"/>
    <w:rsid w:val="00C5287C"/>
    <w:rsid w:val="00C53059"/>
    <w:rsid w:val="00C5324C"/>
    <w:rsid w:val="00C53C09"/>
    <w:rsid w:val="00C53D2B"/>
    <w:rsid w:val="00C53D42"/>
    <w:rsid w:val="00C53F81"/>
    <w:rsid w:val="00C5420B"/>
    <w:rsid w:val="00C545AF"/>
    <w:rsid w:val="00C5541A"/>
    <w:rsid w:val="00C5587E"/>
    <w:rsid w:val="00C5588A"/>
    <w:rsid w:val="00C56464"/>
    <w:rsid w:val="00C56BAB"/>
    <w:rsid w:val="00C576ED"/>
    <w:rsid w:val="00C60613"/>
    <w:rsid w:val="00C61FD9"/>
    <w:rsid w:val="00C63345"/>
    <w:rsid w:val="00C6381A"/>
    <w:rsid w:val="00C642DC"/>
    <w:rsid w:val="00C649B6"/>
    <w:rsid w:val="00C64EEC"/>
    <w:rsid w:val="00C65EDE"/>
    <w:rsid w:val="00C66261"/>
    <w:rsid w:val="00C6647E"/>
    <w:rsid w:val="00C67A62"/>
    <w:rsid w:val="00C703E4"/>
    <w:rsid w:val="00C704EF"/>
    <w:rsid w:val="00C71DC6"/>
    <w:rsid w:val="00C720C2"/>
    <w:rsid w:val="00C720EC"/>
    <w:rsid w:val="00C73153"/>
    <w:rsid w:val="00C733B3"/>
    <w:rsid w:val="00C7367F"/>
    <w:rsid w:val="00C74B36"/>
    <w:rsid w:val="00C74E14"/>
    <w:rsid w:val="00C7698F"/>
    <w:rsid w:val="00C76E7F"/>
    <w:rsid w:val="00C77630"/>
    <w:rsid w:val="00C80EEA"/>
    <w:rsid w:val="00C82EF0"/>
    <w:rsid w:val="00C83268"/>
    <w:rsid w:val="00C861F1"/>
    <w:rsid w:val="00C86D86"/>
    <w:rsid w:val="00C87783"/>
    <w:rsid w:val="00C87CC6"/>
    <w:rsid w:val="00C916A3"/>
    <w:rsid w:val="00C91EA6"/>
    <w:rsid w:val="00C92F49"/>
    <w:rsid w:val="00C930E2"/>
    <w:rsid w:val="00C931F5"/>
    <w:rsid w:val="00C93680"/>
    <w:rsid w:val="00C936A9"/>
    <w:rsid w:val="00C9521F"/>
    <w:rsid w:val="00C9584C"/>
    <w:rsid w:val="00C97B8B"/>
    <w:rsid w:val="00CA1510"/>
    <w:rsid w:val="00CA54B6"/>
    <w:rsid w:val="00CA68A0"/>
    <w:rsid w:val="00CA6A3E"/>
    <w:rsid w:val="00CA6C67"/>
    <w:rsid w:val="00CA6D6D"/>
    <w:rsid w:val="00CA73D7"/>
    <w:rsid w:val="00CA79C7"/>
    <w:rsid w:val="00CB0D39"/>
    <w:rsid w:val="00CB1460"/>
    <w:rsid w:val="00CB19C9"/>
    <w:rsid w:val="00CB1F49"/>
    <w:rsid w:val="00CB39FE"/>
    <w:rsid w:val="00CB3C51"/>
    <w:rsid w:val="00CB48D4"/>
    <w:rsid w:val="00CB4B6E"/>
    <w:rsid w:val="00CB4C8C"/>
    <w:rsid w:val="00CB663C"/>
    <w:rsid w:val="00CB7439"/>
    <w:rsid w:val="00CC0490"/>
    <w:rsid w:val="00CC07FA"/>
    <w:rsid w:val="00CC0A4D"/>
    <w:rsid w:val="00CC183D"/>
    <w:rsid w:val="00CC1909"/>
    <w:rsid w:val="00CC31F6"/>
    <w:rsid w:val="00CC4241"/>
    <w:rsid w:val="00CC49E4"/>
    <w:rsid w:val="00CC5A43"/>
    <w:rsid w:val="00CC5D03"/>
    <w:rsid w:val="00CC5FAA"/>
    <w:rsid w:val="00CC6428"/>
    <w:rsid w:val="00CC7FE1"/>
    <w:rsid w:val="00CD00B1"/>
    <w:rsid w:val="00CD0AE1"/>
    <w:rsid w:val="00CD17CE"/>
    <w:rsid w:val="00CD1A95"/>
    <w:rsid w:val="00CD22FD"/>
    <w:rsid w:val="00CD2DFE"/>
    <w:rsid w:val="00CD4C3B"/>
    <w:rsid w:val="00CD5390"/>
    <w:rsid w:val="00CD69BB"/>
    <w:rsid w:val="00CD6EFB"/>
    <w:rsid w:val="00CD7184"/>
    <w:rsid w:val="00CD74B0"/>
    <w:rsid w:val="00CE3090"/>
    <w:rsid w:val="00CE3A44"/>
    <w:rsid w:val="00CE3D0B"/>
    <w:rsid w:val="00CE457D"/>
    <w:rsid w:val="00CE5D09"/>
    <w:rsid w:val="00CE5EEE"/>
    <w:rsid w:val="00CE7562"/>
    <w:rsid w:val="00CE7A99"/>
    <w:rsid w:val="00CE7C3D"/>
    <w:rsid w:val="00CE7DB2"/>
    <w:rsid w:val="00CF0D80"/>
    <w:rsid w:val="00CF0F3B"/>
    <w:rsid w:val="00CF1587"/>
    <w:rsid w:val="00CF15DC"/>
    <w:rsid w:val="00CF1A90"/>
    <w:rsid w:val="00CF2526"/>
    <w:rsid w:val="00CF2622"/>
    <w:rsid w:val="00CF2DB3"/>
    <w:rsid w:val="00CF2E1A"/>
    <w:rsid w:val="00CF334B"/>
    <w:rsid w:val="00CF33FB"/>
    <w:rsid w:val="00CF4AF5"/>
    <w:rsid w:val="00CF51B2"/>
    <w:rsid w:val="00CF545C"/>
    <w:rsid w:val="00CF6038"/>
    <w:rsid w:val="00CF60AF"/>
    <w:rsid w:val="00CF6F7B"/>
    <w:rsid w:val="00CF7B52"/>
    <w:rsid w:val="00D0301E"/>
    <w:rsid w:val="00D04B3D"/>
    <w:rsid w:val="00D04FF7"/>
    <w:rsid w:val="00D06718"/>
    <w:rsid w:val="00D07AA0"/>
    <w:rsid w:val="00D07AB9"/>
    <w:rsid w:val="00D10AEB"/>
    <w:rsid w:val="00D11C45"/>
    <w:rsid w:val="00D12BE4"/>
    <w:rsid w:val="00D135F0"/>
    <w:rsid w:val="00D144E1"/>
    <w:rsid w:val="00D14566"/>
    <w:rsid w:val="00D14CF1"/>
    <w:rsid w:val="00D14DEA"/>
    <w:rsid w:val="00D15D3B"/>
    <w:rsid w:val="00D16D15"/>
    <w:rsid w:val="00D201FC"/>
    <w:rsid w:val="00D20704"/>
    <w:rsid w:val="00D224E1"/>
    <w:rsid w:val="00D231B9"/>
    <w:rsid w:val="00D23825"/>
    <w:rsid w:val="00D238F8"/>
    <w:rsid w:val="00D24991"/>
    <w:rsid w:val="00D24BF0"/>
    <w:rsid w:val="00D268AE"/>
    <w:rsid w:val="00D30044"/>
    <w:rsid w:val="00D3004E"/>
    <w:rsid w:val="00D300A8"/>
    <w:rsid w:val="00D30F36"/>
    <w:rsid w:val="00D31A10"/>
    <w:rsid w:val="00D32368"/>
    <w:rsid w:val="00D32FFF"/>
    <w:rsid w:val="00D331C8"/>
    <w:rsid w:val="00D3345C"/>
    <w:rsid w:val="00D337F7"/>
    <w:rsid w:val="00D339BD"/>
    <w:rsid w:val="00D33ED6"/>
    <w:rsid w:val="00D34F8A"/>
    <w:rsid w:val="00D36133"/>
    <w:rsid w:val="00D37CAC"/>
    <w:rsid w:val="00D40861"/>
    <w:rsid w:val="00D41A46"/>
    <w:rsid w:val="00D41A5E"/>
    <w:rsid w:val="00D4253E"/>
    <w:rsid w:val="00D42734"/>
    <w:rsid w:val="00D42C30"/>
    <w:rsid w:val="00D4463D"/>
    <w:rsid w:val="00D4479E"/>
    <w:rsid w:val="00D448CA"/>
    <w:rsid w:val="00D44F3E"/>
    <w:rsid w:val="00D4582B"/>
    <w:rsid w:val="00D46AFF"/>
    <w:rsid w:val="00D50001"/>
    <w:rsid w:val="00D5013C"/>
    <w:rsid w:val="00D543F5"/>
    <w:rsid w:val="00D54E0E"/>
    <w:rsid w:val="00D5539E"/>
    <w:rsid w:val="00D55447"/>
    <w:rsid w:val="00D5659C"/>
    <w:rsid w:val="00D56BA3"/>
    <w:rsid w:val="00D611DB"/>
    <w:rsid w:val="00D61713"/>
    <w:rsid w:val="00D64434"/>
    <w:rsid w:val="00D65BE3"/>
    <w:rsid w:val="00D67B4F"/>
    <w:rsid w:val="00D7078E"/>
    <w:rsid w:val="00D70B64"/>
    <w:rsid w:val="00D71DD3"/>
    <w:rsid w:val="00D72034"/>
    <w:rsid w:val="00D72C5F"/>
    <w:rsid w:val="00D73230"/>
    <w:rsid w:val="00D7356E"/>
    <w:rsid w:val="00D75336"/>
    <w:rsid w:val="00D75A44"/>
    <w:rsid w:val="00D76C4B"/>
    <w:rsid w:val="00D777A1"/>
    <w:rsid w:val="00D81E12"/>
    <w:rsid w:val="00D82855"/>
    <w:rsid w:val="00D84628"/>
    <w:rsid w:val="00D84A57"/>
    <w:rsid w:val="00D84B9E"/>
    <w:rsid w:val="00D84BD7"/>
    <w:rsid w:val="00D84E93"/>
    <w:rsid w:val="00D8534D"/>
    <w:rsid w:val="00D875C7"/>
    <w:rsid w:val="00D87838"/>
    <w:rsid w:val="00D912FA"/>
    <w:rsid w:val="00D915B2"/>
    <w:rsid w:val="00D9173D"/>
    <w:rsid w:val="00D9181A"/>
    <w:rsid w:val="00D9199F"/>
    <w:rsid w:val="00D929C5"/>
    <w:rsid w:val="00D92E1F"/>
    <w:rsid w:val="00D92FB3"/>
    <w:rsid w:val="00D93777"/>
    <w:rsid w:val="00D9422A"/>
    <w:rsid w:val="00D9442A"/>
    <w:rsid w:val="00D9653A"/>
    <w:rsid w:val="00D97CD2"/>
    <w:rsid w:val="00DA2781"/>
    <w:rsid w:val="00DA4E93"/>
    <w:rsid w:val="00DA4F1D"/>
    <w:rsid w:val="00DA7E8F"/>
    <w:rsid w:val="00DB024B"/>
    <w:rsid w:val="00DB0691"/>
    <w:rsid w:val="00DB0B92"/>
    <w:rsid w:val="00DB23F4"/>
    <w:rsid w:val="00DB2ECE"/>
    <w:rsid w:val="00DB42D4"/>
    <w:rsid w:val="00DB453B"/>
    <w:rsid w:val="00DB4A82"/>
    <w:rsid w:val="00DB50A5"/>
    <w:rsid w:val="00DB59BE"/>
    <w:rsid w:val="00DB675B"/>
    <w:rsid w:val="00DB7071"/>
    <w:rsid w:val="00DB7929"/>
    <w:rsid w:val="00DB796E"/>
    <w:rsid w:val="00DC03C8"/>
    <w:rsid w:val="00DC0595"/>
    <w:rsid w:val="00DC1098"/>
    <w:rsid w:val="00DC1419"/>
    <w:rsid w:val="00DC1487"/>
    <w:rsid w:val="00DC21CE"/>
    <w:rsid w:val="00DC230D"/>
    <w:rsid w:val="00DC322E"/>
    <w:rsid w:val="00DC4D3F"/>
    <w:rsid w:val="00DC5E52"/>
    <w:rsid w:val="00DC693C"/>
    <w:rsid w:val="00DC7A2B"/>
    <w:rsid w:val="00DD2399"/>
    <w:rsid w:val="00DD2402"/>
    <w:rsid w:val="00DD2800"/>
    <w:rsid w:val="00DD2A65"/>
    <w:rsid w:val="00DD2A71"/>
    <w:rsid w:val="00DD3230"/>
    <w:rsid w:val="00DD3878"/>
    <w:rsid w:val="00DD4E81"/>
    <w:rsid w:val="00DD726D"/>
    <w:rsid w:val="00DD7EB9"/>
    <w:rsid w:val="00DE0299"/>
    <w:rsid w:val="00DE071B"/>
    <w:rsid w:val="00DE0989"/>
    <w:rsid w:val="00DE0B5B"/>
    <w:rsid w:val="00DE13D2"/>
    <w:rsid w:val="00DE19F5"/>
    <w:rsid w:val="00DE503A"/>
    <w:rsid w:val="00DE5F09"/>
    <w:rsid w:val="00DF027A"/>
    <w:rsid w:val="00DF1DA8"/>
    <w:rsid w:val="00DF2BAB"/>
    <w:rsid w:val="00DF2E7A"/>
    <w:rsid w:val="00DF37E2"/>
    <w:rsid w:val="00DF459A"/>
    <w:rsid w:val="00DF4797"/>
    <w:rsid w:val="00DF4D09"/>
    <w:rsid w:val="00DF5881"/>
    <w:rsid w:val="00E00321"/>
    <w:rsid w:val="00E003FC"/>
    <w:rsid w:val="00E0082F"/>
    <w:rsid w:val="00E00E17"/>
    <w:rsid w:val="00E0174D"/>
    <w:rsid w:val="00E0294D"/>
    <w:rsid w:val="00E034AD"/>
    <w:rsid w:val="00E0436C"/>
    <w:rsid w:val="00E0436E"/>
    <w:rsid w:val="00E054E1"/>
    <w:rsid w:val="00E05A6F"/>
    <w:rsid w:val="00E06A0D"/>
    <w:rsid w:val="00E06A83"/>
    <w:rsid w:val="00E07347"/>
    <w:rsid w:val="00E0756D"/>
    <w:rsid w:val="00E07952"/>
    <w:rsid w:val="00E07AF0"/>
    <w:rsid w:val="00E07F76"/>
    <w:rsid w:val="00E101FE"/>
    <w:rsid w:val="00E11878"/>
    <w:rsid w:val="00E11CF6"/>
    <w:rsid w:val="00E11D0E"/>
    <w:rsid w:val="00E127EF"/>
    <w:rsid w:val="00E130AE"/>
    <w:rsid w:val="00E145C6"/>
    <w:rsid w:val="00E14606"/>
    <w:rsid w:val="00E14F53"/>
    <w:rsid w:val="00E153AA"/>
    <w:rsid w:val="00E15D92"/>
    <w:rsid w:val="00E16616"/>
    <w:rsid w:val="00E208EA"/>
    <w:rsid w:val="00E211FA"/>
    <w:rsid w:val="00E22469"/>
    <w:rsid w:val="00E238C8"/>
    <w:rsid w:val="00E24018"/>
    <w:rsid w:val="00E24B57"/>
    <w:rsid w:val="00E2512A"/>
    <w:rsid w:val="00E2522D"/>
    <w:rsid w:val="00E26924"/>
    <w:rsid w:val="00E27B28"/>
    <w:rsid w:val="00E30DB6"/>
    <w:rsid w:val="00E31A9E"/>
    <w:rsid w:val="00E31FD3"/>
    <w:rsid w:val="00E331A0"/>
    <w:rsid w:val="00E3331D"/>
    <w:rsid w:val="00E33CA2"/>
    <w:rsid w:val="00E33E37"/>
    <w:rsid w:val="00E34800"/>
    <w:rsid w:val="00E37E75"/>
    <w:rsid w:val="00E4094E"/>
    <w:rsid w:val="00E41C64"/>
    <w:rsid w:val="00E42424"/>
    <w:rsid w:val="00E44424"/>
    <w:rsid w:val="00E45851"/>
    <w:rsid w:val="00E459B7"/>
    <w:rsid w:val="00E4607B"/>
    <w:rsid w:val="00E46276"/>
    <w:rsid w:val="00E46B32"/>
    <w:rsid w:val="00E46E74"/>
    <w:rsid w:val="00E47A19"/>
    <w:rsid w:val="00E47F14"/>
    <w:rsid w:val="00E51119"/>
    <w:rsid w:val="00E51B79"/>
    <w:rsid w:val="00E52C28"/>
    <w:rsid w:val="00E54EE3"/>
    <w:rsid w:val="00E556DB"/>
    <w:rsid w:val="00E55731"/>
    <w:rsid w:val="00E55B49"/>
    <w:rsid w:val="00E55C57"/>
    <w:rsid w:val="00E5648F"/>
    <w:rsid w:val="00E5783A"/>
    <w:rsid w:val="00E57BB7"/>
    <w:rsid w:val="00E6074E"/>
    <w:rsid w:val="00E60D9E"/>
    <w:rsid w:val="00E610C7"/>
    <w:rsid w:val="00E623B3"/>
    <w:rsid w:val="00E62E7E"/>
    <w:rsid w:val="00E63F07"/>
    <w:rsid w:val="00E6413A"/>
    <w:rsid w:val="00E64564"/>
    <w:rsid w:val="00E652F7"/>
    <w:rsid w:val="00E653D9"/>
    <w:rsid w:val="00E66B8A"/>
    <w:rsid w:val="00E701CD"/>
    <w:rsid w:val="00E70897"/>
    <w:rsid w:val="00E71C8D"/>
    <w:rsid w:val="00E728F0"/>
    <w:rsid w:val="00E73354"/>
    <w:rsid w:val="00E744B6"/>
    <w:rsid w:val="00E75026"/>
    <w:rsid w:val="00E75E87"/>
    <w:rsid w:val="00E77770"/>
    <w:rsid w:val="00E77FB3"/>
    <w:rsid w:val="00E81662"/>
    <w:rsid w:val="00E83BD9"/>
    <w:rsid w:val="00E840BB"/>
    <w:rsid w:val="00E84462"/>
    <w:rsid w:val="00E86794"/>
    <w:rsid w:val="00E867F0"/>
    <w:rsid w:val="00E86BD1"/>
    <w:rsid w:val="00E8796C"/>
    <w:rsid w:val="00E9059A"/>
    <w:rsid w:val="00E92CD3"/>
    <w:rsid w:val="00E9384A"/>
    <w:rsid w:val="00E94B4D"/>
    <w:rsid w:val="00E94C20"/>
    <w:rsid w:val="00E94F8C"/>
    <w:rsid w:val="00E973A7"/>
    <w:rsid w:val="00E97667"/>
    <w:rsid w:val="00E97807"/>
    <w:rsid w:val="00E97EE5"/>
    <w:rsid w:val="00EA02FA"/>
    <w:rsid w:val="00EA29AB"/>
    <w:rsid w:val="00EA2D32"/>
    <w:rsid w:val="00EA37C1"/>
    <w:rsid w:val="00EA429E"/>
    <w:rsid w:val="00EA4372"/>
    <w:rsid w:val="00EA58D7"/>
    <w:rsid w:val="00EA70B9"/>
    <w:rsid w:val="00EA7676"/>
    <w:rsid w:val="00EA7FC1"/>
    <w:rsid w:val="00EB1D6A"/>
    <w:rsid w:val="00EB59AF"/>
    <w:rsid w:val="00EB5A33"/>
    <w:rsid w:val="00EB5CD7"/>
    <w:rsid w:val="00EB5F3D"/>
    <w:rsid w:val="00EB718E"/>
    <w:rsid w:val="00EB7E60"/>
    <w:rsid w:val="00EC0AAF"/>
    <w:rsid w:val="00EC3416"/>
    <w:rsid w:val="00EC3836"/>
    <w:rsid w:val="00EC3BD8"/>
    <w:rsid w:val="00EC4346"/>
    <w:rsid w:val="00EC4B66"/>
    <w:rsid w:val="00EC6782"/>
    <w:rsid w:val="00ED005A"/>
    <w:rsid w:val="00ED1C2F"/>
    <w:rsid w:val="00ED1E63"/>
    <w:rsid w:val="00ED4171"/>
    <w:rsid w:val="00ED4228"/>
    <w:rsid w:val="00ED43A3"/>
    <w:rsid w:val="00ED62D3"/>
    <w:rsid w:val="00ED6856"/>
    <w:rsid w:val="00ED76A4"/>
    <w:rsid w:val="00ED7DE3"/>
    <w:rsid w:val="00EE1128"/>
    <w:rsid w:val="00EE194F"/>
    <w:rsid w:val="00EE1EAC"/>
    <w:rsid w:val="00EE2643"/>
    <w:rsid w:val="00EE36BB"/>
    <w:rsid w:val="00EE429B"/>
    <w:rsid w:val="00EE4DDC"/>
    <w:rsid w:val="00EE4F0E"/>
    <w:rsid w:val="00EE584D"/>
    <w:rsid w:val="00EE5CF5"/>
    <w:rsid w:val="00EE6196"/>
    <w:rsid w:val="00EE627A"/>
    <w:rsid w:val="00EE6364"/>
    <w:rsid w:val="00EE6B1E"/>
    <w:rsid w:val="00EE6E1E"/>
    <w:rsid w:val="00EE6F8D"/>
    <w:rsid w:val="00EE7F38"/>
    <w:rsid w:val="00EF0659"/>
    <w:rsid w:val="00EF0A25"/>
    <w:rsid w:val="00EF0AFC"/>
    <w:rsid w:val="00EF119D"/>
    <w:rsid w:val="00EF3DD4"/>
    <w:rsid w:val="00EF3FEC"/>
    <w:rsid w:val="00EF4749"/>
    <w:rsid w:val="00EF6227"/>
    <w:rsid w:val="00EF6313"/>
    <w:rsid w:val="00EF64F3"/>
    <w:rsid w:val="00EF6608"/>
    <w:rsid w:val="00EF68C4"/>
    <w:rsid w:val="00EF783F"/>
    <w:rsid w:val="00F0027C"/>
    <w:rsid w:val="00F00FB1"/>
    <w:rsid w:val="00F0180F"/>
    <w:rsid w:val="00F01983"/>
    <w:rsid w:val="00F033BA"/>
    <w:rsid w:val="00F034E2"/>
    <w:rsid w:val="00F03511"/>
    <w:rsid w:val="00F03629"/>
    <w:rsid w:val="00F05505"/>
    <w:rsid w:val="00F05DBF"/>
    <w:rsid w:val="00F05E2C"/>
    <w:rsid w:val="00F0707D"/>
    <w:rsid w:val="00F102B4"/>
    <w:rsid w:val="00F106E9"/>
    <w:rsid w:val="00F10928"/>
    <w:rsid w:val="00F1192F"/>
    <w:rsid w:val="00F119F1"/>
    <w:rsid w:val="00F131A8"/>
    <w:rsid w:val="00F1373E"/>
    <w:rsid w:val="00F13E7B"/>
    <w:rsid w:val="00F142BC"/>
    <w:rsid w:val="00F14DD2"/>
    <w:rsid w:val="00F15179"/>
    <w:rsid w:val="00F153A6"/>
    <w:rsid w:val="00F16552"/>
    <w:rsid w:val="00F1751A"/>
    <w:rsid w:val="00F218E8"/>
    <w:rsid w:val="00F22286"/>
    <w:rsid w:val="00F2286E"/>
    <w:rsid w:val="00F22C48"/>
    <w:rsid w:val="00F255FA"/>
    <w:rsid w:val="00F25883"/>
    <w:rsid w:val="00F26E82"/>
    <w:rsid w:val="00F27B3D"/>
    <w:rsid w:val="00F3032F"/>
    <w:rsid w:val="00F3076B"/>
    <w:rsid w:val="00F31783"/>
    <w:rsid w:val="00F31FEB"/>
    <w:rsid w:val="00F3209C"/>
    <w:rsid w:val="00F32ABC"/>
    <w:rsid w:val="00F34554"/>
    <w:rsid w:val="00F35F50"/>
    <w:rsid w:val="00F374F2"/>
    <w:rsid w:val="00F37510"/>
    <w:rsid w:val="00F37CAB"/>
    <w:rsid w:val="00F37DB3"/>
    <w:rsid w:val="00F37E72"/>
    <w:rsid w:val="00F402ED"/>
    <w:rsid w:val="00F40D6E"/>
    <w:rsid w:val="00F43412"/>
    <w:rsid w:val="00F4371E"/>
    <w:rsid w:val="00F4373C"/>
    <w:rsid w:val="00F44112"/>
    <w:rsid w:val="00F45005"/>
    <w:rsid w:val="00F4622E"/>
    <w:rsid w:val="00F466E2"/>
    <w:rsid w:val="00F5278A"/>
    <w:rsid w:val="00F5431E"/>
    <w:rsid w:val="00F55D4C"/>
    <w:rsid w:val="00F5701F"/>
    <w:rsid w:val="00F578C1"/>
    <w:rsid w:val="00F6048A"/>
    <w:rsid w:val="00F60A89"/>
    <w:rsid w:val="00F63258"/>
    <w:rsid w:val="00F64B9B"/>
    <w:rsid w:val="00F676EF"/>
    <w:rsid w:val="00F67A90"/>
    <w:rsid w:val="00F7003A"/>
    <w:rsid w:val="00F723F0"/>
    <w:rsid w:val="00F72FAF"/>
    <w:rsid w:val="00F73097"/>
    <w:rsid w:val="00F734E9"/>
    <w:rsid w:val="00F74461"/>
    <w:rsid w:val="00F74BAF"/>
    <w:rsid w:val="00F75525"/>
    <w:rsid w:val="00F76751"/>
    <w:rsid w:val="00F7708F"/>
    <w:rsid w:val="00F80B9F"/>
    <w:rsid w:val="00F81098"/>
    <w:rsid w:val="00F811EC"/>
    <w:rsid w:val="00F81AB9"/>
    <w:rsid w:val="00F81DBD"/>
    <w:rsid w:val="00F828A3"/>
    <w:rsid w:val="00F83213"/>
    <w:rsid w:val="00F85195"/>
    <w:rsid w:val="00F90B10"/>
    <w:rsid w:val="00F90FA2"/>
    <w:rsid w:val="00F91626"/>
    <w:rsid w:val="00FA0D17"/>
    <w:rsid w:val="00FA2549"/>
    <w:rsid w:val="00FA272E"/>
    <w:rsid w:val="00FA3E33"/>
    <w:rsid w:val="00FA5939"/>
    <w:rsid w:val="00FA662A"/>
    <w:rsid w:val="00FA7A8D"/>
    <w:rsid w:val="00FB0C07"/>
    <w:rsid w:val="00FB12AD"/>
    <w:rsid w:val="00FB211E"/>
    <w:rsid w:val="00FB30C9"/>
    <w:rsid w:val="00FB551F"/>
    <w:rsid w:val="00FB5DD9"/>
    <w:rsid w:val="00FB61FC"/>
    <w:rsid w:val="00FC004A"/>
    <w:rsid w:val="00FC0F00"/>
    <w:rsid w:val="00FC3D66"/>
    <w:rsid w:val="00FC3DF4"/>
    <w:rsid w:val="00FC406C"/>
    <w:rsid w:val="00FC52FD"/>
    <w:rsid w:val="00FC6390"/>
    <w:rsid w:val="00FD0239"/>
    <w:rsid w:val="00FD0EF0"/>
    <w:rsid w:val="00FD17EA"/>
    <w:rsid w:val="00FD216B"/>
    <w:rsid w:val="00FD3075"/>
    <w:rsid w:val="00FD38FE"/>
    <w:rsid w:val="00FD3F11"/>
    <w:rsid w:val="00FD4612"/>
    <w:rsid w:val="00FD47E1"/>
    <w:rsid w:val="00FD5F38"/>
    <w:rsid w:val="00FD612C"/>
    <w:rsid w:val="00FD6223"/>
    <w:rsid w:val="00FD660B"/>
    <w:rsid w:val="00FD6E00"/>
    <w:rsid w:val="00FD758D"/>
    <w:rsid w:val="00FD7A56"/>
    <w:rsid w:val="00FD7B77"/>
    <w:rsid w:val="00FE0D33"/>
    <w:rsid w:val="00FE1934"/>
    <w:rsid w:val="00FE1D7C"/>
    <w:rsid w:val="00FE29C5"/>
    <w:rsid w:val="00FE5049"/>
    <w:rsid w:val="00FE53A6"/>
    <w:rsid w:val="00FE5F8F"/>
    <w:rsid w:val="00FE60A4"/>
    <w:rsid w:val="00FE60C2"/>
    <w:rsid w:val="00FE62D5"/>
    <w:rsid w:val="00FE6A60"/>
    <w:rsid w:val="00FE6CC5"/>
    <w:rsid w:val="00FE7176"/>
    <w:rsid w:val="00FE7C54"/>
    <w:rsid w:val="00FF094D"/>
    <w:rsid w:val="00FF4A22"/>
    <w:rsid w:val="00FF4DC9"/>
    <w:rsid w:val="00FF524C"/>
    <w:rsid w:val="00FF5DAB"/>
    <w:rsid w:val="00FF5DE8"/>
    <w:rsid w:val="00FF63B9"/>
    <w:rsid w:val="00FF65B9"/>
    <w:rsid w:val="00FF6988"/>
    <w:rsid w:val="00FF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3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323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232"/>
    <w:rPr>
      <w:rFonts w:cs="Times New Roman"/>
      <w:color w:val="0000FF" w:themeColor="hyperlink"/>
      <w:u w:val="single"/>
    </w:rPr>
  </w:style>
  <w:style w:type="table" w:styleId="TableGrid">
    <w:name w:val="Table Grid"/>
    <w:basedOn w:val="TableNormal"/>
    <w:uiPriority w:val="59"/>
    <w:rsid w:val="008C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3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323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232"/>
    <w:rPr>
      <w:rFonts w:cs="Times New Roman"/>
      <w:color w:val="0000FF" w:themeColor="hyperlink"/>
      <w:u w:val="single"/>
    </w:rPr>
  </w:style>
  <w:style w:type="table" w:styleId="TableGrid">
    <w:name w:val="Table Grid"/>
    <w:basedOn w:val="TableNormal"/>
    <w:uiPriority w:val="59"/>
    <w:rsid w:val="008C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ablingenvironment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Fleming</dc:creator>
  <cp:lastModifiedBy>Joan Mary Mould</cp:lastModifiedBy>
  <cp:revision>2</cp:revision>
  <dcterms:created xsi:type="dcterms:W3CDTF">2016-09-14T22:17:00Z</dcterms:created>
  <dcterms:modified xsi:type="dcterms:W3CDTF">2016-09-14T22:17:00Z</dcterms:modified>
</cp:coreProperties>
</file>