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4A" w:rsidRPr="00C37C00" w:rsidRDefault="000B194A" w:rsidP="0098401D">
      <w:pPr>
        <w:pStyle w:val="KeinLeerraum"/>
        <w:rPr>
          <w:rFonts w:ascii="Times New Roman" w:hAnsi="Times New Roman" w:cs="Times New Roman"/>
          <w:b/>
        </w:rPr>
      </w:pPr>
      <w:r w:rsidRPr="00C37C00">
        <w:rPr>
          <w:rFonts w:ascii="Times New Roman" w:hAnsi="Times New Roman" w:cs="Times New Roman"/>
          <w:b/>
        </w:rPr>
        <w:t>Supplemental Material 3: List with examples of excluded studies</w:t>
      </w:r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4253"/>
        <w:gridCol w:w="4677"/>
      </w:tblGrid>
      <w:tr w:rsidR="000B194A" w:rsidRPr="00C37C00" w:rsidTr="00984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:rsidR="000B194A" w:rsidRPr="00C37C00" w:rsidRDefault="000B194A" w:rsidP="0098401D">
            <w:pPr>
              <w:pStyle w:val="KeinLeerraum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</w:rPr>
              <w:t>Reason for exclusion</w:t>
            </w:r>
          </w:p>
        </w:tc>
        <w:tc>
          <w:tcPr>
            <w:tcW w:w="4677" w:type="dxa"/>
          </w:tcPr>
          <w:p w:rsidR="000B194A" w:rsidRPr="00C37C00" w:rsidRDefault="000B194A" w:rsidP="0098401D">
            <w:pPr>
              <w:pStyle w:val="KeinLeerraum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</w:rPr>
              <w:t>Study</w:t>
            </w:r>
          </w:p>
        </w:tc>
      </w:tr>
      <w:tr w:rsidR="000B194A" w:rsidRPr="00C37C00" w:rsidTr="0098401D">
        <w:tc>
          <w:tcPr>
            <w:tcW w:w="4253" w:type="dxa"/>
          </w:tcPr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  <w:lang w:eastAsia="de-DE"/>
              </w:rPr>
            </w:pPr>
            <w:r w:rsidRPr="00C37C00">
              <w:rPr>
                <w:rFonts w:ascii="Times New Roman" w:hAnsi="Times New Roman" w:cs="Times New Roman"/>
                <w:lang w:eastAsia="de-DE"/>
              </w:rPr>
              <w:t>Control group received more than minimal support</w:t>
            </w:r>
          </w:p>
        </w:tc>
        <w:tc>
          <w:tcPr>
            <w:tcW w:w="4677" w:type="dxa"/>
          </w:tcPr>
          <w:p w:rsidR="000B194A" w:rsidRPr="00C37C00" w:rsidRDefault="000B194A" w:rsidP="003E6DF5">
            <w:pPr>
              <w:pStyle w:val="KeinLeerraum"/>
              <w:spacing w:after="120"/>
              <w:rPr>
                <w:rFonts w:ascii="Times New Roman" w:hAnsi="Times New Roman" w:cs="Times New Roman"/>
                <w:lang w:eastAsia="de-DE"/>
              </w:rPr>
            </w:pP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Farran</w:t>
            </w:r>
            <w:r w:rsidRPr="00C37C00">
              <w:rPr>
                <w:rFonts w:ascii="Times New Roman" w:hAnsi="Times New Roman" w:cs="Times New Roman"/>
                <w:i/>
                <w:noProof/>
                <w:lang w:eastAsia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 xml:space="preserve"> (2007), Moore</w:t>
            </w:r>
            <w:r w:rsidRPr="00C37C00">
              <w:rPr>
                <w:rFonts w:ascii="Times New Roman" w:hAnsi="Times New Roman" w:cs="Times New Roman"/>
                <w:i/>
                <w:noProof/>
                <w:lang w:eastAsia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 xml:space="preserve"> (2013)</w:t>
            </w:r>
            <w:r w:rsidRPr="00C37C00">
              <w:rPr>
                <w:rFonts w:ascii="Times New Roman" w:hAnsi="Times New Roman" w:cs="Times New Roman"/>
                <w:lang w:eastAsia="de-DE"/>
              </w:rPr>
              <w:t xml:space="preserve">, 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(Gonyea</w:t>
            </w:r>
            <w:r w:rsidRPr="00C37C00">
              <w:rPr>
                <w:rFonts w:ascii="Times New Roman" w:hAnsi="Times New Roman" w:cs="Times New Roman"/>
                <w:i/>
                <w:noProof/>
                <w:lang w:eastAsia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, 2006)</w:t>
            </w:r>
          </w:p>
        </w:tc>
      </w:tr>
      <w:tr w:rsidR="000B194A" w:rsidRPr="00C37C00" w:rsidTr="0098401D">
        <w:tc>
          <w:tcPr>
            <w:tcW w:w="4253" w:type="dxa"/>
          </w:tcPr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  <w:lang w:eastAsia="de-DE"/>
              </w:rPr>
            </w:pPr>
            <w:r w:rsidRPr="00C37C00">
              <w:rPr>
                <w:rFonts w:ascii="Times New Roman" w:hAnsi="Times New Roman" w:cs="Times New Roman"/>
                <w:lang w:eastAsia="de-DE"/>
              </w:rPr>
              <w:t xml:space="preserve">Allocation not truly randomized </w:t>
            </w:r>
          </w:p>
        </w:tc>
        <w:tc>
          <w:tcPr>
            <w:tcW w:w="4677" w:type="dxa"/>
          </w:tcPr>
          <w:p w:rsidR="000B194A" w:rsidRPr="00C37C00" w:rsidRDefault="000B194A" w:rsidP="003E6DF5">
            <w:pPr>
              <w:pStyle w:val="KeinLeerraum"/>
              <w:spacing w:after="120"/>
              <w:rPr>
                <w:rFonts w:ascii="Times New Roman" w:hAnsi="Times New Roman" w:cs="Times New Roman"/>
                <w:lang w:eastAsia="de-DE"/>
              </w:rPr>
            </w:pP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Connell and Janevic (2009)</w:t>
            </w:r>
            <w:r w:rsidRPr="00C37C00">
              <w:rPr>
                <w:rFonts w:ascii="Times New Roman" w:hAnsi="Times New Roman" w:cs="Times New Roman"/>
                <w:lang w:eastAsia="de-DE"/>
              </w:rPr>
              <w:t xml:space="preserve">, 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(Williams</w:t>
            </w:r>
            <w:r w:rsidRPr="00C37C00">
              <w:rPr>
                <w:rFonts w:ascii="Times New Roman" w:hAnsi="Times New Roman" w:cs="Times New Roman"/>
                <w:i/>
                <w:noProof/>
                <w:lang w:eastAsia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eastAsia="de-DE"/>
              </w:rPr>
              <w:t>, 2010)</w:t>
            </w:r>
          </w:p>
        </w:tc>
      </w:tr>
      <w:tr w:rsidR="000B194A" w:rsidRPr="00C37C00" w:rsidTr="0098401D">
        <w:tc>
          <w:tcPr>
            <w:tcW w:w="4253" w:type="dxa"/>
          </w:tcPr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</w:rPr>
              <w:t>No possibility to compute SMD and authors not reached/ authors faced difficulties sending data</w:t>
            </w:r>
          </w:p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</w:rPr>
              <w:t>Study protocol, results not available</w:t>
            </w:r>
          </w:p>
        </w:tc>
        <w:tc>
          <w:tcPr>
            <w:tcW w:w="4677" w:type="dxa"/>
          </w:tcPr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  <w:noProof/>
                <w:lang w:val="de-DE"/>
              </w:rPr>
              <w:t>Mittelman</w:t>
            </w:r>
            <w:r w:rsidRPr="00C37C00">
              <w:rPr>
                <w:rFonts w:ascii="Times New Roman" w:hAnsi="Times New Roman" w:cs="Times New Roman"/>
                <w:i/>
                <w:noProof/>
                <w:lang w:val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 xml:space="preserve"> (2008), Bass</w:t>
            </w:r>
            <w:r w:rsidRPr="00C37C00">
              <w:rPr>
                <w:rFonts w:ascii="Times New Roman" w:hAnsi="Times New Roman" w:cs="Times New Roman"/>
                <w:i/>
                <w:noProof/>
                <w:lang w:val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 xml:space="preserve"> (2013)</w:t>
            </w:r>
            <w:r w:rsidRPr="00C37C00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>Hepburn</w:t>
            </w:r>
            <w:r w:rsidRPr="00C37C00">
              <w:rPr>
                <w:rFonts w:ascii="Times New Roman" w:hAnsi="Times New Roman" w:cs="Times New Roman"/>
                <w:i/>
                <w:noProof/>
                <w:lang w:val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 xml:space="preserve"> (2005)</w:t>
            </w:r>
            <w:r w:rsidRPr="00C37C00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>Gitlin</w:t>
            </w:r>
            <w:r w:rsidRPr="00C37C00">
              <w:rPr>
                <w:rFonts w:ascii="Times New Roman" w:hAnsi="Times New Roman" w:cs="Times New Roman"/>
                <w:i/>
                <w:noProof/>
                <w:lang w:val="de-DE"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  <w:lang w:val="de-DE"/>
              </w:rPr>
              <w:t xml:space="preserve"> </w:t>
            </w:r>
            <w:r w:rsidRPr="00C37C00">
              <w:rPr>
                <w:rFonts w:ascii="Times New Roman" w:hAnsi="Times New Roman" w:cs="Times New Roman"/>
                <w:noProof/>
              </w:rPr>
              <w:t>(2010); Winter and Gitlin (2006)</w:t>
            </w:r>
            <w:r w:rsidRPr="00C37C00">
              <w:rPr>
                <w:rFonts w:ascii="Times New Roman" w:hAnsi="Times New Roman" w:cs="Times New Roman"/>
              </w:rPr>
              <w:t xml:space="preserve"> </w:t>
            </w:r>
          </w:p>
          <w:p w:rsidR="000B194A" w:rsidRPr="00C37C00" w:rsidRDefault="000B194A" w:rsidP="003E6DF5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  <w:noProof/>
              </w:rPr>
              <w:t>Luchsinger</w:t>
            </w:r>
            <w:r w:rsidRPr="00C37C00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</w:rPr>
              <w:t xml:space="preserve"> (2012)</w:t>
            </w:r>
          </w:p>
        </w:tc>
      </w:tr>
      <w:tr w:rsidR="000B194A" w:rsidRPr="00C37C00" w:rsidTr="0098401D">
        <w:tc>
          <w:tcPr>
            <w:tcW w:w="4253" w:type="dxa"/>
          </w:tcPr>
          <w:p w:rsidR="000B194A" w:rsidRPr="00C37C00" w:rsidRDefault="000B194A" w:rsidP="0098401D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</w:rPr>
              <w:t>Intervention to support care receiver</w:t>
            </w:r>
          </w:p>
        </w:tc>
        <w:tc>
          <w:tcPr>
            <w:tcW w:w="4677" w:type="dxa"/>
          </w:tcPr>
          <w:p w:rsidR="000B194A" w:rsidRPr="00C37C00" w:rsidRDefault="000B194A" w:rsidP="003E6DF5">
            <w:pPr>
              <w:pStyle w:val="KeinLeerraum"/>
              <w:spacing w:after="120"/>
              <w:rPr>
                <w:rFonts w:ascii="Times New Roman" w:hAnsi="Times New Roman" w:cs="Times New Roman"/>
              </w:rPr>
            </w:pPr>
            <w:r w:rsidRPr="00C37C00">
              <w:rPr>
                <w:rFonts w:ascii="Times New Roman" w:hAnsi="Times New Roman" w:cs="Times New Roman"/>
                <w:noProof/>
              </w:rPr>
              <w:t>Venables</w:t>
            </w:r>
            <w:r w:rsidRPr="00C37C00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 w:rsidRPr="00C37C00">
              <w:rPr>
                <w:rFonts w:ascii="Times New Roman" w:hAnsi="Times New Roman" w:cs="Times New Roman"/>
                <w:noProof/>
              </w:rPr>
              <w:t xml:space="preserve"> (2006)</w:t>
            </w:r>
          </w:p>
        </w:tc>
      </w:tr>
    </w:tbl>
    <w:p w:rsidR="000B194A" w:rsidRDefault="000B194A" w:rsidP="0098401D">
      <w:pPr>
        <w:pStyle w:val="KeinLeerraum"/>
        <w:rPr>
          <w:rFonts w:ascii="Times New Roman" w:hAnsi="Times New Roman" w:cs="Times New Roman"/>
          <w:color w:val="FF0000"/>
        </w:rPr>
      </w:pPr>
    </w:p>
    <w:p w:rsidR="00476464" w:rsidRPr="00C37C00" w:rsidRDefault="00476464" w:rsidP="0098401D">
      <w:pPr>
        <w:pStyle w:val="KeinLeerraum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Bass, D. M.</w:t>
      </w:r>
      <w:r w:rsidRPr="00475897">
        <w:rPr>
          <w:rFonts w:ascii="Times New Roman" w:hAnsi="Times New Roman"/>
          <w:b/>
          <w:i/>
        </w:rPr>
        <w:t>, et al.</w:t>
      </w:r>
      <w:r w:rsidRPr="00475897">
        <w:rPr>
          <w:rFonts w:ascii="Times New Roman" w:hAnsi="Times New Roman"/>
        </w:rPr>
        <w:t xml:space="preserve"> (2013). Caregiver outcomes of partners in dementia care: effect of a care coordination program for veterans with dementia and their family members and friends. </w:t>
      </w:r>
      <w:r w:rsidRPr="00475897">
        <w:rPr>
          <w:rFonts w:ascii="Times New Roman" w:hAnsi="Times New Roman"/>
          <w:i/>
        </w:rPr>
        <w:t>Journal of the American Geriatrics Society</w:t>
      </w:r>
      <w:r w:rsidRPr="00475897">
        <w:rPr>
          <w:rFonts w:ascii="Times New Roman" w:hAnsi="Times New Roman"/>
        </w:rPr>
        <w:t>, 61, 1377-1386. doi: 10.1111/jgs.12362.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Connell, C. M. and Janevic, M. R.</w:t>
      </w:r>
      <w:r w:rsidRPr="00475897">
        <w:rPr>
          <w:rFonts w:ascii="Times New Roman" w:hAnsi="Times New Roman"/>
        </w:rPr>
        <w:t xml:space="preserve"> (2009). Effects of a Telephone-Based Exercise Intervention for Dementia Caregiving Wives: A Randomized Controlled Trial. </w:t>
      </w:r>
      <w:r w:rsidRPr="00475897">
        <w:rPr>
          <w:rFonts w:ascii="Times New Roman" w:hAnsi="Times New Roman"/>
          <w:i/>
        </w:rPr>
        <w:t>J</w:t>
      </w:r>
      <w:r w:rsidR="003E79FC">
        <w:rPr>
          <w:rFonts w:ascii="Times New Roman" w:hAnsi="Times New Roman"/>
          <w:i/>
        </w:rPr>
        <w:t>ournal of</w:t>
      </w:r>
      <w:r w:rsidRPr="00475897">
        <w:rPr>
          <w:rFonts w:ascii="Times New Roman" w:hAnsi="Times New Roman"/>
          <w:i/>
        </w:rPr>
        <w:t xml:space="preserve"> Appl</w:t>
      </w:r>
      <w:r w:rsidR="003E79FC">
        <w:rPr>
          <w:rFonts w:ascii="Times New Roman" w:hAnsi="Times New Roman"/>
          <w:i/>
        </w:rPr>
        <w:t>ied</w:t>
      </w:r>
      <w:r w:rsidRPr="00475897">
        <w:rPr>
          <w:rFonts w:ascii="Times New Roman" w:hAnsi="Times New Roman"/>
          <w:i/>
        </w:rPr>
        <w:t xml:space="preserve"> Gerontol</w:t>
      </w:r>
      <w:r w:rsidR="003E79FC">
        <w:rPr>
          <w:rFonts w:ascii="Times New Roman" w:hAnsi="Times New Roman"/>
          <w:i/>
        </w:rPr>
        <w:t>ogy</w:t>
      </w:r>
      <w:r w:rsidRPr="00475897">
        <w:rPr>
          <w:rFonts w:ascii="Times New Roman" w:hAnsi="Times New Roman"/>
        </w:rPr>
        <w:t>, 28, 171-194. doi: 10.1177/0733464808326951.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Farran, C. J., Gilley, D. W., McCann, J. J., Bienias, J. L., Lindeman, D. A. and Evans, D. A.</w:t>
      </w:r>
      <w:r w:rsidRPr="00475897">
        <w:rPr>
          <w:rFonts w:ascii="Times New Roman" w:hAnsi="Times New Roman"/>
        </w:rPr>
        <w:t xml:space="preserve"> (2007). Efficacy of behavioral interventions for dementia caregivers. </w:t>
      </w:r>
      <w:r w:rsidRPr="00475897">
        <w:rPr>
          <w:rFonts w:ascii="Times New Roman" w:hAnsi="Times New Roman"/>
          <w:i/>
        </w:rPr>
        <w:t>West</w:t>
      </w:r>
      <w:r w:rsidR="00475897">
        <w:rPr>
          <w:rFonts w:ascii="Times New Roman" w:hAnsi="Times New Roman"/>
          <w:i/>
        </w:rPr>
        <w:t>ern</w:t>
      </w:r>
      <w:r w:rsidRPr="00475897">
        <w:rPr>
          <w:rFonts w:ascii="Times New Roman" w:hAnsi="Times New Roman"/>
          <w:i/>
        </w:rPr>
        <w:t xml:space="preserve"> J</w:t>
      </w:r>
      <w:r w:rsidR="00475897">
        <w:rPr>
          <w:rFonts w:ascii="Times New Roman" w:hAnsi="Times New Roman"/>
          <w:i/>
        </w:rPr>
        <w:t>ournal of</w:t>
      </w:r>
      <w:r w:rsidRPr="00475897">
        <w:rPr>
          <w:rFonts w:ascii="Times New Roman" w:hAnsi="Times New Roman"/>
          <w:i/>
        </w:rPr>
        <w:t xml:space="preserve"> Nurs</w:t>
      </w:r>
      <w:r w:rsidR="00475897">
        <w:rPr>
          <w:rFonts w:ascii="Times New Roman" w:hAnsi="Times New Roman"/>
          <w:i/>
        </w:rPr>
        <w:t>ing</w:t>
      </w:r>
      <w:r w:rsidRPr="00475897">
        <w:rPr>
          <w:rFonts w:ascii="Times New Roman" w:hAnsi="Times New Roman"/>
          <w:i/>
        </w:rPr>
        <w:t xml:space="preserve"> Res</w:t>
      </w:r>
      <w:r w:rsidR="00475897">
        <w:rPr>
          <w:rFonts w:ascii="Times New Roman" w:hAnsi="Times New Roman"/>
          <w:i/>
        </w:rPr>
        <w:t>earch</w:t>
      </w:r>
      <w:r w:rsidRPr="00475897">
        <w:rPr>
          <w:rFonts w:ascii="Times New Roman" w:hAnsi="Times New Roman"/>
        </w:rPr>
        <w:t>, 29, 944-960. doi: 10.1177/0193945907303084.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Gitlin, L. N., Winter, L., Dennis, M. P., Hodgson, N. and Hauck, W. W.</w:t>
      </w:r>
      <w:r w:rsidRPr="00475897">
        <w:rPr>
          <w:rFonts w:ascii="Times New Roman" w:hAnsi="Times New Roman"/>
        </w:rPr>
        <w:t xml:space="preserve"> (2010). Targeting and managing behavioral symptoms in individuals with dementia: a randomized trial of a nonpharmacological intervention. </w:t>
      </w:r>
      <w:r w:rsidRPr="00475897">
        <w:rPr>
          <w:rFonts w:ascii="Times New Roman" w:hAnsi="Times New Roman"/>
          <w:i/>
        </w:rPr>
        <w:t>Journal of the American Geriatrics Society</w:t>
      </w:r>
      <w:r w:rsidRPr="00475897">
        <w:rPr>
          <w:rFonts w:ascii="Times New Roman" w:hAnsi="Times New Roman"/>
        </w:rPr>
        <w:t>, 58, 1465-1474.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Gonyea, J. G., O'Connor, M. K. and Boyle, P. A.</w:t>
      </w:r>
      <w:r w:rsidRPr="00475897">
        <w:rPr>
          <w:rFonts w:ascii="Times New Roman" w:hAnsi="Times New Roman"/>
        </w:rPr>
        <w:t xml:space="preserve"> (2006). Project CARE: a randomized controlled trial of a behavioral intervention group for Alzheimer's disease caregivers. </w:t>
      </w:r>
      <w:r w:rsidRPr="00475897">
        <w:rPr>
          <w:rFonts w:ascii="Times New Roman" w:hAnsi="Times New Roman"/>
          <w:i/>
        </w:rPr>
        <w:t>Gerontologist</w:t>
      </w:r>
      <w:r w:rsidRPr="00475897">
        <w:rPr>
          <w:rFonts w:ascii="Times New Roman" w:hAnsi="Times New Roman"/>
        </w:rPr>
        <w:t>, 46, 827-832.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lastRenderedPageBreak/>
        <w:t>Hepburn, K. W., Lewis, M., Narayan, S., Tornatore, J., Bremer, K. L. and Kirk, L. N.</w:t>
      </w:r>
      <w:r w:rsidRPr="00475897">
        <w:rPr>
          <w:rFonts w:ascii="Times New Roman" w:hAnsi="Times New Roman"/>
        </w:rPr>
        <w:t xml:space="preserve"> (2005). Partners in caregiving: a psychoeducation program affecting dementia family caregivers' distress and caregiving outlook. </w:t>
      </w:r>
      <w:r w:rsidRPr="00475897">
        <w:rPr>
          <w:rFonts w:ascii="Times New Roman" w:hAnsi="Times New Roman"/>
          <w:i/>
        </w:rPr>
        <w:t>Clinical Gerontologist</w:t>
      </w:r>
      <w:r w:rsidRPr="00475897">
        <w:rPr>
          <w:rFonts w:ascii="Times New Roman" w:hAnsi="Times New Roman"/>
        </w:rPr>
        <w:t>, 29, 53-69.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Luchsinger, J.</w:t>
      </w:r>
      <w:r w:rsidRPr="00475897">
        <w:rPr>
          <w:rFonts w:ascii="Times New Roman" w:hAnsi="Times New Roman"/>
          <w:b/>
          <w:i/>
        </w:rPr>
        <w:t>, et al.</w:t>
      </w:r>
      <w:r w:rsidRPr="00475897">
        <w:rPr>
          <w:rFonts w:ascii="Times New Roman" w:hAnsi="Times New Roman"/>
        </w:rPr>
        <w:t xml:space="preserve"> (2012). The Northern Manhattan Caregiver Intervention Project: A randomised trial testing the effectiveness of a dementia caregiver intervention in Hispanics in New York City. </w:t>
      </w:r>
      <w:r w:rsidRPr="00475897">
        <w:rPr>
          <w:rFonts w:ascii="Times New Roman" w:hAnsi="Times New Roman"/>
          <w:i/>
        </w:rPr>
        <w:t>BMJ Open</w:t>
      </w:r>
      <w:r w:rsidRPr="00475897">
        <w:rPr>
          <w:rFonts w:ascii="Times New Roman" w:hAnsi="Times New Roman"/>
        </w:rPr>
        <w:t>, 2, e001941. doi: 10.1136/bmjopen-2012-001941.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Mittelman, M. S., Brodaty, H., Wallen, A. S. and Burns, A.</w:t>
      </w:r>
      <w:r w:rsidRPr="00475897">
        <w:rPr>
          <w:rFonts w:ascii="Times New Roman" w:hAnsi="Times New Roman"/>
        </w:rPr>
        <w:t xml:space="preserve"> (2008). A three-country randomized controlled trial of a psychosocial intervention for caregivers combined with pharmacological treatment for patients with Alzheimer disease: effects on caregiver depression. </w:t>
      </w:r>
      <w:r w:rsidR="00475897">
        <w:rPr>
          <w:rFonts w:ascii="Times New Roman" w:hAnsi="Times New Roman"/>
          <w:i/>
        </w:rPr>
        <w:t>The American Journal of Geriatric P</w:t>
      </w:r>
      <w:r w:rsidRPr="00475897">
        <w:rPr>
          <w:rFonts w:ascii="Times New Roman" w:hAnsi="Times New Roman"/>
          <w:i/>
        </w:rPr>
        <w:t>sychiatry</w:t>
      </w:r>
      <w:r w:rsidR="00475897">
        <w:rPr>
          <w:rFonts w:ascii="Times New Roman" w:hAnsi="Times New Roman"/>
          <w:i/>
        </w:rPr>
        <w:t xml:space="preserve">, </w:t>
      </w:r>
      <w:r w:rsidRPr="00475897">
        <w:rPr>
          <w:rFonts w:ascii="Times New Roman" w:hAnsi="Times New Roman"/>
        </w:rPr>
        <w:t>16, 893-904.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Moore, R. C.</w:t>
      </w:r>
      <w:r w:rsidRPr="00475897">
        <w:rPr>
          <w:rFonts w:ascii="Times New Roman" w:hAnsi="Times New Roman"/>
          <w:b/>
          <w:i/>
        </w:rPr>
        <w:t>, et al.</w:t>
      </w:r>
      <w:r w:rsidRPr="00475897">
        <w:rPr>
          <w:rFonts w:ascii="Times New Roman" w:hAnsi="Times New Roman"/>
        </w:rPr>
        <w:t xml:space="preserve"> (2013). A randomized clinical trial of Behavioral Activation (BA) therapy for improving psychological and physical health in dementia caregivers: results of the Pleasant Events Program (PEP). </w:t>
      </w:r>
      <w:r w:rsidRPr="00475897">
        <w:rPr>
          <w:rFonts w:ascii="Times New Roman" w:hAnsi="Times New Roman"/>
          <w:i/>
        </w:rPr>
        <w:t>Behav</w:t>
      </w:r>
      <w:r w:rsidR="00475897">
        <w:rPr>
          <w:rFonts w:ascii="Times New Roman" w:hAnsi="Times New Roman"/>
          <w:i/>
        </w:rPr>
        <w:t>iour</w:t>
      </w:r>
      <w:r w:rsidRPr="00475897">
        <w:rPr>
          <w:rFonts w:ascii="Times New Roman" w:hAnsi="Times New Roman"/>
          <w:i/>
        </w:rPr>
        <w:t xml:space="preserve"> Res</w:t>
      </w:r>
      <w:r w:rsidR="00475897">
        <w:rPr>
          <w:rFonts w:ascii="Times New Roman" w:hAnsi="Times New Roman"/>
          <w:i/>
        </w:rPr>
        <w:t>earch and</w:t>
      </w:r>
      <w:r w:rsidRPr="00475897">
        <w:rPr>
          <w:rFonts w:ascii="Times New Roman" w:hAnsi="Times New Roman"/>
          <w:i/>
        </w:rPr>
        <w:t xml:space="preserve"> Ther</w:t>
      </w:r>
      <w:r w:rsidR="00475897">
        <w:rPr>
          <w:rFonts w:ascii="Times New Roman" w:hAnsi="Times New Roman"/>
          <w:i/>
        </w:rPr>
        <w:t>apy</w:t>
      </w:r>
      <w:r w:rsidRPr="00475897">
        <w:rPr>
          <w:rFonts w:ascii="Times New Roman" w:hAnsi="Times New Roman"/>
        </w:rPr>
        <w:t>, 51, 623-632. doi: 10.1016/j.brat.2013.07.005.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Venables, D., Clarkson, P., Hughes, J., Burns, A. and Challis, D.</w:t>
      </w:r>
      <w:r w:rsidRPr="00475897">
        <w:rPr>
          <w:rFonts w:ascii="Times New Roman" w:hAnsi="Times New Roman"/>
        </w:rPr>
        <w:t xml:space="preserve"> (2006). Specialist clinical assessment of vulnerable older people: outcomes for carers from a randomised controlled trial. </w:t>
      </w:r>
      <w:r w:rsidRPr="00475897">
        <w:rPr>
          <w:rFonts w:ascii="Times New Roman" w:hAnsi="Times New Roman"/>
          <w:i/>
        </w:rPr>
        <w:t>Ageing &amp; Society</w:t>
      </w:r>
      <w:r w:rsidRPr="00475897">
        <w:rPr>
          <w:rFonts w:ascii="Times New Roman" w:hAnsi="Times New Roman"/>
        </w:rPr>
        <w:t>, 26, 867-882. doi: 10.1017/S0144686X06004831.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Williams, V. P.</w:t>
      </w:r>
      <w:r w:rsidRPr="00475897">
        <w:rPr>
          <w:rFonts w:ascii="Times New Roman" w:hAnsi="Times New Roman"/>
          <w:b/>
          <w:i/>
        </w:rPr>
        <w:t>, et al.</w:t>
      </w:r>
      <w:r w:rsidRPr="00475897">
        <w:rPr>
          <w:rFonts w:ascii="Times New Roman" w:hAnsi="Times New Roman"/>
        </w:rPr>
        <w:t xml:space="preserve"> (2010). Video-based coping skills to reduce health risk and improve psychological and physical well-being in Alzheimer's disease family caregivers. </w:t>
      </w:r>
      <w:r w:rsidRPr="00475897">
        <w:rPr>
          <w:rFonts w:ascii="Times New Roman" w:hAnsi="Times New Roman"/>
          <w:i/>
        </w:rPr>
        <w:t>Psychosom</w:t>
      </w:r>
      <w:r w:rsidR="00475897">
        <w:rPr>
          <w:rFonts w:ascii="Times New Roman" w:hAnsi="Times New Roman"/>
          <w:i/>
        </w:rPr>
        <w:t>atic</w:t>
      </w:r>
      <w:r w:rsidRPr="00475897">
        <w:rPr>
          <w:rFonts w:ascii="Times New Roman" w:hAnsi="Times New Roman"/>
          <w:i/>
        </w:rPr>
        <w:t xml:space="preserve"> Med</w:t>
      </w:r>
      <w:r w:rsidR="00475897">
        <w:rPr>
          <w:rFonts w:ascii="Times New Roman" w:hAnsi="Times New Roman"/>
          <w:i/>
        </w:rPr>
        <w:t>icine</w:t>
      </w:r>
      <w:r w:rsidRPr="00475897">
        <w:rPr>
          <w:rFonts w:ascii="Times New Roman" w:hAnsi="Times New Roman"/>
        </w:rPr>
        <w:t>, 72, 897-904. doi: 10.1097/PSY.0b013e3181fc2d09.</w:t>
      </w:r>
    </w:p>
    <w:p w:rsidR="000B194A" w:rsidRPr="00475897" w:rsidRDefault="000B194A" w:rsidP="00475897">
      <w:pPr>
        <w:pStyle w:val="EndNoteBibliography"/>
        <w:tabs>
          <w:tab w:val="left" w:pos="284"/>
        </w:tabs>
        <w:spacing w:line="360" w:lineRule="auto"/>
        <w:ind w:left="284" w:hanging="284"/>
        <w:rPr>
          <w:rFonts w:ascii="Times New Roman" w:hAnsi="Times New Roman"/>
        </w:rPr>
      </w:pPr>
      <w:r w:rsidRPr="00475897">
        <w:rPr>
          <w:rFonts w:ascii="Times New Roman" w:hAnsi="Times New Roman"/>
          <w:b/>
        </w:rPr>
        <w:t>Winter, L. and Gitlin, L. N.</w:t>
      </w:r>
      <w:r w:rsidRPr="00475897">
        <w:rPr>
          <w:rFonts w:ascii="Times New Roman" w:hAnsi="Times New Roman"/>
        </w:rPr>
        <w:t xml:space="preserve"> (2006). Evaluation of a telephone-based support group intervention for female caregivers of community-dwelling individuals with dementia. </w:t>
      </w:r>
      <w:r w:rsidR="00475897">
        <w:rPr>
          <w:rFonts w:ascii="Times New Roman" w:hAnsi="Times New Roman"/>
          <w:i/>
        </w:rPr>
        <w:t>American J</w:t>
      </w:r>
      <w:r w:rsidRPr="00475897">
        <w:rPr>
          <w:rFonts w:ascii="Times New Roman" w:hAnsi="Times New Roman"/>
          <w:i/>
        </w:rPr>
        <w:t>ournal of Alzheimer's disease and other dementias</w:t>
      </w:r>
      <w:r w:rsidRPr="00475897">
        <w:rPr>
          <w:rFonts w:ascii="Times New Roman" w:hAnsi="Times New Roman"/>
        </w:rPr>
        <w:t>, 21, 391-397. doi: 10.1177/1533317506291371.</w:t>
      </w:r>
    </w:p>
    <w:p w:rsidR="000B194A" w:rsidRPr="00475897" w:rsidRDefault="000B194A" w:rsidP="00475897">
      <w:pPr>
        <w:pStyle w:val="KeinLeerraum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</w:p>
    <w:p w:rsidR="000D2EF6" w:rsidRPr="00475897" w:rsidRDefault="000D2EF6" w:rsidP="00475897">
      <w:p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</w:p>
    <w:sectPr w:rsidR="000D2EF6" w:rsidRPr="00475897" w:rsidSect="006E5C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64" w:rsidRDefault="00476464" w:rsidP="00476464">
      <w:pPr>
        <w:spacing w:line="240" w:lineRule="auto"/>
      </w:pPr>
      <w:r>
        <w:separator/>
      </w:r>
    </w:p>
  </w:endnote>
  <w:endnote w:type="continuationSeparator" w:id="0">
    <w:p w:rsidR="00476464" w:rsidRDefault="00476464" w:rsidP="00476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64" w:rsidRDefault="00476464" w:rsidP="00476464">
      <w:pPr>
        <w:spacing w:line="240" w:lineRule="auto"/>
      </w:pPr>
      <w:r>
        <w:separator/>
      </w:r>
    </w:p>
  </w:footnote>
  <w:footnote w:type="continuationSeparator" w:id="0">
    <w:p w:rsidR="00476464" w:rsidRDefault="00476464" w:rsidP="00476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64" w:rsidRDefault="00476464">
    <w:pPr>
      <w:pStyle w:val="Kopfzeile"/>
    </w:pPr>
  </w:p>
  <w:p w:rsidR="00EA6ED8" w:rsidRDefault="004764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C8D5E7F"/>
    <w:multiLevelType w:val="hybridMultilevel"/>
    <w:tmpl w:val="E8A483CA"/>
    <w:lvl w:ilvl="0" w:tplc="45180F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B194A"/>
    <w:rsid w:val="000B194A"/>
    <w:rsid w:val="000D2EF6"/>
    <w:rsid w:val="0011480D"/>
    <w:rsid w:val="003E79FC"/>
    <w:rsid w:val="00475897"/>
    <w:rsid w:val="00476464"/>
    <w:rsid w:val="00D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19A8-0FCA-4D47-B5E9-D6ED69C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94A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0B194A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rsid w:val="000B194A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0B194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0B194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0B194A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0B194A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B194A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B194A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B194A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  <w:rsid w:val="000B194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B194A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B194A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0B194A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0B194A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0B194A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ja-JP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0B194A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ja-JP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0B194A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ja-JP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94A"/>
    <w:rPr>
      <w:rFonts w:asciiTheme="majorHAnsi" w:eastAsiaTheme="majorEastAsia" w:hAnsiTheme="majorHAnsi" w:cstheme="majorBidi"/>
      <w:color w:val="1F4D78" w:themeColor="accent1" w:themeShade="7F"/>
      <w:kern w:val="24"/>
      <w:sz w:val="24"/>
      <w:szCs w:val="24"/>
      <w:lang w:val="en-US" w:eastAsia="ja-JP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94A"/>
    <w:rPr>
      <w:rFonts w:asciiTheme="majorHAnsi" w:eastAsiaTheme="majorEastAsia" w:hAnsiTheme="majorHAnsi" w:cstheme="majorBidi"/>
      <w:i/>
      <w:iCs/>
      <w:color w:val="1F4D78" w:themeColor="accent1" w:themeShade="7F"/>
      <w:kern w:val="24"/>
      <w:sz w:val="24"/>
      <w:szCs w:val="24"/>
      <w:lang w:val="en-US"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94A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val="en-US"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94A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val="en-US" w:eastAsia="ja-JP"/>
    </w:rPr>
  </w:style>
  <w:style w:type="paragraph" w:customStyle="1" w:styleId="SectionTitle">
    <w:name w:val="Section Title"/>
    <w:basedOn w:val="Standard"/>
    <w:next w:val="Standard"/>
    <w:uiPriority w:val="2"/>
    <w:qFormat/>
    <w:rsid w:val="000B194A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qFormat/>
    <w:rsid w:val="000B194A"/>
    <w:pPr>
      <w:spacing w:line="240" w:lineRule="auto"/>
      <w:ind w:firstLin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94A"/>
    <w:rPr>
      <w:rFonts w:eastAsiaTheme="minorEastAsia"/>
      <w:kern w:val="24"/>
      <w:sz w:val="24"/>
      <w:szCs w:val="24"/>
      <w:lang w:val="en-US" w:eastAsia="ja-JP"/>
    </w:rPr>
  </w:style>
  <w:style w:type="character" w:styleId="Fett">
    <w:name w:val="Strong"/>
    <w:basedOn w:val="Absatz-Standardschriftart"/>
    <w:uiPriority w:val="22"/>
    <w:unhideWhenUsed/>
    <w:qFormat/>
    <w:rsid w:val="000B194A"/>
    <w:rPr>
      <w:b w:val="0"/>
      <w:bCs w:val="0"/>
      <w:caps/>
      <w:smallCaps w:val="0"/>
    </w:rPr>
  </w:style>
  <w:style w:type="character" w:styleId="Platzhaltertext">
    <w:name w:val="Placeholder Text"/>
    <w:basedOn w:val="Absatz-Standardschriftart"/>
    <w:uiPriority w:val="99"/>
    <w:semiHidden/>
    <w:rsid w:val="000B194A"/>
    <w:rPr>
      <w:color w:val="808080"/>
    </w:rPr>
  </w:style>
  <w:style w:type="paragraph" w:styleId="KeinLeerraum">
    <w:name w:val="No Spacing"/>
    <w:aliases w:val="No Indent"/>
    <w:uiPriority w:val="1"/>
    <w:qFormat/>
    <w:rsid w:val="000B194A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0B194A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Zchn">
    <w:name w:val="Titel Zchn"/>
    <w:basedOn w:val="Absatz-Standardschriftart"/>
    <w:link w:val="Titel"/>
    <w:uiPriority w:val="10"/>
    <w:rsid w:val="000B194A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styleId="Hervorhebung">
    <w:name w:val="Emphasis"/>
    <w:basedOn w:val="Absatz-Standardschriftart"/>
    <w:uiPriority w:val="20"/>
    <w:unhideWhenUsed/>
    <w:qFormat/>
    <w:rsid w:val="000B194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94A"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94A"/>
    <w:rPr>
      <w:rFonts w:ascii="Segoe UI" w:eastAsiaTheme="minorEastAsia" w:hAnsi="Segoe UI" w:cs="Segoe UI"/>
      <w:kern w:val="24"/>
      <w:sz w:val="18"/>
      <w:szCs w:val="18"/>
      <w:lang w:val="en-US" w:eastAsia="ja-JP"/>
    </w:rPr>
  </w:style>
  <w:style w:type="paragraph" w:styleId="Literaturverzeichnis">
    <w:name w:val="Bibliography"/>
    <w:basedOn w:val="Standard"/>
    <w:next w:val="Standard"/>
    <w:uiPriority w:val="37"/>
    <w:unhideWhenUsed/>
    <w:qFormat/>
    <w:rsid w:val="000B194A"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0B194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 w:firstLine="0"/>
    </w:pPr>
    <w:rPr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B194A"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B194A"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B194A"/>
    <w:pPr>
      <w:spacing w:after="120"/>
      <w:ind w:firstLine="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B194A"/>
    <w:rPr>
      <w:rFonts w:eastAsiaTheme="minorEastAsia"/>
      <w:kern w:val="24"/>
      <w:sz w:val="16"/>
      <w:szCs w:val="16"/>
      <w:lang w:val="en-US"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B194A"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B194A"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B194A"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B194A"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B194A"/>
    <w:pPr>
      <w:spacing w:after="120"/>
      <w:ind w:left="360" w:firstLine="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B194A"/>
    <w:rPr>
      <w:rFonts w:eastAsiaTheme="minorEastAsia"/>
      <w:kern w:val="24"/>
      <w:sz w:val="16"/>
      <w:szCs w:val="16"/>
      <w:lang w:val="en-US" w:eastAsia="ja-JP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194A"/>
    <w:pPr>
      <w:spacing w:after="200" w:line="240" w:lineRule="auto"/>
      <w:ind w:firstLine="0"/>
    </w:pPr>
    <w:rPr>
      <w:i/>
      <w:iCs/>
      <w:color w:val="44546A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B194A"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94A"/>
    <w:pPr>
      <w:spacing w:line="240" w:lineRule="auto"/>
      <w:ind w:firstLine="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94A"/>
    <w:rPr>
      <w:rFonts w:eastAsiaTheme="minorEastAsia"/>
      <w:kern w:val="24"/>
      <w:sz w:val="20"/>
      <w:szCs w:val="20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9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94A"/>
    <w:rPr>
      <w:rFonts w:eastAsiaTheme="minorEastAsia"/>
      <w:b/>
      <w:bCs/>
      <w:kern w:val="24"/>
      <w:sz w:val="20"/>
      <w:szCs w:val="20"/>
      <w:lang w:val="en-US" w:eastAsia="ja-JP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B194A"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194A"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194A"/>
    <w:rPr>
      <w:rFonts w:ascii="Segoe UI" w:eastAsiaTheme="minorEastAsia" w:hAnsi="Segoe UI" w:cs="Segoe UI"/>
      <w:kern w:val="24"/>
      <w:sz w:val="16"/>
      <w:szCs w:val="16"/>
      <w:lang w:val="en-US" w:eastAsia="ja-JP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B194A"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194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194A"/>
    <w:rPr>
      <w:rFonts w:eastAsiaTheme="minorEastAsia"/>
      <w:kern w:val="24"/>
      <w:sz w:val="20"/>
      <w:szCs w:val="20"/>
      <w:lang w:val="en-US" w:eastAsia="ja-JP"/>
    </w:rPr>
  </w:style>
  <w:style w:type="paragraph" w:styleId="Umschlagadresse">
    <w:name w:val="envelope address"/>
    <w:basedOn w:val="Standard"/>
    <w:uiPriority w:val="99"/>
    <w:semiHidden/>
    <w:unhideWhenUsed/>
    <w:rsid w:val="000B194A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0B194A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B194A"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uzeileZchn">
    <w:name w:val="Fußzeile Zchn"/>
    <w:basedOn w:val="Absatz-Standardschriftart"/>
    <w:link w:val="Fuzeile"/>
    <w:uiPriority w:val="99"/>
    <w:rsid w:val="000B194A"/>
    <w:rPr>
      <w:rFonts w:eastAsiaTheme="minorEastAsia"/>
      <w:kern w:val="24"/>
      <w:sz w:val="24"/>
      <w:szCs w:val="24"/>
      <w:lang w:val="en-US" w:eastAsia="ja-JP"/>
    </w:rPr>
  </w:style>
  <w:style w:type="table" w:styleId="Tabellenraster">
    <w:name w:val="Table Grid"/>
    <w:basedOn w:val="NormaleTabelle"/>
    <w:uiPriority w:val="39"/>
    <w:rsid w:val="000B194A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0B194A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resse">
    <w:name w:val="HTML Address"/>
    <w:basedOn w:val="Standard"/>
    <w:link w:val="HTMLAdresseZchn"/>
    <w:uiPriority w:val="99"/>
    <w:semiHidden/>
    <w:unhideWhenUsed/>
    <w:rsid w:val="000B194A"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B194A"/>
    <w:rPr>
      <w:rFonts w:eastAsiaTheme="minorEastAsia"/>
      <w:i/>
      <w:iCs/>
      <w:kern w:val="24"/>
      <w:sz w:val="24"/>
      <w:szCs w:val="24"/>
      <w:lang w:val="en-US" w:eastAsia="ja-JP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B194A"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B194A"/>
    <w:rPr>
      <w:rFonts w:ascii="Consolas" w:eastAsiaTheme="minorEastAsia" w:hAnsi="Consolas" w:cs="Consolas"/>
      <w:kern w:val="24"/>
      <w:sz w:val="20"/>
      <w:szCs w:val="20"/>
      <w:lang w:val="en-US" w:eastAsia="ja-JP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B194A"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B194A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0B19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 w:firstLine="0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B194A"/>
    <w:rPr>
      <w:rFonts w:eastAsiaTheme="minorEastAsia"/>
      <w:i/>
      <w:iCs/>
      <w:color w:val="5B9BD5" w:themeColor="accent1"/>
      <w:kern w:val="24"/>
      <w:sz w:val="24"/>
      <w:szCs w:val="24"/>
      <w:lang w:val="en-US" w:eastAsia="ja-JP"/>
    </w:rPr>
  </w:style>
  <w:style w:type="paragraph" w:styleId="Liste">
    <w:name w:val="List"/>
    <w:basedOn w:val="Standard"/>
    <w:uiPriority w:val="99"/>
    <w:semiHidden/>
    <w:unhideWhenUsed/>
    <w:rsid w:val="000B194A"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rsid w:val="000B194A"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rsid w:val="000B194A"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rsid w:val="000B194A"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rsid w:val="000B194A"/>
    <w:pPr>
      <w:ind w:left="1800" w:firstLine="0"/>
      <w:contextualSpacing/>
    </w:pPr>
  </w:style>
  <w:style w:type="paragraph" w:styleId="Aufzhlungszeichen">
    <w:name w:val="List Bullet"/>
    <w:basedOn w:val="Standard"/>
    <w:uiPriority w:val="9"/>
    <w:unhideWhenUsed/>
    <w:qFormat/>
    <w:rsid w:val="000B194A"/>
    <w:pPr>
      <w:tabs>
        <w:tab w:val="num" w:pos="1080"/>
      </w:tabs>
      <w:ind w:left="108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B194A"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B194A"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B194A"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B194A"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B194A"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B194A"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B194A"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B194A"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B194A"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"/>
    <w:unhideWhenUsed/>
    <w:qFormat/>
    <w:rsid w:val="000B194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B194A"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B194A"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B194A"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B194A"/>
    <w:pPr>
      <w:numPr>
        <w:numId w:val="10"/>
      </w:numPr>
      <w:ind w:firstLine="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0B194A"/>
    <w:pPr>
      <w:ind w:left="720" w:firstLine="0"/>
      <w:contextualSpacing/>
    </w:pPr>
  </w:style>
  <w:style w:type="paragraph" w:styleId="Makrotext">
    <w:name w:val="macro"/>
    <w:link w:val="MakrotextZchn"/>
    <w:uiPriority w:val="99"/>
    <w:semiHidden/>
    <w:unhideWhenUsed/>
    <w:rsid w:val="000B19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Theme="minorEastAsia" w:hAnsi="Consolas" w:cs="Consolas"/>
      <w:kern w:val="24"/>
      <w:sz w:val="20"/>
      <w:szCs w:val="20"/>
      <w:lang w:val="en-US" w:eastAsia="ja-JP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B194A"/>
    <w:rPr>
      <w:rFonts w:ascii="Consolas" w:eastAsiaTheme="minorEastAsia" w:hAnsi="Consolas" w:cs="Consolas"/>
      <w:kern w:val="24"/>
      <w:sz w:val="20"/>
      <w:szCs w:val="20"/>
      <w:lang w:val="en-US" w:eastAsia="ja-JP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B19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B194A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val="en-US" w:eastAsia="ja-JP"/>
    </w:rPr>
  </w:style>
  <w:style w:type="paragraph" w:styleId="StandardWeb">
    <w:name w:val="Normal (Web)"/>
    <w:basedOn w:val="Standard"/>
    <w:uiPriority w:val="99"/>
    <w:semiHidden/>
    <w:unhideWhenUsed/>
    <w:rsid w:val="000B194A"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0B194A"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B194A"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194A"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194A"/>
    <w:rPr>
      <w:rFonts w:ascii="Consolas" w:eastAsiaTheme="minorEastAsia" w:hAnsi="Consolas" w:cs="Consolas"/>
      <w:kern w:val="24"/>
      <w:sz w:val="21"/>
      <w:szCs w:val="21"/>
      <w:lang w:val="en-US" w:eastAsia="ja-JP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0B194A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B194A"/>
    <w:rPr>
      <w:rFonts w:eastAsiaTheme="minorEastAsia"/>
      <w:i/>
      <w:iCs/>
      <w:color w:val="404040" w:themeColor="text1" w:themeTint="BF"/>
      <w:kern w:val="24"/>
      <w:sz w:val="24"/>
      <w:szCs w:val="24"/>
      <w:lang w:val="en-US" w:eastAsia="ja-JP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B194A"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B194A"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B194A"/>
    <w:rPr>
      <w:rFonts w:eastAsiaTheme="minorEastAsia"/>
      <w:kern w:val="24"/>
      <w:sz w:val="24"/>
      <w:szCs w:val="24"/>
      <w:lang w:val="en-US" w:eastAsia="ja-JP"/>
    </w:rPr>
  </w:style>
  <w:style w:type="paragraph" w:customStyle="1" w:styleId="Title2">
    <w:name w:val="Title 2"/>
    <w:basedOn w:val="Standard"/>
    <w:uiPriority w:val="10"/>
    <w:qFormat/>
    <w:rsid w:val="000B194A"/>
    <w:pPr>
      <w:ind w:firstLine="0"/>
      <w:jc w:val="center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B194A"/>
    <w:pPr>
      <w:ind w:left="240" w:firstLine="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B194A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B194A"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B194A"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B194A"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B194A"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B194A"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B194A"/>
    <w:pPr>
      <w:spacing w:after="100"/>
      <w:ind w:left="1920" w:firstLine="0"/>
    </w:pPr>
  </w:style>
  <w:style w:type="character" w:styleId="Endnotenzeichen">
    <w:name w:val="endnote reference"/>
    <w:basedOn w:val="Absatz-Standardschriftart"/>
    <w:uiPriority w:val="99"/>
    <w:semiHidden/>
    <w:unhideWhenUsed/>
    <w:rsid w:val="000B194A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qFormat/>
    <w:rsid w:val="000B194A"/>
    <w:rPr>
      <w:vertAlign w:val="superscript"/>
    </w:rPr>
  </w:style>
  <w:style w:type="table" w:customStyle="1" w:styleId="APAReport">
    <w:name w:val="APA Report"/>
    <w:basedOn w:val="NormaleTabelle"/>
    <w:uiPriority w:val="99"/>
    <w:rsid w:val="000B194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Standard"/>
    <w:uiPriority w:val="4"/>
    <w:qFormat/>
    <w:rsid w:val="000B194A"/>
    <w:pPr>
      <w:spacing w:before="240"/>
      <w:ind w:firstLine="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0B194A"/>
    <w:pPr>
      <w:jc w:val="center"/>
    </w:pPr>
    <w:rPr>
      <w:rFonts w:ascii="Calibri" w:hAnsi="Calibri"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B194A"/>
    <w:rPr>
      <w:rFonts w:ascii="Calibri" w:eastAsiaTheme="minorEastAsia" w:hAnsi="Calibri" w:cs="Times New Roman"/>
      <w:noProof/>
      <w:kern w:val="24"/>
      <w:sz w:val="24"/>
      <w:szCs w:val="24"/>
      <w:lang w:val="en-US" w:eastAsia="ja-JP"/>
    </w:rPr>
  </w:style>
  <w:style w:type="paragraph" w:customStyle="1" w:styleId="EndNoteBibliography">
    <w:name w:val="EndNote Bibliography"/>
    <w:basedOn w:val="Standard"/>
    <w:link w:val="EndNoteBibliographyZchn"/>
    <w:rsid w:val="000B194A"/>
    <w:pPr>
      <w:spacing w:line="240" w:lineRule="auto"/>
    </w:pPr>
    <w:rPr>
      <w:rFonts w:ascii="Calibri" w:hAnsi="Calibri"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0B194A"/>
    <w:rPr>
      <w:rFonts w:ascii="Calibri" w:eastAsiaTheme="minorEastAsia" w:hAnsi="Calibri" w:cs="Times New Roman"/>
      <w:noProof/>
      <w:kern w:val="24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weinbrecht</dc:creator>
  <cp:keywords/>
  <dc:description/>
  <cp:lastModifiedBy>weinbrecht</cp:lastModifiedBy>
  <cp:revision>4</cp:revision>
  <dcterms:created xsi:type="dcterms:W3CDTF">2015-10-30T13:33:00Z</dcterms:created>
  <dcterms:modified xsi:type="dcterms:W3CDTF">2015-10-30T13:37:00Z</dcterms:modified>
</cp:coreProperties>
</file>