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01" w:rsidRPr="00A2661F" w:rsidRDefault="00DA2F01">
      <w:pPr>
        <w:rPr>
          <w:b/>
        </w:rPr>
      </w:pPr>
      <w:proofErr w:type="gramStart"/>
      <w:r w:rsidRPr="00A2661F">
        <w:rPr>
          <w:b/>
        </w:rPr>
        <w:t>Appendix.</w:t>
      </w:r>
      <w:proofErr w:type="gramEnd"/>
      <w:r w:rsidRPr="00A2661F">
        <w:rPr>
          <w:b/>
        </w:rPr>
        <w:t xml:space="preserve"> </w:t>
      </w:r>
      <w:proofErr w:type="gramStart"/>
      <w:r w:rsidRPr="00A2661F">
        <w:t>Literature on which the MEDLO-tool aspects of daily life and operationalization are based on.</w:t>
      </w:r>
      <w:proofErr w:type="gramEnd"/>
    </w:p>
    <w:p w:rsidR="00102530" w:rsidRPr="00036B4B" w:rsidRDefault="00102530" w:rsidP="00102530">
      <w:pPr>
        <w:pStyle w:val="EndNoteBibliography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036B4B">
        <w:rPr>
          <w:rFonts w:asciiTheme="minorHAnsi" w:hAnsiTheme="minorHAnsi"/>
          <w:b/>
        </w:rPr>
        <w:t>Phinney, A., Chaudhury, H. and O'Connor, D. L.</w:t>
      </w:r>
      <w:r w:rsidRPr="00036B4B">
        <w:rPr>
          <w:rFonts w:asciiTheme="minorHAnsi" w:hAnsiTheme="minorHAnsi"/>
        </w:rPr>
        <w:t xml:space="preserve"> (2007). Doing as much as I can do: the meaning of activity for people with dementia. </w:t>
      </w:r>
      <w:r w:rsidRPr="00036B4B">
        <w:rPr>
          <w:rFonts w:asciiTheme="minorHAnsi" w:hAnsiTheme="minorHAnsi"/>
          <w:i/>
        </w:rPr>
        <w:t xml:space="preserve">Aging </w:t>
      </w:r>
      <w:r w:rsidR="00036B4B" w:rsidRPr="00036B4B">
        <w:rPr>
          <w:rFonts w:asciiTheme="minorHAnsi" w:hAnsiTheme="minorHAnsi"/>
          <w:i/>
        </w:rPr>
        <w:t xml:space="preserve">&amp; </w:t>
      </w:r>
      <w:r w:rsidRPr="00036B4B">
        <w:rPr>
          <w:rFonts w:asciiTheme="minorHAnsi" w:hAnsiTheme="minorHAnsi"/>
          <w:i/>
        </w:rPr>
        <w:t>Ment</w:t>
      </w:r>
      <w:r w:rsidR="00036B4B" w:rsidRPr="00036B4B">
        <w:rPr>
          <w:rFonts w:asciiTheme="minorHAnsi" w:hAnsiTheme="minorHAnsi"/>
          <w:i/>
        </w:rPr>
        <w:t>al</w:t>
      </w:r>
      <w:r w:rsidRPr="00036B4B">
        <w:rPr>
          <w:rFonts w:asciiTheme="minorHAnsi" w:hAnsiTheme="minorHAnsi"/>
          <w:i/>
        </w:rPr>
        <w:t xml:space="preserve"> Health</w:t>
      </w:r>
      <w:r w:rsidRPr="00036B4B">
        <w:rPr>
          <w:rFonts w:asciiTheme="minorHAnsi" w:hAnsiTheme="minorHAnsi"/>
        </w:rPr>
        <w:t>, 11, 384-393. Doi: 10.1080/13607860601086470.</w:t>
      </w:r>
    </w:p>
    <w:p w:rsidR="00DA2F01" w:rsidRDefault="00DA2F01" w:rsidP="00036B4B">
      <w:pPr>
        <w:pStyle w:val="ListParagraph"/>
        <w:numPr>
          <w:ilvl w:val="0"/>
          <w:numId w:val="2"/>
        </w:numPr>
        <w:spacing w:after="0" w:line="240" w:lineRule="atLeast"/>
      </w:pPr>
      <w:r w:rsidRPr="00036B4B">
        <w:rPr>
          <w:b/>
          <w:lang w:val="nl-NL"/>
        </w:rPr>
        <w:t>Bruin, S. R. D.</w:t>
      </w:r>
      <w:r w:rsidRPr="00036B4B">
        <w:rPr>
          <w:b/>
          <w:i/>
          <w:lang w:val="nl-NL"/>
        </w:rPr>
        <w:t>, et al.</w:t>
      </w:r>
      <w:r w:rsidRPr="00036B4B">
        <w:rPr>
          <w:lang w:val="nl-NL"/>
        </w:rPr>
        <w:t xml:space="preserve"> </w:t>
      </w:r>
      <w:r w:rsidRPr="00036B4B">
        <w:t xml:space="preserve">(2009). Green care farms promote activity among elderly people with dementia. </w:t>
      </w:r>
      <w:r w:rsidRPr="00036B4B">
        <w:rPr>
          <w:i/>
        </w:rPr>
        <w:t>Journal of Housing for the Elderly</w:t>
      </w:r>
      <w:r w:rsidRPr="00036B4B">
        <w:t xml:space="preserve">, 23, 368-389. </w:t>
      </w:r>
      <w:proofErr w:type="spellStart"/>
      <w:r w:rsidR="00036B4B" w:rsidRPr="00036B4B">
        <w:t>Doi</w:t>
      </w:r>
      <w:proofErr w:type="spellEnd"/>
      <w:r w:rsidR="00036B4B" w:rsidRPr="00036B4B">
        <w:t xml:space="preserve">: </w:t>
      </w:r>
      <w:r w:rsidR="00036B4B" w:rsidRPr="00036B4B">
        <w:rPr>
          <w:rFonts w:eastAsia="Times New Roman" w:cs="Times New Roman"/>
          <w:color w:val="000000"/>
        </w:rPr>
        <w:t>10.1080/02763890903327275</w:t>
      </w:r>
      <w:r w:rsidR="00036B4B" w:rsidRPr="00036B4B">
        <w:rPr>
          <w:rFonts w:eastAsia="Times New Roman" w:cs="Times New Roman"/>
          <w:color w:val="000000"/>
        </w:rPr>
        <w:t>.</w:t>
      </w:r>
    </w:p>
    <w:p w:rsidR="00102530" w:rsidRDefault="00102530" w:rsidP="00102530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Harmer, B. J. and Orrell, M.</w:t>
      </w:r>
      <w:r w:rsidRPr="00EA2C7F">
        <w:t xml:space="preserve"> (2008). What is meaningful activity for people with dementia living in care homes? A comparison of the views of older people with dementia, staff and family carers. </w:t>
      </w:r>
      <w:r w:rsidRPr="00EA2C7F">
        <w:rPr>
          <w:i/>
        </w:rPr>
        <w:t>Aging</w:t>
      </w:r>
      <w:r w:rsidR="00036B4B">
        <w:rPr>
          <w:i/>
        </w:rPr>
        <w:t xml:space="preserve"> &amp;</w:t>
      </w:r>
      <w:r w:rsidRPr="00EA2C7F">
        <w:rPr>
          <w:i/>
        </w:rPr>
        <w:t xml:space="preserve"> Ment</w:t>
      </w:r>
      <w:r w:rsidR="00036B4B">
        <w:rPr>
          <w:i/>
        </w:rPr>
        <w:t>al</w:t>
      </w:r>
      <w:r w:rsidRPr="00EA2C7F">
        <w:rPr>
          <w:i/>
        </w:rPr>
        <w:t xml:space="preserve"> Health</w:t>
      </w:r>
      <w:r w:rsidRPr="00EA2C7F">
        <w:t xml:space="preserve">, 12, 548-558. </w:t>
      </w:r>
      <w:r w:rsidR="00036B4B">
        <w:t xml:space="preserve">Doi: </w:t>
      </w:r>
      <w:r w:rsidRPr="00EA2C7F">
        <w:t>10.1080/13607860802343019.</w:t>
      </w:r>
    </w:p>
    <w:p w:rsidR="00102530" w:rsidRPr="00EA2C7F" w:rsidRDefault="00102530" w:rsidP="00102530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Kovach, C. R. and Magliocco, J. S.</w:t>
      </w:r>
      <w:r w:rsidRPr="00EA2C7F">
        <w:t xml:space="preserve"> (1998). Late-stage dementia and participation in therapeutic activities. </w:t>
      </w:r>
      <w:r w:rsidRPr="00EA2C7F">
        <w:rPr>
          <w:i/>
        </w:rPr>
        <w:t>Applied Nursing Research</w:t>
      </w:r>
      <w:r w:rsidRPr="00EA2C7F">
        <w:t>, 11, 167-173. Doi: 10.1016/S0897-1897(98)80285-1.</w:t>
      </w:r>
    </w:p>
    <w:p w:rsidR="00102530" w:rsidRPr="00EA2C7F" w:rsidRDefault="00102530" w:rsidP="00102530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Kolanowski, A.</w:t>
      </w:r>
      <w:r w:rsidRPr="00EA2C7F">
        <w:t xml:space="preserve"> (2006). Factors that relate to activity engagement in nursing home residents. </w:t>
      </w:r>
      <w:r w:rsidRPr="00EA2C7F">
        <w:rPr>
          <w:i/>
        </w:rPr>
        <w:t>Am</w:t>
      </w:r>
      <w:r w:rsidR="00036B4B">
        <w:rPr>
          <w:i/>
        </w:rPr>
        <w:t>erican</w:t>
      </w:r>
      <w:r w:rsidRPr="00EA2C7F">
        <w:rPr>
          <w:i/>
        </w:rPr>
        <w:t xml:space="preserve"> J</w:t>
      </w:r>
      <w:r w:rsidR="00036B4B">
        <w:rPr>
          <w:i/>
        </w:rPr>
        <w:t>ournal of</w:t>
      </w:r>
      <w:r w:rsidRPr="00EA2C7F">
        <w:rPr>
          <w:i/>
        </w:rPr>
        <w:t xml:space="preserve"> Alzheimer</w:t>
      </w:r>
      <w:r w:rsidR="00036B4B">
        <w:rPr>
          <w:i/>
        </w:rPr>
        <w:t>’</w:t>
      </w:r>
      <w:r w:rsidRPr="00EA2C7F">
        <w:rPr>
          <w:i/>
        </w:rPr>
        <w:t>s Dis</w:t>
      </w:r>
      <w:r w:rsidR="00036B4B">
        <w:rPr>
          <w:i/>
        </w:rPr>
        <w:t>ease and</w:t>
      </w:r>
      <w:r w:rsidRPr="00EA2C7F">
        <w:rPr>
          <w:i/>
        </w:rPr>
        <w:t xml:space="preserve"> Other Demen</w:t>
      </w:r>
      <w:r w:rsidR="00036B4B">
        <w:rPr>
          <w:i/>
        </w:rPr>
        <w:t>tias</w:t>
      </w:r>
      <w:r w:rsidRPr="00EA2C7F">
        <w:t>, 21, 15-22.</w:t>
      </w:r>
      <w:r w:rsidR="00036B4B">
        <w:t xml:space="preserve"> Doi: </w:t>
      </w:r>
      <w:r w:rsidRPr="00EA2C7F">
        <w:t>10.1177/153331750602100109.</w:t>
      </w:r>
    </w:p>
    <w:p w:rsidR="00102530" w:rsidRPr="00EA2C7F" w:rsidRDefault="00102530" w:rsidP="00102530">
      <w:pPr>
        <w:pStyle w:val="EndNoteBibliography"/>
        <w:numPr>
          <w:ilvl w:val="0"/>
          <w:numId w:val="2"/>
        </w:numPr>
        <w:spacing w:after="0"/>
      </w:pPr>
      <w:r w:rsidRPr="00102530">
        <w:rPr>
          <w:b/>
          <w:lang w:val="nl-NL"/>
        </w:rPr>
        <w:t>Van Raaij, J., Schonk, C. M., Vermaat-Miedema, S. H., Peek, M. and Hautvast, J.</w:t>
      </w:r>
      <w:r w:rsidRPr="00102530">
        <w:rPr>
          <w:lang w:val="nl-NL"/>
        </w:rPr>
        <w:t xml:space="preserve"> (1990). </w:t>
      </w:r>
      <w:r w:rsidRPr="00EA2C7F">
        <w:t xml:space="preserve">Energy cost of physical activity throughout pregnancy and the first year postpartum in Dutch women with sedentary lifestyles. </w:t>
      </w:r>
      <w:r w:rsidRPr="00EA2C7F">
        <w:rPr>
          <w:i/>
        </w:rPr>
        <w:t>The American</w:t>
      </w:r>
      <w:r w:rsidR="00724150">
        <w:rPr>
          <w:i/>
        </w:rPr>
        <w:t xml:space="preserve"> Journal of Clinical N</w:t>
      </w:r>
      <w:r w:rsidRPr="00EA2C7F">
        <w:rPr>
          <w:i/>
        </w:rPr>
        <w:t>utrition</w:t>
      </w:r>
      <w:r w:rsidRPr="00EA2C7F">
        <w:t xml:space="preserve">, 52, 234-239. </w:t>
      </w:r>
    </w:p>
    <w:p w:rsidR="00102530" w:rsidRPr="00EA2C7F" w:rsidRDefault="00102530" w:rsidP="00102530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Harper Ice, G.</w:t>
      </w:r>
      <w:r w:rsidRPr="00EA2C7F">
        <w:t xml:space="preserve"> (2002). Daily life in a nursing home: Has it changed in 25 years? </w:t>
      </w:r>
      <w:r w:rsidRPr="00EA2C7F">
        <w:rPr>
          <w:i/>
        </w:rPr>
        <w:t>Journal of Aging Studies</w:t>
      </w:r>
      <w:r w:rsidRPr="00EA2C7F">
        <w:t>, 16, 345-359. Doi: 10.1016/S0890-4065(02)00069-5.</w:t>
      </w:r>
    </w:p>
    <w:p w:rsidR="009965FD" w:rsidRPr="00EA2C7F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Wood, W.</w:t>
      </w:r>
      <w:r w:rsidRPr="00EA2C7F">
        <w:t xml:space="preserve"> (2005b). Toward Developing New Occupational Science Measures: An Example from Dementia Care Research. </w:t>
      </w:r>
      <w:r w:rsidRPr="00EA2C7F">
        <w:rPr>
          <w:i/>
        </w:rPr>
        <w:t>Journal of Occupational Science</w:t>
      </w:r>
      <w:r w:rsidRPr="00EA2C7F">
        <w:t xml:space="preserve">, 12, 121-129. </w:t>
      </w:r>
      <w:r w:rsidR="00724150">
        <w:t xml:space="preserve">Doi: </w:t>
      </w:r>
      <w:r w:rsidRPr="00EA2C7F">
        <w:t>10.1080/14427591.2005.9686555.</w:t>
      </w:r>
    </w:p>
    <w:p w:rsidR="009965FD" w:rsidRPr="00EA2C7F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Wood, W.</w:t>
      </w:r>
      <w:r w:rsidRPr="00EA2C7F">
        <w:t xml:space="preserve"> (2005a). Activity situations on an Alzheimer's disease special care unit and resident environmental interaction, time use, and affect. </w:t>
      </w:r>
      <w:r w:rsidR="00724150" w:rsidRPr="00EA2C7F">
        <w:rPr>
          <w:i/>
        </w:rPr>
        <w:t>Am</w:t>
      </w:r>
      <w:r w:rsidR="00724150">
        <w:rPr>
          <w:i/>
        </w:rPr>
        <w:t>erican</w:t>
      </w:r>
      <w:r w:rsidR="00724150" w:rsidRPr="00EA2C7F">
        <w:rPr>
          <w:i/>
        </w:rPr>
        <w:t xml:space="preserve"> J</w:t>
      </w:r>
      <w:r w:rsidR="00724150">
        <w:rPr>
          <w:i/>
        </w:rPr>
        <w:t>ournal of</w:t>
      </w:r>
      <w:r w:rsidR="00724150" w:rsidRPr="00EA2C7F">
        <w:rPr>
          <w:i/>
        </w:rPr>
        <w:t xml:space="preserve"> Alzheimer</w:t>
      </w:r>
      <w:r w:rsidR="00724150">
        <w:rPr>
          <w:i/>
        </w:rPr>
        <w:t>’</w:t>
      </w:r>
      <w:r w:rsidR="00724150" w:rsidRPr="00EA2C7F">
        <w:rPr>
          <w:i/>
        </w:rPr>
        <w:t>s Dis</w:t>
      </w:r>
      <w:r w:rsidR="00724150">
        <w:rPr>
          <w:i/>
        </w:rPr>
        <w:t>ease and</w:t>
      </w:r>
      <w:r w:rsidR="00724150" w:rsidRPr="00EA2C7F">
        <w:rPr>
          <w:i/>
        </w:rPr>
        <w:t xml:space="preserve"> Other Demen</w:t>
      </w:r>
      <w:r w:rsidR="00724150">
        <w:rPr>
          <w:i/>
        </w:rPr>
        <w:t>tias</w:t>
      </w:r>
      <w:r w:rsidRPr="00EA2C7F">
        <w:t>, 20, 105-118. Doi: 10.1177/153331750502000210.</w:t>
      </w:r>
    </w:p>
    <w:p w:rsidR="009965FD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9965FD">
        <w:rPr>
          <w:b/>
        </w:rPr>
        <w:t>Wood, W., Womack, J. and Hooper, B.</w:t>
      </w:r>
      <w:r w:rsidRPr="00EA2C7F">
        <w:t xml:space="preserve"> (2009). Dying of boredom: An exploratory case study of time use, apparent affect, and routine activity situations on two Alzheimer’s special care units. </w:t>
      </w:r>
      <w:r w:rsidRPr="009965FD">
        <w:rPr>
          <w:i/>
        </w:rPr>
        <w:t>Am</w:t>
      </w:r>
      <w:r w:rsidR="00724150">
        <w:rPr>
          <w:i/>
        </w:rPr>
        <w:t>erican</w:t>
      </w:r>
      <w:r w:rsidRPr="009965FD">
        <w:rPr>
          <w:i/>
        </w:rPr>
        <w:t xml:space="preserve"> J</w:t>
      </w:r>
      <w:r w:rsidR="00724150">
        <w:rPr>
          <w:i/>
        </w:rPr>
        <w:t>ournal of</w:t>
      </w:r>
      <w:r w:rsidRPr="009965FD">
        <w:rPr>
          <w:i/>
        </w:rPr>
        <w:t xml:space="preserve"> Occup</w:t>
      </w:r>
      <w:r w:rsidR="00724150">
        <w:rPr>
          <w:i/>
        </w:rPr>
        <w:t>ational</w:t>
      </w:r>
      <w:r w:rsidRPr="009965FD">
        <w:rPr>
          <w:i/>
        </w:rPr>
        <w:t xml:space="preserve"> Ther</w:t>
      </w:r>
      <w:r w:rsidR="00724150">
        <w:rPr>
          <w:i/>
        </w:rPr>
        <w:t>apy</w:t>
      </w:r>
      <w:r w:rsidRPr="00EA2C7F">
        <w:t xml:space="preserve">, 63, 337-350. </w:t>
      </w:r>
      <w:r w:rsidR="00724150">
        <w:t>Doi: 10.5014/ajot.63.3.337.</w:t>
      </w:r>
    </w:p>
    <w:p w:rsidR="009965FD" w:rsidRDefault="009965FD" w:rsidP="00724150">
      <w:pPr>
        <w:pStyle w:val="EndNoteBibliography"/>
        <w:numPr>
          <w:ilvl w:val="0"/>
          <w:numId w:val="2"/>
        </w:numPr>
        <w:spacing w:after="0"/>
      </w:pPr>
      <w:r w:rsidRPr="009965FD">
        <w:rPr>
          <w:b/>
        </w:rPr>
        <w:t>Cohen-Mansfield, J., Thein, K., Dakheel-Ali, M. and Marx, M. S.</w:t>
      </w:r>
      <w:r w:rsidRPr="00EA2C7F">
        <w:t xml:space="preserve"> (2010). The underlying meaning of stimuli: Impact on engagement of persons with dementia. </w:t>
      </w:r>
      <w:r w:rsidRPr="009965FD">
        <w:rPr>
          <w:i/>
        </w:rPr>
        <w:t>Psychiatry Res</w:t>
      </w:r>
      <w:r w:rsidR="00724150">
        <w:rPr>
          <w:i/>
        </w:rPr>
        <w:t>earch</w:t>
      </w:r>
      <w:r w:rsidRPr="00EA2C7F">
        <w:t xml:space="preserve">, 177, 216-222. </w:t>
      </w:r>
      <w:r w:rsidR="00724150">
        <w:t xml:space="preserve">Doi: </w:t>
      </w:r>
      <w:r w:rsidR="00724150" w:rsidRPr="00724150">
        <w:t>10.1016/j.psychres.2009.02.010</w:t>
      </w:r>
      <w:r w:rsidR="00724150">
        <w:t>.</w:t>
      </w:r>
    </w:p>
    <w:p w:rsidR="00DA2F01" w:rsidRDefault="00DA2F01" w:rsidP="00EA2C7F">
      <w:pPr>
        <w:pStyle w:val="EndNoteBibliography"/>
        <w:numPr>
          <w:ilvl w:val="0"/>
          <w:numId w:val="2"/>
        </w:numPr>
        <w:spacing w:after="0"/>
      </w:pPr>
      <w:r w:rsidRPr="009965FD">
        <w:rPr>
          <w:b/>
        </w:rPr>
        <w:t>Dean, R., Proudfoot, R. and Lindesay, J.</w:t>
      </w:r>
      <w:r w:rsidRPr="00EA2C7F">
        <w:t xml:space="preserve"> (1993). The quality of interactions schedule (QUIS): development, reliability and use in the evaluation of two domus units. </w:t>
      </w:r>
      <w:r w:rsidRPr="009965FD">
        <w:rPr>
          <w:i/>
        </w:rPr>
        <w:t>Int</w:t>
      </w:r>
      <w:r w:rsidR="00724150">
        <w:rPr>
          <w:i/>
        </w:rPr>
        <w:t>ernational</w:t>
      </w:r>
      <w:r w:rsidRPr="009965FD">
        <w:rPr>
          <w:i/>
        </w:rPr>
        <w:t xml:space="preserve"> J</w:t>
      </w:r>
      <w:r w:rsidR="00724150">
        <w:rPr>
          <w:i/>
        </w:rPr>
        <w:t>ournal of</w:t>
      </w:r>
      <w:r w:rsidRPr="009965FD">
        <w:rPr>
          <w:i/>
        </w:rPr>
        <w:t xml:space="preserve"> Geriatr</w:t>
      </w:r>
      <w:r w:rsidR="00724150">
        <w:rPr>
          <w:i/>
        </w:rPr>
        <w:t>ic</w:t>
      </w:r>
      <w:r w:rsidRPr="009965FD">
        <w:rPr>
          <w:i/>
        </w:rPr>
        <w:t xml:space="preserve"> Psychiatry</w:t>
      </w:r>
      <w:r w:rsidRPr="00EA2C7F">
        <w:t>, 8, 819-826. Doi: 10.1002/gps.930081004.</w:t>
      </w:r>
    </w:p>
    <w:p w:rsidR="009965FD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Knight, T. and Mellor, D.</w:t>
      </w:r>
      <w:r w:rsidRPr="00EA2C7F">
        <w:t xml:space="preserve"> (2007). Social inclusion of older adults in care: Is it just a question of providing activities? </w:t>
      </w:r>
      <w:r w:rsidRPr="00EA2C7F">
        <w:rPr>
          <w:i/>
        </w:rPr>
        <w:t>International Journal of Qualitative Studies on Health and Well-being</w:t>
      </w:r>
      <w:r w:rsidRPr="00EA2C7F">
        <w:t>, 2, 76-85.</w:t>
      </w:r>
      <w:r w:rsidR="00724150">
        <w:t xml:space="preserve"> Doi:</w:t>
      </w:r>
      <w:r w:rsidRPr="00EA2C7F">
        <w:t xml:space="preserve"> 10.1080/17482620701320802.</w:t>
      </w:r>
    </w:p>
    <w:p w:rsidR="009965FD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Kitwood, T. and Bredin, K.</w:t>
      </w:r>
      <w:r w:rsidRPr="00EA2C7F">
        <w:t xml:space="preserve"> (1992). A new approach to the evaluation of dementia care. </w:t>
      </w:r>
      <w:r w:rsidRPr="00EA2C7F">
        <w:rPr>
          <w:i/>
        </w:rPr>
        <w:t>Journal of Advances in Health and Nursing Care</w:t>
      </w:r>
      <w:r w:rsidRPr="00EA2C7F">
        <w:t>, 1, 41-60.</w:t>
      </w:r>
    </w:p>
    <w:p w:rsidR="009965FD" w:rsidRPr="00EA2C7F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Bradford Dementia Group</w:t>
      </w:r>
      <w:r w:rsidRPr="00EA2C7F">
        <w:t xml:space="preserve"> (2005). </w:t>
      </w:r>
      <w:r w:rsidRPr="00EA2C7F">
        <w:rPr>
          <w:i/>
        </w:rPr>
        <w:t>DCM 8 User's Manual</w:t>
      </w:r>
      <w:r w:rsidRPr="00EA2C7F">
        <w:t>. Bradford: University of Bradford.</w:t>
      </w:r>
    </w:p>
    <w:p w:rsidR="009965FD" w:rsidRPr="00EA2C7F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Brooker, D.</w:t>
      </w:r>
      <w:r w:rsidRPr="00EA2C7F">
        <w:t xml:space="preserve"> (2005). Dementia care mapping: a review of the research literature. </w:t>
      </w:r>
      <w:r w:rsidR="00724150">
        <w:t xml:space="preserve">The </w:t>
      </w:r>
      <w:r w:rsidRPr="00EA2C7F">
        <w:rPr>
          <w:i/>
        </w:rPr>
        <w:t>Gerontologist</w:t>
      </w:r>
      <w:r w:rsidRPr="00EA2C7F">
        <w:t xml:space="preserve">, 45, 11-18. </w:t>
      </w:r>
      <w:r w:rsidR="00724150">
        <w:t>Doi: 10.1093/geront/45.suppl_1.11.</w:t>
      </w:r>
    </w:p>
    <w:p w:rsidR="00DB3C96" w:rsidRPr="00DB3C96" w:rsidRDefault="009965FD" w:rsidP="00DB3C96">
      <w:pPr>
        <w:pStyle w:val="EndNoteBibliography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DB3C96">
        <w:rPr>
          <w:rFonts w:asciiTheme="minorHAnsi" w:hAnsiTheme="minorHAnsi"/>
          <w:b/>
        </w:rPr>
        <w:t>Brooker, D.</w:t>
      </w:r>
      <w:r w:rsidR="00DB3C96" w:rsidRPr="00DB3C96">
        <w:rPr>
          <w:rFonts w:asciiTheme="minorHAnsi" w:hAnsiTheme="minorHAnsi"/>
        </w:rPr>
        <w:t xml:space="preserve"> </w:t>
      </w:r>
      <w:r w:rsidR="00DB3C96" w:rsidRPr="00DB3C96">
        <w:rPr>
          <w:rFonts w:asciiTheme="minorHAnsi" w:hAnsiTheme="minorHAnsi" w:cs="Arial"/>
          <w:color w:val="000000"/>
          <w:shd w:val="clear" w:color="auto" w:fill="FFFFFF"/>
        </w:rPr>
        <w:t xml:space="preserve">(2010) Dementia Care Mapping, in Principles and Practice of Geriatric Psychiatry, Third Edition (eds M. T. Abou-Saleh, C. Katona and A. Kumar), John Wiley &amp; </w:t>
      </w:r>
      <w:r w:rsidR="00DB3C96">
        <w:rPr>
          <w:rFonts w:asciiTheme="minorHAnsi" w:hAnsiTheme="minorHAnsi" w:cs="Arial"/>
          <w:color w:val="000000"/>
          <w:shd w:val="clear" w:color="auto" w:fill="FFFFFF"/>
        </w:rPr>
        <w:t>Sons, Ltd, Chichester, UK. D</w:t>
      </w:r>
      <w:r w:rsidR="00DB3C96" w:rsidRPr="00DB3C96">
        <w:rPr>
          <w:rFonts w:asciiTheme="minorHAnsi" w:hAnsiTheme="minorHAnsi" w:cs="Arial"/>
          <w:color w:val="000000"/>
          <w:shd w:val="clear" w:color="auto" w:fill="FFFFFF"/>
        </w:rPr>
        <w:t>oi: 10.1002/9780470669600.ch30</w:t>
      </w:r>
      <w:r w:rsidR="00DB3C96">
        <w:rPr>
          <w:rFonts w:asciiTheme="minorHAnsi" w:hAnsiTheme="minorHAnsi"/>
        </w:rPr>
        <w:t>.</w:t>
      </w:r>
    </w:p>
    <w:p w:rsidR="009965FD" w:rsidRPr="00EA2C7F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102530">
        <w:rPr>
          <w:b/>
          <w:lang w:val="nl-NL"/>
        </w:rPr>
        <w:t>Sloane, P. D.</w:t>
      </w:r>
      <w:r w:rsidRPr="00102530">
        <w:rPr>
          <w:b/>
          <w:i/>
          <w:lang w:val="nl-NL"/>
        </w:rPr>
        <w:t>, et al.</w:t>
      </w:r>
      <w:r w:rsidRPr="00102530">
        <w:rPr>
          <w:lang w:val="nl-NL"/>
        </w:rPr>
        <w:t xml:space="preserve"> </w:t>
      </w:r>
      <w:r w:rsidRPr="00EA2C7F">
        <w:t xml:space="preserve">(2007). Dementia care mapping as a research tool. </w:t>
      </w:r>
      <w:r w:rsidRPr="00EA2C7F">
        <w:rPr>
          <w:i/>
        </w:rPr>
        <w:t>Int</w:t>
      </w:r>
      <w:r w:rsidR="00DB3C96">
        <w:rPr>
          <w:i/>
        </w:rPr>
        <w:t>ernational</w:t>
      </w:r>
      <w:r w:rsidRPr="00EA2C7F">
        <w:rPr>
          <w:i/>
        </w:rPr>
        <w:t xml:space="preserve"> J</w:t>
      </w:r>
      <w:r w:rsidR="00DB3C96">
        <w:rPr>
          <w:i/>
        </w:rPr>
        <w:t>ournal of</w:t>
      </w:r>
      <w:r w:rsidRPr="00EA2C7F">
        <w:rPr>
          <w:i/>
        </w:rPr>
        <w:t xml:space="preserve"> Geriatr</w:t>
      </w:r>
      <w:r w:rsidR="00DB3C96">
        <w:rPr>
          <w:i/>
        </w:rPr>
        <w:t>ic</w:t>
      </w:r>
      <w:r w:rsidRPr="00EA2C7F">
        <w:rPr>
          <w:i/>
        </w:rPr>
        <w:t xml:space="preserve"> Psychiatry</w:t>
      </w:r>
      <w:r w:rsidRPr="00EA2C7F">
        <w:t xml:space="preserve">, 22, 580-589. </w:t>
      </w:r>
      <w:r w:rsidR="00DB3C96">
        <w:t>Doi: 10.1002/gps.1721.</w:t>
      </w:r>
    </w:p>
    <w:p w:rsidR="009965FD" w:rsidRPr="00EA2C7F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lastRenderedPageBreak/>
        <w:t>Rosen, J.</w:t>
      </w:r>
      <w:r w:rsidRPr="00EA2C7F">
        <w:rPr>
          <w:b/>
          <w:i/>
        </w:rPr>
        <w:t>, et al.</w:t>
      </w:r>
      <w:r w:rsidRPr="00EA2C7F">
        <w:t xml:space="preserve"> (1995). The Pittsburgh Agitation Scale: A User‐Friendly Instrument for Rating Agitation in Dementia Patients. </w:t>
      </w:r>
      <w:r w:rsidRPr="00EA2C7F">
        <w:rPr>
          <w:i/>
        </w:rPr>
        <w:t>The American Journal of Geriatric Psychiatry</w:t>
      </w:r>
      <w:r w:rsidRPr="00EA2C7F">
        <w:t>, 2, 52-59. Doi: 10.1097/00019442-199400210-00008.</w:t>
      </w:r>
    </w:p>
    <w:p w:rsidR="009965FD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Morley, J. E., Philpot, C. D., Gill, D. and Berg-Weger, M.</w:t>
      </w:r>
      <w:r w:rsidRPr="00EA2C7F">
        <w:t xml:space="preserve"> (2014). Meaningful activities in the nursing home. </w:t>
      </w:r>
      <w:r w:rsidRPr="00EA2C7F">
        <w:rPr>
          <w:i/>
        </w:rPr>
        <w:t>Journal of the American Medical Directors Association</w:t>
      </w:r>
      <w:r w:rsidRPr="00EA2C7F">
        <w:t>, 15</w:t>
      </w:r>
      <w:r w:rsidR="00DB3C96">
        <w:t>, 79-81. Doi: 10.1016/j.jamda.2013.11.022.</w:t>
      </w:r>
      <w:r w:rsidRPr="00EA2C7F">
        <w:t xml:space="preserve"> </w:t>
      </w:r>
    </w:p>
    <w:p w:rsidR="009965FD" w:rsidRPr="00EA2C7F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Tak, S. H., Kedia, S., Tongumpun, T. M. and Hong, S. H.</w:t>
      </w:r>
      <w:r w:rsidRPr="00EA2C7F">
        <w:t xml:space="preserve"> (2015). Activity Engagement: Perspectives from Nursing Home Residents with Dementia. </w:t>
      </w:r>
      <w:r w:rsidRPr="00EA2C7F">
        <w:rPr>
          <w:i/>
        </w:rPr>
        <w:t>Educ</w:t>
      </w:r>
      <w:r w:rsidR="00DB3C96">
        <w:rPr>
          <w:i/>
        </w:rPr>
        <w:t>ational</w:t>
      </w:r>
      <w:r w:rsidRPr="00EA2C7F">
        <w:rPr>
          <w:i/>
        </w:rPr>
        <w:t xml:space="preserve"> Gerontol</w:t>
      </w:r>
      <w:r w:rsidR="00DB3C96">
        <w:rPr>
          <w:i/>
        </w:rPr>
        <w:t>y</w:t>
      </w:r>
      <w:r w:rsidRPr="00EA2C7F">
        <w:t>, 41, 182-192.</w:t>
      </w:r>
      <w:r w:rsidR="00DB3C96">
        <w:t xml:space="preserve"> Doi: 10.1080/03601277.2014.937217.</w:t>
      </w:r>
      <w:r w:rsidRPr="00EA2C7F">
        <w:t xml:space="preserve"> </w:t>
      </w:r>
    </w:p>
    <w:p w:rsidR="009965FD" w:rsidRPr="00EA2C7F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Brooker, D., Foster, N., Banner, A., Payne, M. and Jackson, L.</w:t>
      </w:r>
      <w:r w:rsidRPr="00EA2C7F">
        <w:t xml:space="preserve"> (1998). The efficacy of Dementia Care Mapping as an audit tool: Report of a 3-year British NHS evaluation</w:t>
      </w:r>
      <w:r w:rsidR="00DB3C96">
        <w:t xml:space="preserve">. </w:t>
      </w:r>
      <w:r w:rsidR="00DB3C96">
        <w:rPr>
          <w:i/>
        </w:rPr>
        <w:t>Aging &amp; Mental Health.</w:t>
      </w:r>
      <w:r w:rsidR="00DB3C96">
        <w:t xml:space="preserve"> 2, 60-70. Doi: 10.1080/13607869856957.</w:t>
      </w:r>
      <w:r w:rsidRPr="00EA2C7F">
        <w:t xml:space="preserve"> </w:t>
      </w:r>
    </w:p>
    <w:p w:rsidR="009965FD" w:rsidRPr="009965FD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Vernooij-Dassen, M.</w:t>
      </w:r>
      <w:r w:rsidRPr="00EA2C7F">
        <w:t xml:space="preserve"> (2007). Meaningful activities for people with dementia</w:t>
      </w:r>
      <w:r w:rsidR="00D745E3">
        <w:t xml:space="preserve">. </w:t>
      </w:r>
      <w:r w:rsidR="00D745E3">
        <w:rPr>
          <w:i/>
        </w:rPr>
        <w:t>Aging &amp; Mental Health.</w:t>
      </w:r>
      <w:r w:rsidR="00D745E3">
        <w:t xml:space="preserve"> 11, 359-360. Doi: 10.1080/13607860701498443.</w:t>
      </w:r>
    </w:p>
    <w:p w:rsidR="009965FD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Edvardsson, D., Petersson, L., Sjogren, K., Lindkvist, M. and Sandman, P. O.</w:t>
      </w:r>
      <w:r w:rsidRPr="00EA2C7F">
        <w:t xml:space="preserve"> (2013). Everyday activities for people with dementia in residential aged care: associations with person‐centredness and quality of life. </w:t>
      </w:r>
      <w:r w:rsidRPr="00EA2C7F">
        <w:rPr>
          <w:i/>
        </w:rPr>
        <w:t>International journal of older people nursing</w:t>
      </w:r>
      <w:r w:rsidRPr="00EA2C7F">
        <w:t>, 9, 269-276. Doi: 10.1111/opn.12030.</w:t>
      </w:r>
    </w:p>
    <w:p w:rsidR="009965FD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Day, K., Carreon, D. and Stump, C.</w:t>
      </w:r>
      <w:r w:rsidRPr="00EA2C7F">
        <w:t xml:space="preserve"> (2000). The therapeutic design of environments for people with dementia a review of the empirical research. </w:t>
      </w:r>
      <w:r w:rsidR="00D745E3">
        <w:t xml:space="preserve">The </w:t>
      </w:r>
      <w:r w:rsidRPr="00EA2C7F">
        <w:rPr>
          <w:i/>
        </w:rPr>
        <w:t>Gerontologist</w:t>
      </w:r>
      <w:r w:rsidRPr="00EA2C7F">
        <w:t xml:space="preserve">, 40, 397-416. </w:t>
      </w:r>
      <w:r w:rsidR="00D745E3">
        <w:t>Doi: 10.1093/geront/40.4.397.</w:t>
      </w:r>
    </w:p>
    <w:p w:rsidR="009965FD" w:rsidRPr="00EA2C7F" w:rsidRDefault="009965FD" w:rsidP="009965FD">
      <w:pPr>
        <w:pStyle w:val="EndNoteBibliography"/>
        <w:numPr>
          <w:ilvl w:val="0"/>
          <w:numId w:val="2"/>
        </w:numPr>
        <w:spacing w:after="0"/>
      </w:pPr>
      <w:r w:rsidRPr="00EA2C7F">
        <w:rPr>
          <w:b/>
        </w:rPr>
        <w:t>Casey, A. N., Low, L. F., Goodenough, B., Fletcher, J. and Brodaty, H.</w:t>
      </w:r>
      <w:r w:rsidRPr="00EA2C7F">
        <w:t xml:space="preserve"> (2014). Computer-Assisted Direct Observation of Behavioral Agitation, Engagement, and Affect in Long-Term Care Residents. </w:t>
      </w:r>
      <w:r w:rsidRPr="00EA2C7F">
        <w:rPr>
          <w:i/>
        </w:rPr>
        <w:t>Journal of the American Medical Directors Association</w:t>
      </w:r>
      <w:r w:rsidRPr="00EA2C7F">
        <w:t>, 15, 514-520. Doi: 10.1016/j.jamda.2014.03.006.</w:t>
      </w:r>
    </w:p>
    <w:p w:rsidR="005A00F6" w:rsidRDefault="009965FD" w:rsidP="00DB3C96">
      <w:pPr>
        <w:pStyle w:val="EndNoteBibliography"/>
        <w:numPr>
          <w:ilvl w:val="0"/>
          <w:numId w:val="2"/>
        </w:numPr>
        <w:spacing w:after="0"/>
      </w:pPr>
      <w:r w:rsidRPr="00D745E3">
        <w:rPr>
          <w:b/>
        </w:rPr>
        <w:t>Smit, D., de Lange, J., Willemse, B. and Pot, A. M.</w:t>
      </w:r>
      <w:r w:rsidRPr="00EA2C7F">
        <w:t xml:space="preserve"> (2012). The relationship between small-scale care and activity involvement of residents with dementia. </w:t>
      </w:r>
      <w:r w:rsidRPr="00D745E3">
        <w:rPr>
          <w:i/>
        </w:rPr>
        <w:t>International Psychogeriatrics</w:t>
      </w:r>
      <w:r>
        <w:t>, 24, 722</w:t>
      </w:r>
      <w:r w:rsidRPr="00D745E3">
        <w:rPr>
          <w:rFonts w:asciiTheme="minorHAnsi" w:hAnsiTheme="minorHAnsi"/>
        </w:rPr>
        <w:t>-732.</w:t>
      </w:r>
      <w:r w:rsidR="00D745E3" w:rsidRPr="00D745E3">
        <w:rPr>
          <w:rFonts w:asciiTheme="minorHAnsi" w:hAnsiTheme="minorHAnsi"/>
        </w:rPr>
        <w:t xml:space="preserve"> Doi: </w:t>
      </w:r>
      <w:r w:rsidR="00D745E3" w:rsidRPr="00D745E3">
        <w:rPr>
          <w:rFonts w:asciiTheme="minorHAnsi" w:eastAsia="Arial Unicode MS" w:hAnsiTheme="minorHAnsi" w:cs="Arial Unicode MS"/>
          <w:bdr w:val="none" w:sz="0" w:space="0" w:color="auto" w:frame="1"/>
          <w:shd w:val="clear" w:color="auto" w:fill="F1F1F1"/>
        </w:rPr>
        <w:t>http://dx.doi.org/10.1017/S1041610211002377</w:t>
      </w:r>
      <w:r w:rsidR="00D745E3">
        <w:rPr>
          <w:rFonts w:asciiTheme="minorHAnsi" w:eastAsia="Arial Unicode MS" w:hAnsiTheme="minorHAnsi" w:cs="Arial Unicode MS"/>
          <w:bdr w:val="none" w:sz="0" w:space="0" w:color="auto" w:frame="1"/>
          <w:shd w:val="clear" w:color="auto" w:fill="F1F1F1"/>
        </w:rPr>
        <w:t>.</w:t>
      </w:r>
      <w:bookmarkStart w:id="0" w:name="_GoBack"/>
      <w:bookmarkEnd w:id="0"/>
    </w:p>
    <w:sectPr w:rsidR="005A00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F3B"/>
    <w:multiLevelType w:val="hybridMultilevel"/>
    <w:tmpl w:val="DE5AB190"/>
    <w:lvl w:ilvl="0" w:tplc="9886C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90EEB"/>
    <w:multiLevelType w:val="hybridMultilevel"/>
    <w:tmpl w:val="3774DCB0"/>
    <w:lvl w:ilvl="0" w:tplc="9EA24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A2F01"/>
    <w:rsid w:val="00036B4B"/>
    <w:rsid w:val="00102530"/>
    <w:rsid w:val="005A00F6"/>
    <w:rsid w:val="00724150"/>
    <w:rsid w:val="009965FD"/>
    <w:rsid w:val="009D1777"/>
    <w:rsid w:val="00D745E3"/>
    <w:rsid w:val="00DA2F01"/>
    <w:rsid w:val="00D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2F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01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DA2F01"/>
    <w:pPr>
      <w:spacing w:after="0"/>
      <w:jc w:val="center"/>
    </w:pPr>
    <w:rPr>
      <w:rFonts w:ascii="Calibri" w:hAnsi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2F01"/>
  </w:style>
  <w:style w:type="character" w:customStyle="1" w:styleId="EndNoteBibliographyTitleChar">
    <w:name w:val="EndNote Bibliography Title Char"/>
    <w:basedOn w:val="ListParagraphChar"/>
    <w:link w:val="EndNoteBibliographyTitle"/>
    <w:rsid w:val="00DA2F01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A2F01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DA2F01"/>
    <w:rPr>
      <w:rFonts w:ascii="Calibri" w:hAnsi="Calibri"/>
      <w:noProof/>
    </w:rPr>
  </w:style>
  <w:style w:type="paragraph" w:styleId="NoSpacing">
    <w:name w:val="No Spacing"/>
    <w:link w:val="NoSpacingChar"/>
    <w:uiPriority w:val="1"/>
    <w:qFormat/>
    <w:rsid w:val="00DA2F01"/>
    <w:pPr>
      <w:spacing w:after="0" w:line="240" w:lineRule="auto"/>
    </w:pPr>
    <w:rPr>
      <w:lang w:val="nl-NL"/>
    </w:rPr>
  </w:style>
  <w:style w:type="character" w:customStyle="1" w:styleId="NoSpacingChar">
    <w:name w:val="No Spacing Char"/>
    <w:link w:val="NoSpacing"/>
    <w:uiPriority w:val="1"/>
    <w:locked/>
    <w:rsid w:val="00DA2F01"/>
    <w:rPr>
      <w:lang w:val="nl-NL"/>
    </w:rPr>
  </w:style>
  <w:style w:type="character" w:styleId="Strong">
    <w:name w:val="Strong"/>
    <w:basedOn w:val="DefaultParagraphFont"/>
    <w:uiPriority w:val="22"/>
    <w:qFormat/>
    <w:rsid w:val="00036B4B"/>
    <w:rPr>
      <w:b/>
      <w:bCs/>
    </w:rPr>
  </w:style>
  <w:style w:type="character" w:styleId="Hyperlink">
    <w:name w:val="Hyperlink"/>
    <w:basedOn w:val="DefaultParagraphFont"/>
    <w:uiPriority w:val="99"/>
    <w:unhideWhenUsed/>
    <w:rsid w:val="0072415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4150"/>
  </w:style>
  <w:style w:type="character" w:customStyle="1" w:styleId="slug-doi">
    <w:name w:val="slug-doi"/>
    <w:basedOn w:val="DefaultParagraphFont"/>
    <w:rsid w:val="00724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2F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01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DA2F01"/>
    <w:pPr>
      <w:spacing w:after="0"/>
      <w:jc w:val="center"/>
    </w:pPr>
    <w:rPr>
      <w:rFonts w:ascii="Calibri" w:hAnsi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2F01"/>
  </w:style>
  <w:style w:type="character" w:customStyle="1" w:styleId="EndNoteBibliographyTitleChar">
    <w:name w:val="EndNote Bibliography Title Char"/>
    <w:basedOn w:val="ListParagraphChar"/>
    <w:link w:val="EndNoteBibliographyTitle"/>
    <w:rsid w:val="00DA2F01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A2F01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DA2F01"/>
    <w:rPr>
      <w:rFonts w:ascii="Calibri" w:hAnsi="Calibri"/>
      <w:noProof/>
    </w:rPr>
  </w:style>
  <w:style w:type="paragraph" w:styleId="NoSpacing">
    <w:name w:val="No Spacing"/>
    <w:link w:val="NoSpacingChar"/>
    <w:uiPriority w:val="1"/>
    <w:qFormat/>
    <w:rsid w:val="00DA2F01"/>
    <w:pPr>
      <w:spacing w:after="0" w:line="240" w:lineRule="auto"/>
    </w:pPr>
    <w:rPr>
      <w:lang w:val="nl-NL"/>
    </w:rPr>
  </w:style>
  <w:style w:type="character" w:customStyle="1" w:styleId="NoSpacingChar">
    <w:name w:val="No Spacing Char"/>
    <w:link w:val="NoSpacing"/>
    <w:uiPriority w:val="1"/>
    <w:locked/>
    <w:rsid w:val="00DA2F01"/>
    <w:rPr>
      <w:lang w:val="nl-NL"/>
    </w:rPr>
  </w:style>
  <w:style w:type="character" w:styleId="Strong">
    <w:name w:val="Strong"/>
    <w:basedOn w:val="DefaultParagraphFont"/>
    <w:uiPriority w:val="22"/>
    <w:qFormat/>
    <w:rsid w:val="00036B4B"/>
    <w:rPr>
      <w:b/>
      <w:bCs/>
    </w:rPr>
  </w:style>
  <w:style w:type="character" w:styleId="Hyperlink">
    <w:name w:val="Hyperlink"/>
    <w:basedOn w:val="DefaultParagraphFont"/>
    <w:uiPriority w:val="99"/>
    <w:unhideWhenUsed/>
    <w:rsid w:val="0072415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4150"/>
  </w:style>
  <w:style w:type="character" w:customStyle="1" w:styleId="slug-doi">
    <w:name w:val="slug-doi"/>
    <w:basedOn w:val="DefaultParagraphFont"/>
    <w:rsid w:val="0072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Boer Bram de (HSR)</dc:creator>
  <cp:lastModifiedBy>Boer Bram de (HSR)</cp:lastModifiedBy>
  <cp:revision>3</cp:revision>
  <dcterms:created xsi:type="dcterms:W3CDTF">2015-10-06T11:01:00Z</dcterms:created>
  <dcterms:modified xsi:type="dcterms:W3CDTF">2016-01-21T08:51:00Z</dcterms:modified>
</cp:coreProperties>
</file>