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28" w:rsidRDefault="00E55728" w:rsidP="00E55728">
      <w:pPr>
        <w:jc w:val="both"/>
      </w:pPr>
      <w:r w:rsidRPr="00B24C68">
        <w:rPr>
          <w:b/>
        </w:rPr>
        <w:t xml:space="preserve">Appendix Figure 2: </w:t>
      </w:r>
      <w:r w:rsidRPr="00B24C68">
        <w:t xml:space="preserve">Results of analysis using </w:t>
      </w:r>
      <w:r>
        <w:t xml:space="preserve">average decline </w:t>
      </w:r>
      <w:r w:rsidRPr="00B24C68">
        <w:t xml:space="preserve">from time 1 to time 2 for each item of life satisfaction. The figure shows the results using the Frailty Index. Results were similar to the main analyses: Frailty at time 1 predicted significant changes only in LS health, transportation, and overall. In linear regression models using the frailty index at time 1, these associations persisted after adjusting for age, gender and education.  </w:t>
      </w:r>
      <w:r>
        <w:t xml:space="preserve">The frailty index did not predict change in the other domains of LS. </w:t>
      </w:r>
    </w:p>
    <w:p w:rsidR="00E55728" w:rsidRDefault="00E55728" w:rsidP="00E55728"/>
    <w:p w:rsidR="005A0D07" w:rsidRDefault="00E55728">
      <w:r>
        <w:rPr>
          <w:noProof/>
          <w:lang w:val="en-CA" w:eastAsia="en-CA"/>
        </w:rPr>
        <w:drawing>
          <wp:inline distT="0" distB="0" distL="0" distR="0" wp14:anchorId="23615064" wp14:editId="6755C113">
            <wp:extent cx="5686425" cy="454191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6425" cy="4541911"/>
                    </a:xfrm>
                    <a:prstGeom prst="rect">
                      <a:avLst/>
                    </a:prstGeom>
                    <a:noFill/>
                    <a:ln>
                      <a:noFill/>
                    </a:ln>
                  </pic:spPr>
                </pic:pic>
              </a:graphicData>
            </a:graphic>
          </wp:inline>
        </w:drawing>
      </w:r>
      <w:bookmarkStart w:id="0" w:name="_GoBack"/>
      <w:bookmarkEnd w:id="0"/>
    </w:p>
    <w:sectPr w:rsidR="005A0D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28"/>
    <w:rsid w:val="005A0D07"/>
    <w:rsid w:val="00E557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28"/>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728"/>
    <w:rPr>
      <w:rFonts w:ascii="Tahoma" w:hAnsi="Tahoma" w:cs="Tahoma"/>
      <w:sz w:val="16"/>
      <w:szCs w:val="16"/>
    </w:rPr>
  </w:style>
  <w:style w:type="character" w:customStyle="1" w:styleId="BalloonTextChar">
    <w:name w:val="Balloon Text Char"/>
    <w:basedOn w:val="DefaultParagraphFont"/>
    <w:link w:val="BalloonText"/>
    <w:uiPriority w:val="99"/>
    <w:semiHidden/>
    <w:rsid w:val="00E55728"/>
    <w:rPr>
      <w:rFonts w:ascii="Tahoma" w:eastAsia="MS Mincho"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28"/>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728"/>
    <w:rPr>
      <w:rFonts w:ascii="Tahoma" w:hAnsi="Tahoma" w:cs="Tahoma"/>
      <w:sz w:val="16"/>
      <w:szCs w:val="16"/>
    </w:rPr>
  </w:style>
  <w:style w:type="character" w:customStyle="1" w:styleId="BalloonTextChar">
    <w:name w:val="Balloon Text Char"/>
    <w:basedOn w:val="DefaultParagraphFont"/>
    <w:link w:val="BalloonText"/>
    <w:uiPriority w:val="99"/>
    <w:semiHidden/>
    <w:rsid w:val="00E55728"/>
    <w:rPr>
      <w:rFonts w:ascii="Tahoma" w:eastAsia="MS Mincho"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cp:revision>
  <dcterms:created xsi:type="dcterms:W3CDTF">2013-05-01T01:17:00Z</dcterms:created>
  <dcterms:modified xsi:type="dcterms:W3CDTF">2013-05-01T01:18:00Z</dcterms:modified>
</cp:coreProperties>
</file>