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93" w:rsidRDefault="000A3A93" w:rsidP="000A3A93">
      <w:r>
        <w:t>Please consider appendices for online publication only.</w:t>
      </w:r>
    </w:p>
    <w:p w:rsidR="000A3A93" w:rsidRPr="00003A37" w:rsidRDefault="000A3A93" w:rsidP="000A3A93">
      <w:r w:rsidRPr="00003A37">
        <w:t>Appendix 1.</w:t>
      </w:r>
    </w:p>
    <w:p w:rsidR="000A3A93" w:rsidRPr="00003A37" w:rsidRDefault="000A3A93" w:rsidP="000A3A93">
      <w:r w:rsidRPr="00003A37">
        <w:t>Factor loadings for items loading &gt;0.2/&lt;-0.2 on either factor.</w:t>
      </w:r>
    </w:p>
    <w:tbl>
      <w:tblPr>
        <w:tblW w:w="71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1634"/>
        <w:gridCol w:w="1170"/>
      </w:tblGrid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Variable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A93" w:rsidRPr="00003A37" w:rsidRDefault="000A3A93" w:rsidP="00D92448">
            <w:pPr>
              <w:rPr>
                <w:rFonts w:eastAsia="MS Mincho"/>
                <w:szCs w:val="20"/>
              </w:rPr>
            </w:pPr>
            <w:r w:rsidRPr="00003A37">
              <w:rPr>
                <w:rFonts w:eastAsia="MS Mincho"/>
                <w:szCs w:val="20"/>
              </w:rPr>
              <w:t>Factor 1</w:t>
            </w:r>
          </w:p>
          <w:p w:rsidR="000A3A93" w:rsidRPr="00003A37" w:rsidRDefault="000A3A93" w:rsidP="00D92448">
            <w:pPr>
              <w:ind w:right="-234"/>
              <w:rPr>
                <w:rFonts w:eastAsia="MS Mincho"/>
                <w:szCs w:val="20"/>
              </w:rPr>
            </w:pPr>
            <w:r w:rsidRPr="00003A37">
              <w:rPr>
                <w:rFonts w:eastAsia="MS Mincho"/>
                <w:szCs w:val="20"/>
              </w:rPr>
              <w:t>Modified Mediterranean Pattern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3A93" w:rsidRPr="00003A37" w:rsidRDefault="000A3A93" w:rsidP="00D92448">
            <w:pPr>
              <w:rPr>
                <w:rFonts w:eastAsia="MS Mincho"/>
                <w:szCs w:val="20"/>
              </w:rPr>
            </w:pPr>
            <w:r w:rsidRPr="00003A37">
              <w:rPr>
                <w:rFonts w:eastAsia="MS Mincho"/>
                <w:szCs w:val="20"/>
              </w:rPr>
              <w:t>Factor 2</w:t>
            </w:r>
          </w:p>
          <w:p w:rsidR="000A3A93" w:rsidRPr="00003A37" w:rsidRDefault="000A3A93" w:rsidP="00D92448">
            <w:pPr>
              <w:rPr>
                <w:rFonts w:eastAsia="MS Mincho"/>
                <w:szCs w:val="20"/>
              </w:rPr>
            </w:pPr>
            <w:r w:rsidRPr="00003A37">
              <w:rPr>
                <w:rFonts w:eastAsia="MS Mincho"/>
                <w:szCs w:val="20"/>
              </w:rPr>
              <w:t>Traditional Australian</w:t>
            </w:r>
          </w:p>
          <w:p w:rsidR="000A3A93" w:rsidRPr="00003A37" w:rsidRDefault="000A3A93" w:rsidP="00D92448">
            <w:pPr>
              <w:rPr>
                <w:rFonts w:eastAsia="MS Mincho"/>
                <w:szCs w:val="20"/>
              </w:rPr>
            </w:pPr>
            <w:r w:rsidRPr="00003A37">
              <w:rPr>
                <w:rFonts w:eastAsia="MS Mincho"/>
                <w:szCs w:val="20"/>
              </w:rPr>
              <w:t xml:space="preserve">Pattern 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Olive oil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-0.32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Feta cheese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-0.20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Pasta dish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-0.19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Beef/veal schnitzel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-0.18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Hard cheese eg parmesan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-0.18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Olives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0.43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-0.17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Figs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0.43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-0.16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Game meat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-0.14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Ricotta cheese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-0.12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Fried rice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-0.08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Pickled vegetables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-0.06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Watermelon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0.57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-0.06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Legume soup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-0.04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Grapes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0.42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0.02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Peaches/nectarines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0.53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0.02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Dip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0.03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Plums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0.46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0.03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Pears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0.51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0.03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Rice dishes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0.04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Cantelope/honeydew melon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0.56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0.05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Boiled chicken dish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0.08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Apricots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0.46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0.08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Steamed fish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0.09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Herbal tea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0.10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Water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0.10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Oranges/mandarines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0.11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Apples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0.11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Dried legumes eg chick peas, lentils, beans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0.40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0.12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Tomatoes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0.41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0.12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Boiled rice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0.13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Cumcumber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0.54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0.13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Strawberries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0.15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Avocado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0.15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Grapefruit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0.16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Salad greens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0.50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0.16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Sausages/frankfurts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-0.21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0.16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Capsicum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0.43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0.17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Soups other than legume/creamed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pStyle w:val="xl24"/>
              <w:spacing w:before="0" w:beforeAutospacing="0" w:after="0" w:afterAutospacing="0"/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</w:pPr>
            <w:r w:rsidRPr="00003A37">
              <w:rPr>
                <w:rFonts w:ascii="Times New Roman" w:eastAsia="Times New Roman" w:hAnsi="Times New Roman" w:cs="Times New Roman"/>
                <w:noProof/>
                <w:szCs w:val="20"/>
                <w:lang w:val="en-US"/>
              </w:rPr>
              <w:t>0.13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0.20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lastRenderedPageBreak/>
              <w:t>Custard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0.20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Roast lamb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0.20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Onions/leeks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0.20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Sweet corn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0.21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Cream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0.21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Mixed vegetable dishes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0.21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Mushrooms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0.21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Cheddar cheese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0.21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Dry biscuits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-0.02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0.22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Cake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0.23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Yoghurt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0.15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0.23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Pineapple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0.23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Fruit salad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0.24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Breakfast cereal other than muesli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0.25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Coleslaw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0.26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Pudding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0.27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Zucchini/squash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0.28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Jam/marmalade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-0.13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0.29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Vegemite/Marmite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0.29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Celery/fennel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0.46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0.30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Wholemeal bread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0.04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0.31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Banana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0.33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Margarine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-0.26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0.33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Leafy greens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0.37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0.34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Tea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-0.26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0.36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Beetroot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0.40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Cabbage/Brussel's sprouts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0.52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Potato cooked in fat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-0.10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0.54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Broccoli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0.24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0.54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Green peas/beans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0.55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Cauliflower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0.16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0.56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Carrot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0.18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0.57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rFonts w:eastAsia="MS Mincho"/>
                <w:szCs w:val="20"/>
              </w:rPr>
              <w:t>Pumpkin</w:t>
            </w:r>
          </w:p>
        </w:tc>
        <w:tc>
          <w:tcPr>
            <w:tcW w:w="1634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szCs w:val="20"/>
              </w:rPr>
            </w:pPr>
            <w:r w:rsidRPr="00003A37">
              <w:rPr>
                <w:szCs w:val="20"/>
              </w:rPr>
              <w:t>0.01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rFonts w:eastAsia="Arial Unicode MS"/>
                <w:b/>
                <w:bCs/>
                <w:szCs w:val="20"/>
              </w:rPr>
            </w:pPr>
            <w:r w:rsidRPr="00003A37">
              <w:rPr>
                <w:b/>
                <w:bCs/>
                <w:szCs w:val="20"/>
              </w:rPr>
              <w:t>0.61</w:t>
            </w:r>
          </w:p>
        </w:tc>
      </w:tr>
      <w:tr w:rsidR="000A3A93" w:rsidRPr="00003A37" w:rsidTr="00D92448">
        <w:trPr>
          <w:cantSplit/>
          <w:trHeight w:val="255"/>
        </w:trPr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0A3A93" w:rsidRPr="00003A37" w:rsidRDefault="000A3A93" w:rsidP="00D92448">
            <w:pPr>
              <w:rPr>
                <w:rFonts w:eastAsia="MS Mincho"/>
                <w:szCs w:val="20"/>
              </w:rPr>
            </w:pPr>
            <w:r w:rsidRPr="00003A37">
              <w:rPr>
                <w:rFonts w:eastAsia="MS Mincho"/>
                <w:szCs w:val="20"/>
              </w:rPr>
              <w:t>Percent of variance explained</w:t>
            </w:r>
          </w:p>
        </w:tc>
        <w:tc>
          <w:tcPr>
            <w:tcW w:w="163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szCs w:val="20"/>
              </w:rPr>
            </w:pPr>
            <w:r w:rsidRPr="00003A37">
              <w:rPr>
                <w:szCs w:val="20"/>
              </w:rPr>
              <w:t>6.0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3A93" w:rsidRPr="00003A37" w:rsidRDefault="000A3A93" w:rsidP="00D92448">
            <w:pPr>
              <w:rPr>
                <w:bCs/>
                <w:szCs w:val="20"/>
              </w:rPr>
            </w:pPr>
            <w:r w:rsidRPr="00003A37">
              <w:rPr>
                <w:bCs/>
                <w:szCs w:val="20"/>
              </w:rPr>
              <w:t>4.0</w:t>
            </w:r>
          </w:p>
        </w:tc>
      </w:tr>
    </w:tbl>
    <w:p w:rsidR="000A3A93" w:rsidRPr="00003A37" w:rsidRDefault="000A3A93" w:rsidP="000A3A93"/>
    <w:p w:rsidR="000A3A93" w:rsidRPr="00003A37" w:rsidRDefault="000A3A93" w:rsidP="000A3A93">
      <w:r w:rsidRPr="00003A37">
        <w:br w:type="page"/>
      </w:r>
    </w:p>
    <w:p w:rsidR="000A3A93" w:rsidRPr="00003A37" w:rsidRDefault="000A3A93" w:rsidP="000A3A93">
      <w:r w:rsidRPr="00003A37">
        <w:lastRenderedPageBreak/>
        <w:t>Appendix 2.  Associations between the Mediterranean Diet Score (MDS) at baseline and psychological distress according to K10 score at follow-up</w:t>
      </w:r>
      <w:r w:rsidRPr="00003A37">
        <w:rPr>
          <w:vertAlign w:val="superscript"/>
        </w:rPr>
        <w:t>1</w:t>
      </w:r>
      <w:r w:rsidRPr="00003A37">
        <w:t>, adjusting for baseline variables as listed in the table and age at follow-up (n=8660).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2"/>
      </w:tblGrid>
      <w:tr w:rsidR="000A3A93" w:rsidRPr="00003A37" w:rsidTr="00D92448">
        <w:tc>
          <w:tcPr>
            <w:tcW w:w="1771" w:type="dxa"/>
            <w:tcBorders>
              <w:top w:val="single" w:sz="4" w:space="0" w:color="auto"/>
            </w:tcBorders>
          </w:tcPr>
          <w:p w:rsidR="000A3A93" w:rsidRPr="00003A37" w:rsidRDefault="000A3A93" w:rsidP="00D92448">
            <w:pPr>
              <w:rPr>
                <w:lang w:val="en-A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K10 &lt;30/&gt;=30</w:t>
            </w:r>
          </w:p>
        </w:tc>
      </w:tr>
      <w:tr w:rsidR="000A3A93" w:rsidRPr="00003A37" w:rsidTr="00D92448">
        <w:tc>
          <w:tcPr>
            <w:tcW w:w="1771" w:type="dxa"/>
            <w:tcBorders>
              <w:bottom w:val="single" w:sz="4" w:space="0" w:color="auto"/>
            </w:tcBorders>
          </w:tcPr>
          <w:p w:rsidR="000A3A93" w:rsidRPr="00003A37" w:rsidRDefault="000A3A93" w:rsidP="00D92448">
            <w:pPr>
              <w:rPr>
                <w:lang w:val="en-AU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Odds Ratio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95% Confidence Interval</w:t>
            </w:r>
          </w:p>
        </w:tc>
      </w:tr>
      <w:tr w:rsidR="000A3A93" w:rsidRPr="00003A37" w:rsidTr="00D92448">
        <w:tc>
          <w:tcPr>
            <w:tcW w:w="1771" w:type="dxa"/>
            <w:tcBorders>
              <w:top w:val="single" w:sz="4" w:space="0" w:color="auto"/>
            </w:tcBorders>
          </w:tcPr>
          <w:p w:rsidR="000A3A93" w:rsidRPr="00003A37" w:rsidRDefault="000A3A93" w:rsidP="00D92448">
            <w:pPr>
              <w:rPr>
                <w:lang w:val="da-DK"/>
              </w:rPr>
            </w:pPr>
            <w:r w:rsidRPr="00003A37">
              <w:rPr>
                <w:lang w:val="da-DK"/>
              </w:rPr>
              <w:t>MDS 0-3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0A3A93" w:rsidRPr="00003A37" w:rsidRDefault="000A3A93" w:rsidP="00D92448">
            <w:r w:rsidRPr="00003A37">
              <w:t>1.00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        4-6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0.93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0.54-1.61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        7-9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0.43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0.16-1.19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Female vs male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1.61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0.87-3.00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Age at baseline (yrs)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0.85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0.70-1.02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Age at follow-up (yrs)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1.15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0.96-1.38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Energy intake (MJ/day)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0.98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0.90-1.06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>Active vs inactive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0.96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0.57-1.61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  <w:lang w:val="en-AU"/>
              </w:rPr>
            </w:pPr>
            <w:r w:rsidRPr="00003A37">
              <w:rPr>
                <w:b/>
                <w:lang w:val="en-AU"/>
              </w:rPr>
              <w:t xml:space="preserve">Smoking 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never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former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0.98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0.55-1.73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current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1.78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0.87-6.67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Asthma vs no asthma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1.15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0.58-2.28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Hypertension vs no hypertension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1.27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0.76-2.14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Arthritis vs no arthritis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1.95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1.20-3.19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Gallstones vs no gallstones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1.23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0.60-2.53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Kidneystones vs no kidney stones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0.82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0.25-2.66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  <w:lang w:val="en-AU"/>
              </w:rPr>
            </w:pPr>
            <w:r w:rsidRPr="00003A37">
              <w:rPr>
                <w:b/>
                <w:lang w:val="en-AU"/>
              </w:rPr>
              <w:t xml:space="preserve">Education 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primary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secondary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0.41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0.20-0.87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tertiary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0.31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0.12-0.81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  <w:lang w:val="en-AU"/>
              </w:rPr>
            </w:pPr>
            <w:r w:rsidRPr="00003A37">
              <w:rPr>
                <w:b/>
                <w:lang w:val="en-AU"/>
              </w:rPr>
              <w:t>Quintile of SEIFA index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1 (most disadvantaged)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2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0.83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0.40-1.72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3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0.37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0.15-0.91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4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0.98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0.49-1.95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lastRenderedPageBreak/>
              <w:t xml:space="preserve">  5 (least disadvantaged)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0.52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0.23-1.14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  <w:lang w:val="en-AU"/>
              </w:rPr>
            </w:pPr>
            <w:r w:rsidRPr="00003A37">
              <w:rPr>
                <w:b/>
                <w:lang w:val="en-AU"/>
              </w:rPr>
              <w:t>Number of relatives visited at least once a month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none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1-2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0.77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0.30-1.92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3-4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0.40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0.14-1.10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5-9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0.78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0.33-1.87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10+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0.48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0.19-1.23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  <w:lang w:val="en-AU"/>
              </w:rPr>
            </w:pPr>
            <w:r w:rsidRPr="00003A37">
              <w:rPr>
                <w:b/>
                <w:lang w:val="en-AU"/>
              </w:rPr>
              <w:t>Number of friends could visit without invitation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none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1-2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0.30-3.31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3-4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1.03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0.33-3.19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5-9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1.45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0.49-4.36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10+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0.86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0.27-2.72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b/>
                <w:lang w:val="en-AU"/>
              </w:rPr>
              <w:t>Number of people in household</w:t>
            </w:r>
          </w:p>
        </w:tc>
        <w:tc>
          <w:tcPr>
            <w:tcW w:w="1771" w:type="dxa"/>
          </w:tcPr>
          <w:p w:rsidR="000A3A93" w:rsidRPr="00003A37" w:rsidRDefault="000A3A93" w:rsidP="00D92448"/>
        </w:tc>
        <w:tc>
          <w:tcPr>
            <w:tcW w:w="1772" w:type="dxa"/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1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2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0.91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0.50-1.66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3-4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0.72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0.36-1.47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5+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0.20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0.03-1.57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  <w:lang w:val="en-AU"/>
              </w:rPr>
            </w:pPr>
            <w:r w:rsidRPr="00003A37">
              <w:rPr>
                <w:b/>
                <w:lang w:val="en-AU"/>
              </w:rPr>
              <w:t>Social activity (hrs/week)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0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1-2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0.33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0.12-0.93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3-4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0.39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0.16-0.93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5-9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0.62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0.30-1.28</w:t>
            </w:r>
          </w:p>
        </w:tc>
      </w:tr>
      <w:tr w:rsidR="000A3A93" w:rsidRPr="00003A37" w:rsidTr="00D92448">
        <w:tc>
          <w:tcPr>
            <w:tcW w:w="1771" w:type="dxa"/>
            <w:tcBorders>
              <w:bottom w:val="single" w:sz="4" w:space="0" w:color="auto"/>
            </w:tcBorders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10+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0A3A93" w:rsidRPr="00003A37" w:rsidRDefault="000A3A93" w:rsidP="00D92448">
            <w:r w:rsidRPr="00003A37">
              <w:t>0.68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A3A93" w:rsidRPr="00003A37" w:rsidRDefault="000A3A93" w:rsidP="00D92448">
            <w:r w:rsidRPr="00003A37">
              <w:t>0.34-1.35</w:t>
            </w:r>
          </w:p>
        </w:tc>
      </w:tr>
    </w:tbl>
    <w:p w:rsidR="000A3A93" w:rsidRPr="00003A37" w:rsidRDefault="000A3A93" w:rsidP="000A3A93">
      <w:r w:rsidRPr="00003A37">
        <w:rPr>
          <w:vertAlign w:val="superscript"/>
        </w:rPr>
        <w:t>1</w:t>
      </w:r>
      <w:r w:rsidRPr="00003A37">
        <w:t>The</w:t>
      </w:r>
      <w:r w:rsidRPr="00003A37">
        <w:rPr>
          <w:vertAlign w:val="superscript"/>
        </w:rPr>
        <w:t xml:space="preserve"> </w:t>
      </w:r>
      <w:r w:rsidRPr="00003A37">
        <w:t>K10 categories have been coded so that ORs &gt;1 reflect increased risk of psychological distress.</w:t>
      </w:r>
    </w:p>
    <w:p w:rsidR="000A3A93" w:rsidRPr="00003A37" w:rsidRDefault="000A3A93" w:rsidP="000A3A93">
      <w:r w:rsidRPr="00003A37">
        <w:br w:type="page"/>
      </w:r>
    </w:p>
    <w:p w:rsidR="000A3A93" w:rsidRPr="00003A37" w:rsidRDefault="000A3A93" w:rsidP="000A3A93">
      <w:r w:rsidRPr="00003A37">
        <w:lastRenderedPageBreak/>
        <w:t>Appendix 3.  Associations between quintiles of the Modified Mediterranean (MMDP) and Australian (ADP) dietary patterns at baseline and psychological distress according to K10 score at follow-up</w:t>
      </w:r>
      <w:r w:rsidRPr="00003A37">
        <w:rPr>
          <w:vertAlign w:val="superscript"/>
        </w:rPr>
        <w:t>1</w:t>
      </w:r>
      <w:r w:rsidRPr="00003A37">
        <w:t>, adjusting for baseline variables as listed in the table and age at follow-up (both dietary patterns were included in a single model) (n=8660).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2"/>
      </w:tblGrid>
      <w:tr w:rsidR="000A3A93" w:rsidRPr="00003A37" w:rsidTr="00D92448">
        <w:tc>
          <w:tcPr>
            <w:tcW w:w="1771" w:type="dxa"/>
            <w:tcBorders>
              <w:top w:val="single" w:sz="4" w:space="0" w:color="auto"/>
            </w:tcBorders>
          </w:tcPr>
          <w:p w:rsidR="000A3A93" w:rsidRPr="00003A37" w:rsidRDefault="000A3A93" w:rsidP="00D92448">
            <w:pPr>
              <w:rPr>
                <w:lang w:val="en-AU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K10 &lt;30/&gt;=30</w:t>
            </w:r>
          </w:p>
        </w:tc>
      </w:tr>
      <w:tr w:rsidR="000A3A93" w:rsidRPr="00003A37" w:rsidTr="00D92448">
        <w:tc>
          <w:tcPr>
            <w:tcW w:w="1771" w:type="dxa"/>
            <w:tcBorders>
              <w:bottom w:val="single" w:sz="4" w:space="0" w:color="auto"/>
            </w:tcBorders>
          </w:tcPr>
          <w:p w:rsidR="000A3A93" w:rsidRPr="00003A37" w:rsidRDefault="000A3A93" w:rsidP="00D92448">
            <w:pPr>
              <w:rPr>
                <w:lang w:val="en-AU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Odds Ratio</w:t>
            </w: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95% Confidence Interval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da-DK"/>
              </w:rPr>
            </w:pPr>
            <w:r w:rsidRPr="00003A37">
              <w:rPr>
                <w:lang w:val="da-DK"/>
              </w:rPr>
              <w:t>MDP              1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da-DK"/>
              </w:rPr>
            </w:pPr>
            <w:r w:rsidRPr="00003A37">
              <w:rPr>
                <w:lang w:val="da-DK"/>
              </w:rPr>
              <w:t xml:space="preserve">                       2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0.39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0.19-0.81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da-DK"/>
              </w:rPr>
            </w:pPr>
            <w:r w:rsidRPr="00003A37">
              <w:rPr>
                <w:lang w:val="da-DK"/>
              </w:rPr>
              <w:t xml:space="preserve">                       3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0.76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0.40-1.43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                     4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0.17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0.05-0.56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                     5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0.93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0.41-2.09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da-DK"/>
              </w:rPr>
            </w:pPr>
            <w:r w:rsidRPr="00003A37">
              <w:rPr>
                <w:lang w:val="da-DK"/>
              </w:rPr>
              <w:t>ADP              1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da-DK"/>
              </w:rPr>
            </w:pPr>
            <w:r w:rsidRPr="00003A37">
              <w:rPr>
                <w:lang w:val="da-DK"/>
              </w:rPr>
              <w:t xml:space="preserve">                       2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0.44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0.16-1.18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da-DK"/>
              </w:rPr>
            </w:pPr>
            <w:r w:rsidRPr="00003A37">
              <w:rPr>
                <w:lang w:val="da-DK"/>
              </w:rPr>
              <w:t xml:space="preserve">                       3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0.52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0.20-1.35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                     4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0.36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0.13-1.00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                     5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0.43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0.15-1.25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Female vs male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2.02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1.05-3.89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Age at baseline (yrs)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0.85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0.70-1.03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Age at follow-up (yrs)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1.15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0.96-1.38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Energy intake (MJ/day)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0.99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0.90-1.09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Active vs inactive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0.98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0.58-1.66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  <w:lang w:val="en-AU"/>
              </w:rPr>
            </w:pPr>
            <w:r w:rsidRPr="00003A37">
              <w:rPr>
                <w:b/>
                <w:lang w:val="en-AU"/>
              </w:rPr>
              <w:t xml:space="preserve">Smoking 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never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former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0.94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0.53-1.67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current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1.59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0.76-3.34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Asthma vs no asthma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1.14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0.57-2.25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Hypertension vs no hypertension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1.29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0.77-2.18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Arthritis vs no arthritis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1.99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1.22-3.25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Gallstones vs no gallstones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1.25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0.60-2.57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>Kidneystones vs no kidney stones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0.79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0.24-2.59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  <w:lang w:val="en-AU"/>
              </w:rPr>
            </w:pPr>
            <w:r w:rsidRPr="00003A37">
              <w:rPr>
                <w:b/>
                <w:lang w:val="en-AU"/>
              </w:rPr>
              <w:t xml:space="preserve">Education 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primary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secondary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0.43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0.20-0.91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lastRenderedPageBreak/>
              <w:t xml:space="preserve">  tertiary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0.34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0.13-0.89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  <w:lang w:val="en-AU"/>
              </w:rPr>
            </w:pPr>
            <w:r w:rsidRPr="00003A37">
              <w:rPr>
                <w:b/>
                <w:lang w:val="en-AU"/>
              </w:rPr>
              <w:t>Quintile of SEIFA index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1 (most disadvantaged)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2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0.82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0.40-1.69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3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0.37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0.15-0.94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4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0.98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0.49-1.97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5 (least disadvantaged)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0.52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0.24-1.15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  <w:lang w:val="en-AU"/>
              </w:rPr>
            </w:pPr>
            <w:r w:rsidRPr="00003A37">
              <w:rPr>
                <w:b/>
                <w:lang w:val="en-AU"/>
              </w:rPr>
              <w:t>Number of relatives visited at least once a month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none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1-2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0.81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0.32-2.06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3-4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0.43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0.15-1.20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5-9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0.81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0.33-1.97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  <w:lang w:val="en-AU"/>
              </w:rPr>
            </w:pPr>
            <w:r w:rsidRPr="00003A37">
              <w:rPr>
                <w:bCs/>
                <w:lang w:val="en-AU"/>
              </w:rPr>
              <w:t xml:space="preserve">  10+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0.48</w:t>
            </w: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Cs/>
              </w:rPr>
            </w:pPr>
            <w:r w:rsidRPr="00003A37">
              <w:rPr>
                <w:bCs/>
              </w:rPr>
              <w:t>0.18-1.26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  <w:lang w:val="en-AU"/>
              </w:rPr>
            </w:pPr>
            <w:r w:rsidRPr="00003A37">
              <w:rPr>
                <w:b/>
                <w:lang w:val="en-AU"/>
              </w:rPr>
              <w:t>Number of friends could visit without invitation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none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1-2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1.06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0.32-3.54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3-4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1.10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0.35-3.42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5-9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1.56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0.52-4.68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10+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0.97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0.30-3.10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b/>
                <w:lang w:val="en-AU"/>
              </w:rPr>
              <w:t>Number of people in household</w:t>
            </w:r>
          </w:p>
        </w:tc>
        <w:tc>
          <w:tcPr>
            <w:tcW w:w="1771" w:type="dxa"/>
          </w:tcPr>
          <w:p w:rsidR="000A3A93" w:rsidRPr="00003A37" w:rsidRDefault="000A3A93" w:rsidP="00D92448"/>
        </w:tc>
        <w:tc>
          <w:tcPr>
            <w:tcW w:w="1772" w:type="dxa"/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1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2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0.93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0.50-1.70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3-4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0.74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0.36-1.51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5+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0.21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0.03-1.62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  <w:lang w:val="en-AU"/>
              </w:rPr>
            </w:pPr>
            <w:r w:rsidRPr="00003A37">
              <w:rPr>
                <w:b/>
                <w:lang w:val="en-AU"/>
              </w:rPr>
              <w:t>Social activity (hrs/week)</w:t>
            </w:r>
          </w:p>
        </w:tc>
        <w:tc>
          <w:tcPr>
            <w:tcW w:w="1771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  <w:tc>
          <w:tcPr>
            <w:tcW w:w="1772" w:type="dxa"/>
          </w:tcPr>
          <w:p w:rsidR="000A3A93" w:rsidRPr="00003A37" w:rsidRDefault="000A3A93" w:rsidP="00D92448">
            <w:pPr>
              <w:rPr>
                <w:b/>
              </w:rPr>
            </w:pP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0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1.00</w:t>
            </w:r>
          </w:p>
        </w:tc>
        <w:tc>
          <w:tcPr>
            <w:tcW w:w="1772" w:type="dxa"/>
          </w:tcPr>
          <w:p w:rsidR="000A3A93" w:rsidRPr="00003A37" w:rsidRDefault="000A3A93" w:rsidP="00D92448"/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1-2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0.34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0.12-0.96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3-4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0.38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0.16-0.93</w:t>
            </w:r>
          </w:p>
        </w:tc>
      </w:tr>
      <w:tr w:rsidR="000A3A93" w:rsidRPr="00003A37" w:rsidTr="00D92448">
        <w:tc>
          <w:tcPr>
            <w:tcW w:w="1771" w:type="dxa"/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5-9</w:t>
            </w:r>
          </w:p>
        </w:tc>
        <w:tc>
          <w:tcPr>
            <w:tcW w:w="1771" w:type="dxa"/>
          </w:tcPr>
          <w:p w:rsidR="000A3A93" w:rsidRPr="00003A37" w:rsidRDefault="000A3A93" w:rsidP="00D92448">
            <w:r w:rsidRPr="00003A37">
              <w:t>0.63</w:t>
            </w:r>
          </w:p>
        </w:tc>
        <w:tc>
          <w:tcPr>
            <w:tcW w:w="1772" w:type="dxa"/>
          </w:tcPr>
          <w:p w:rsidR="000A3A93" w:rsidRPr="00003A37" w:rsidRDefault="000A3A93" w:rsidP="00D92448">
            <w:r w:rsidRPr="00003A37">
              <w:t>0.30-1.31</w:t>
            </w:r>
          </w:p>
        </w:tc>
      </w:tr>
      <w:tr w:rsidR="000A3A93" w:rsidRPr="00003A37" w:rsidTr="00D92448">
        <w:tc>
          <w:tcPr>
            <w:tcW w:w="1771" w:type="dxa"/>
            <w:tcBorders>
              <w:bottom w:val="single" w:sz="4" w:space="0" w:color="auto"/>
            </w:tcBorders>
          </w:tcPr>
          <w:p w:rsidR="000A3A93" w:rsidRPr="00003A37" w:rsidRDefault="000A3A93" w:rsidP="00D92448">
            <w:pPr>
              <w:rPr>
                <w:lang w:val="en-AU"/>
              </w:rPr>
            </w:pPr>
            <w:r w:rsidRPr="00003A37">
              <w:rPr>
                <w:lang w:val="en-AU"/>
              </w:rPr>
              <w:t xml:space="preserve">  10+</w:t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0A3A93" w:rsidRPr="00003A37" w:rsidRDefault="000A3A93" w:rsidP="00D92448">
            <w:r w:rsidRPr="00003A37">
              <w:t>0.66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0A3A93" w:rsidRPr="00003A37" w:rsidRDefault="000A3A93" w:rsidP="00D92448">
            <w:r w:rsidRPr="00003A37">
              <w:t>0.33-1.31</w:t>
            </w:r>
          </w:p>
        </w:tc>
      </w:tr>
    </w:tbl>
    <w:p w:rsidR="000A3A93" w:rsidRPr="00003A37" w:rsidRDefault="000A3A93" w:rsidP="000A3A93">
      <w:r w:rsidRPr="00003A37">
        <w:rPr>
          <w:vertAlign w:val="superscript"/>
        </w:rPr>
        <w:t>1</w:t>
      </w:r>
      <w:r w:rsidRPr="00003A37">
        <w:t>The</w:t>
      </w:r>
      <w:r w:rsidRPr="00003A37">
        <w:rPr>
          <w:vertAlign w:val="superscript"/>
        </w:rPr>
        <w:t xml:space="preserve"> </w:t>
      </w:r>
      <w:r w:rsidRPr="00003A37">
        <w:t>K10 categories have been coded so that ORs &gt;1 reflect increased risk of psychological distress.</w:t>
      </w:r>
    </w:p>
    <w:p w:rsidR="000A3A93" w:rsidRPr="00003A37" w:rsidRDefault="000A3A93" w:rsidP="000A3A93"/>
    <w:p w:rsidR="00FE1A48" w:rsidRDefault="00FE1A48">
      <w:bookmarkStart w:id="0" w:name="_GoBack"/>
      <w:bookmarkEnd w:id="0"/>
    </w:p>
    <w:sectPr w:rsidR="00FE1A48" w:rsidSect="000F6D2B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37" w:rsidRDefault="000A3A93">
    <w:pPr>
      <w:pStyle w:val="Footer"/>
      <w:jc w:val="cen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6</w:t>
    </w:r>
    <w:r>
      <w:fldChar w:fldCharType="end"/>
    </w:r>
  </w:p>
  <w:p w:rsidR="00003A37" w:rsidRDefault="000A3A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93"/>
    <w:rsid w:val="000A3A93"/>
    <w:rsid w:val="007675AE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9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5AE"/>
    <w:pPr>
      <w:keepNext/>
      <w:spacing w:before="240" w:after="60" w:line="276" w:lineRule="auto"/>
      <w:outlineLvl w:val="0"/>
    </w:pPr>
    <w:rPr>
      <w:rFonts w:ascii="Arial" w:eastAsiaTheme="majorEastAsia" w:hAnsi="Arial" w:cstheme="majorBidi"/>
      <w:b/>
      <w:bCs/>
      <w:noProof w:val="0"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5AE"/>
    <w:pPr>
      <w:keepNext/>
      <w:spacing w:before="240" w:after="60" w:line="276" w:lineRule="auto"/>
      <w:outlineLvl w:val="1"/>
    </w:pPr>
    <w:rPr>
      <w:rFonts w:ascii="Arial" w:eastAsiaTheme="majorEastAsia" w:hAnsi="Arial" w:cstheme="majorBidi"/>
      <w:b/>
      <w:bCs/>
      <w:i/>
      <w:iCs/>
      <w:noProof w:val="0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5AE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5AE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75AE"/>
    <w:pPr>
      <w:spacing w:before="240" w:after="60" w:line="276" w:lineRule="auto"/>
      <w:jc w:val="center"/>
      <w:outlineLvl w:val="0"/>
    </w:pPr>
    <w:rPr>
      <w:rFonts w:ascii="Arial" w:eastAsiaTheme="majorEastAsia" w:hAnsi="Arial" w:cstheme="majorBidi"/>
      <w:b/>
      <w:bCs/>
      <w:noProof w:val="0"/>
      <w:kern w:val="28"/>
      <w:sz w:val="32"/>
      <w:szCs w:val="3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7675A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5AE"/>
    <w:pPr>
      <w:spacing w:after="60" w:line="276" w:lineRule="auto"/>
      <w:jc w:val="center"/>
      <w:outlineLvl w:val="1"/>
    </w:pPr>
    <w:rPr>
      <w:rFonts w:ascii="Arial" w:eastAsiaTheme="majorEastAsia" w:hAnsi="Arial" w:cstheme="majorBidi"/>
      <w:noProof w:val="0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7675AE"/>
    <w:rPr>
      <w:rFonts w:ascii="Arial" w:eastAsiaTheme="majorEastAsia" w:hAnsi="Arial" w:cstheme="majorBidi"/>
      <w:sz w:val="24"/>
      <w:szCs w:val="24"/>
    </w:rPr>
  </w:style>
  <w:style w:type="paragraph" w:customStyle="1" w:styleId="xl24">
    <w:name w:val="xl24"/>
    <w:basedOn w:val="Normal"/>
    <w:rsid w:val="000A3A93"/>
    <w:pPr>
      <w:spacing w:before="100" w:beforeAutospacing="1" w:after="100" w:afterAutospacing="1"/>
    </w:pPr>
    <w:rPr>
      <w:rFonts w:ascii="Arial" w:eastAsia="Arial Unicode MS" w:hAnsi="Arial" w:cs="Arial"/>
      <w:noProof w:val="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A3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A93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9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5AE"/>
    <w:pPr>
      <w:keepNext/>
      <w:spacing w:before="240" w:after="60" w:line="276" w:lineRule="auto"/>
      <w:outlineLvl w:val="0"/>
    </w:pPr>
    <w:rPr>
      <w:rFonts w:ascii="Arial" w:eastAsiaTheme="majorEastAsia" w:hAnsi="Arial" w:cstheme="majorBidi"/>
      <w:b/>
      <w:bCs/>
      <w:noProof w:val="0"/>
      <w:kern w:val="32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75AE"/>
    <w:pPr>
      <w:keepNext/>
      <w:spacing w:before="240" w:after="60" w:line="276" w:lineRule="auto"/>
      <w:outlineLvl w:val="1"/>
    </w:pPr>
    <w:rPr>
      <w:rFonts w:ascii="Arial" w:eastAsiaTheme="majorEastAsia" w:hAnsi="Arial" w:cstheme="majorBidi"/>
      <w:b/>
      <w:bCs/>
      <w:i/>
      <w:iCs/>
      <w:noProof w:val="0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5AE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75AE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675AE"/>
    <w:pPr>
      <w:spacing w:before="240" w:after="60" w:line="276" w:lineRule="auto"/>
      <w:jc w:val="center"/>
      <w:outlineLvl w:val="0"/>
    </w:pPr>
    <w:rPr>
      <w:rFonts w:ascii="Arial" w:eastAsiaTheme="majorEastAsia" w:hAnsi="Arial" w:cstheme="majorBidi"/>
      <w:b/>
      <w:bCs/>
      <w:noProof w:val="0"/>
      <w:kern w:val="28"/>
      <w:sz w:val="32"/>
      <w:szCs w:val="3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7675AE"/>
    <w:rPr>
      <w:rFonts w:ascii="Arial" w:eastAsiaTheme="majorEastAsia" w:hAnsi="Arial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5AE"/>
    <w:pPr>
      <w:spacing w:after="60" w:line="276" w:lineRule="auto"/>
      <w:jc w:val="center"/>
      <w:outlineLvl w:val="1"/>
    </w:pPr>
    <w:rPr>
      <w:rFonts w:ascii="Arial" w:eastAsiaTheme="majorEastAsia" w:hAnsi="Arial" w:cstheme="majorBidi"/>
      <w:noProof w:val="0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7675AE"/>
    <w:rPr>
      <w:rFonts w:ascii="Arial" w:eastAsiaTheme="majorEastAsia" w:hAnsi="Arial" w:cstheme="majorBidi"/>
      <w:sz w:val="24"/>
      <w:szCs w:val="24"/>
    </w:rPr>
  </w:style>
  <w:style w:type="paragraph" w:customStyle="1" w:styleId="xl24">
    <w:name w:val="xl24"/>
    <w:basedOn w:val="Normal"/>
    <w:rsid w:val="000A3A93"/>
    <w:pPr>
      <w:spacing w:before="100" w:beforeAutospacing="1" w:after="100" w:afterAutospacing="1"/>
    </w:pPr>
    <w:rPr>
      <w:rFonts w:ascii="Arial" w:eastAsia="Arial Unicode MS" w:hAnsi="Arial" w:cs="Arial"/>
      <w:noProof w:val="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A3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A93"/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Victoria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Hodge</dc:creator>
  <cp:lastModifiedBy>Allison Hodge</cp:lastModifiedBy>
  <cp:revision>1</cp:revision>
  <dcterms:created xsi:type="dcterms:W3CDTF">2012-10-18T04:35:00Z</dcterms:created>
  <dcterms:modified xsi:type="dcterms:W3CDTF">2012-10-18T04:36:00Z</dcterms:modified>
</cp:coreProperties>
</file>