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69" w:rsidRDefault="00011A69" w:rsidP="0008232B">
      <w:pPr>
        <w:pStyle w:val="2"/>
        <w:jc w:val="center"/>
      </w:pPr>
      <w:r>
        <w:t>Appendix</w:t>
      </w:r>
    </w:p>
    <w:p w:rsidR="002F6926" w:rsidRDefault="0008232B" w:rsidP="0008232B">
      <w:pPr>
        <w:pStyle w:val="2"/>
      </w:pPr>
      <w:r>
        <w:t>Robustness checks</w:t>
      </w:r>
    </w:p>
    <w:p w:rsidR="00FF3B8D" w:rsidRPr="00C209B5" w:rsidRDefault="00FF3B8D" w:rsidP="00954536">
      <w:pPr>
        <w:pStyle w:val="2"/>
        <w:numPr>
          <w:ilvl w:val="0"/>
          <w:numId w:val="1"/>
        </w:numPr>
      </w:pPr>
      <w:r w:rsidRPr="00C209B5">
        <w:t>Replace the PNTR measure with data from Pierce and Schott (2016)</w:t>
      </w:r>
    </w:p>
    <w:p w:rsidR="00FF3B8D" w:rsidRDefault="00FF3B8D" w:rsidP="00FF3B8D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Since PNTR</w:t>
      </w:r>
      <w:r w:rsidRPr="00104642">
        <w:rPr>
          <w:rFonts w:ascii="Times New Roman" w:hAnsi="Times New Roman" w:cs="Times New Roman"/>
          <w:sz w:val="24"/>
          <w:szCs w:val="24"/>
        </w:rPr>
        <w:t xml:space="preserve"> is a constructed measure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04642">
        <w:rPr>
          <w:rFonts w:ascii="Times New Roman" w:hAnsi="Times New Roman" w:cs="Times New Roman"/>
          <w:sz w:val="24"/>
          <w:szCs w:val="24"/>
        </w:rPr>
        <w:t xml:space="preserve"> regional trade exposure </w:t>
      </w:r>
      <w:r>
        <w:rPr>
          <w:rFonts w:ascii="Times New Roman" w:hAnsi="Times New Roman" w:cs="Times New Roman"/>
          <w:sz w:val="24"/>
          <w:szCs w:val="24"/>
        </w:rPr>
        <w:t xml:space="preserve">rather than </w:t>
      </w:r>
      <w:r w:rsidRPr="00104642">
        <w:rPr>
          <w:rFonts w:ascii="Times New Roman" w:hAnsi="Times New Roman" w:cs="Times New Roman"/>
          <w:sz w:val="24"/>
          <w:szCs w:val="24"/>
        </w:rPr>
        <w:t>a direct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E4054A">
        <w:rPr>
          <w:rFonts w:ascii="Times New Roman" w:hAnsi="Times New Roman" w:cs="Times New Roman" w:hint="eastAsia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 xml:space="preserve"> measure in the data</w:t>
      </w:r>
      <w:r w:rsidRPr="00104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thereby try to reconstruct it </w:t>
      </w:r>
      <w:r w:rsidR="00E4054A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 w:rsidR="00E4054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source. </w:t>
      </w:r>
      <w:r w:rsidRPr="00104642">
        <w:rPr>
          <w:rFonts w:ascii="Times New Roman" w:hAnsi="Times New Roman" w:cs="Times New Roman"/>
          <w:sz w:val="24"/>
          <w:szCs w:val="24"/>
        </w:rPr>
        <w:t>Pierce and</w:t>
      </w:r>
      <w:r>
        <w:rPr>
          <w:rFonts w:ascii="Times New Roman" w:hAnsi="Times New Roman" w:cs="Times New Roman"/>
          <w:sz w:val="24"/>
          <w:szCs w:val="24"/>
        </w:rPr>
        <w:t xml:space="preserve"> Schott (2016) </w:t>
      </w:r>
      <w:r w:rsidRPr="00193C41">
        <w:rPr>
          <w:rFonts w:ascii="Times New Roman" w:hAnsi="Times New Roman" w:cs="Times New Roman"/>
          <w:color w:val="FF0000"/>
          <w:sz w:val="24"/>
          <w:szCs w:val="24"/>
        </w:rPr>
        <w:t>provide</w:t>
      </w:r>
      <w:r w:rsidR="00193C41" w:rsidRPr="00193C41">
        <w:rPr>
          <w:rFonts w:ascii="Times New Roman" w:hAnsi="Times New Roman" w:cs="Times New Roman" w:hint="eastAsia"/>
          <w:color w:val="FF0000"/>
          <w:sz w:val="24"/>
          <w:szCs w:val="24"/>
        </w:rPr>
        <w:t>d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similar </w:t>
      </w:r>
      <w:r w:rsidRPr="00104642">
        <w:rPr>
          <w:rFonts w:ascii="Times New Roman" w:hAnsi="Times New Roman" w:cs="Times New Roman"/>
          <w:sz w:val="24"/>
          <w:szCs w:val="24"/>
        </w:rPr>
        <w:t>tariff</w:t>
      </w:r>
      <w:r>
        <w:rPr>
          <w:rFonts w:ascii="Times New Roman" w:hAnsi="Times New Roman" w:cs="Times New Roman"/>
          <w:sz w:val="24"/>
          <w:szCs w:val="24"/>
        </w:rPr>
        <w:t xml:space="preserve"> reduction data as that of Erten and Leight (2021), but at more finely-defined industrial scopes, one that </w:t>
      </w:r>
      <w:r w:rsidR="00193C41" w:rsidRPr="00193C41">
        <w:rPr>
          <w:rFonts w:ascii="Times New Roman" w:hAnsi="Times New Roman" w:cs="Times New Roman"/>
          <w:color w:val="FF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also used </w:t>
      </w:r>
      <w:r w:rsidR="00954536">
        <w:rPr>
          <w:rFonts w:ascii="Times New Roman" w:hAnsi="Times New Roman" w:cs="Times New Roman"/>
          <w:sz w:val="24"/>
          <w:szCs w:val="24"/>
        </w:rPr>
        <w:t>by</w:t>
      </w:r>
      <w:r w:rsidRPr="001D2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Facchini et al. (2019) when studying the migration behavior of Chinese migrants. I follow </w:t>
      </w:r>
      <w:r w:rsidRPr="00104642">
        <w:rPr>
          <w:rFonts w:ascii="Times New Roman" w:hAnsi="Times New Roman" w:cs="Times New Roman"/>
          <w:sz w:val="24"/>
          <w:szCs w:val="24"/>
        </w:rPr>
        <w:t>Pierce and</w:t>
      </w:r>
      <w:r>
        <w:rPr>
          <w:rFonts w:ascii="Times New Roman" w:hAnsi="Times New Roman" w:cs="Times New Roman"/>
          <w:sz w:val="24"/>
          <w:szCs w:val="24"/>
        </w:rPr>
        <w:t xml:space="preserve"> Schott (2016) and Facchini et al. (2019) to reconstruct the PNTR </w:t>
      </w:r>
      <w:r w:rsidR="00E4054A">
        <w:rPr>
          <w:rFonts w:ascii="Times New Roman" w:hAnsi="Times New Roman" w:cs="Times New Roman"/>
          <w:sz w:val="24"/>
          <w:szCs w:val="24"/>
        </w:rPr>
        <w:t>measure and re-regress equation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4054A">
        <w:rPr>
          <w:rFonts w:ascii="Times New Roman" w:hAnsi="Times New Roman" w:cs="Times New Roman"/>
          <w:sz w:val="24"/>
          <w:szCs w:val="24"/>
        </w:rPr>
        <w:t xml:space="preserve"> in the main text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Following Dai et al. (2021), </w:t>
      </w:r>
      <w:r w:rsidRPr="00104642">
        <w:rPr>
          <w:rFonts w:ascii="Times New Roman" w:hAnsi="Times New Roman" w:cs="Times New Roman"/>
          <w:sz w:val="24"/>
          <w:szCs w:val="24"/>
        </w:rPr>
        <w:t xml:space="preserve">I drop workers in the agriculture sector </w:t>
      </w:r>
      <w:r>
        <w:rPr>
          <w:rFonts w:ascii="Times New Roman" w:hAnsi="Times New Roman" w:cs="Times New Roman"/>
          <w:sz w:val="24"/>
          <w:szCs w:val="24"/>
        </w:rPr>
        <w:t>rather than</w:t>
      </w:r>
      <w:r w:rsidRPr="00104642">
        <w:rPr>
          <w:rFonts w:ascii="Times New Roman" w:hAnsi="Times New Roman" w:cs="Times New Roman"/>
          <w:sz w:val="24"/>
          <w:szCs w:val="24"/>
        </w:rPr>
        <w:t xml:space="preserve"> treat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04642">
        <w:rPr>
          <w:rFonts w:ascii="Times New Roman" w:hAnsi="Times New Roman" w:cs="Times New Roman"/>
          <w:sz w:val="24"/>
          <w:szCs w:val="24"/>
        </w:rPr>
        <w:t xml:space="preserve"> them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04642">
        <w:rPr>
          <w:rFonts w:ascii="Times New Roman" w:hAnsi="Times New Roman" w:cs="Times New Roman"/>
          <w:sz w:val="24"/>
          <w:szCs w:val="24"/>
        </w:rPr>
        <w:t xml:space="preserve">zero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104642">
        <w:rPr>
          <w:rFonts w:ascii="Times New Roman" w:hAnsi="Times New Roman" w:cs="Times New Roman"/>
          <w:sz w:val="24"/>
          <w:szCs w:val="24"/>
        </w:rPr>
        <w:t xml:space="preserve"> to save efficiency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6079D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presents the estimation results. As the data miss some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observations of</w:t>
      </w:r>
      <w:r w:rsidRPr="00104642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 xml:space="preserve">e experience variable in certain years, </w:t>
      </w:r>
      <w:r w:rsidRPr="0010464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resulting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size of the regression is smaller when the experience variable is included</w:t>
      </w:r>
      <w:r w:rsidRPr="00104642">
        <w:rPr>
          <w:rFonts w:ascii="Times New Roman" w:hAnsi="Times New Roman" w:cs="Times New Roman"/>
          <w:sz w:val="24"/>
          <w:szCs w:val="24"/>
        </w:rPr>
        <w:t xml:space="preserve">. </w:t>
      </w:r>
      <w:r w:rsidRPr="00104642">
        <w:rPr>
          <w:rFonts w:ascii="Times New Roman" w:hAnsi="Times New Roman" w:cs="Times New Roman" w:hint="eastAsia"/>
          <w:sz w:val="24"/>
          <w:szCs w:val="24"/>
        </w:rPr>
        <w:t>T</w:t>
      </w:r>
      <w:r w:rsidRPr="00104642">
        <w:rPr>
          <w:rFonts w:ascii="Times New Roman" w:hAnsi="Times New Roman" w:cs="Times New Roman"/>
          <w:sz w:val="24"/>
          <w:szCs w:val="24"/>
        </w:rPr>
        <w:t>he coefficients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8A679D">
        <w:rPr>
          <w:rFonts w:ascii="Times New Roman" w:hAnsi="Times New Roman" w:cs="Times New Roman"/>
          <w:i/>
          <w:sz w:val="24"/>
          <w:szCs w:val="24"/>
        </w:rPr>
        <w:t>male_pntr_post</w:t>
      </w:r>
      <w:r w:rsidRPr="00104642">
        <w:rPr>
          <w:rFonts w:ascii="Times New Roman" w:hAnsi="Times New Roman" w:cs="Times New Roman"/>
          <w:sz w:val="24"/>
          <w:szCs w:val="24"/>
        </w:rPr>
        <w:t xml:space="preserve"> vary from 0.048 to 0.051 and are all positive and </w:t>
      </w:r>
      <w:r>
        <w:rPr>
          <w:rFonts w:ascii="Times New Roman" w:hAnsi="Times New Roman" w:cs="Times New Roman"/>
          <w:sz w:val="24"/>
          <w:szCs w:val="24"/>
        </w:rPr>
        <w:t xml:space="preserve">statistically </w:t>
      </w:r>
      <w:r w:rsidRPr="00104642">
        <w:rPr>
          <w:rFonts w:ascii="Times New Roman" w:hAnsi="Times New Roman" w:cs="Times New Roman"/>
          <w:sz w:val="24"/>
          <w:szCs w:val="24"/>
        </w:rPr>
        <w:t xml:space="preserve">significant at the 1% level, which </w:t>
      </w:r>
      <w:r w:rsidR="00193C4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somewhat</w:t>
      </w:r>
      <w:r w:rsidRPr="00104642">
        <w:rPr>
          <w:rFonts w:ascii="Times New Roman" w:hAnsi="Times New Roman" w:cs="Times New Roman"/>
          <w:sz w:val="24"/>
          <w:szCs w:val="24"/>
        </w:rPr>
        <w:t xml:space="preserve"> larger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42">
        <w:rPr>
          <w:rFonts w:ascii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hAnsi="Times New Roman" w:cs="Times New Roman"/>
          <w:sz w:val="24"/>
          <w:szCs w:val="24"/>
        </w:rPr>
        <w:t xml:space="preserve">that of </w:t>
      </w:r>
      <w:r w:rsidRPr="001046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baseline estimates using the</w:t>
      </w:r>
      <w:r w:rsidRPr="0010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Erten and Leight (2021) data. </w:t>
      </w:r>
    </w:p>
    <w:p w:rsidR="00FF3B8D" w:rsidRPr="003B4159" w:rsidRDefault="00FF3B8D" w:rsidP="00FF3B8D">
      <w:pPr>
        <w:pStyle w:val="a7"/>
        <w:ind w:left="-142"/>
      </w:pPr>
    </w:p>
    <w:p w:rsidR="00FF3B8D" w:rsidRDefault="00FF3B8D" w:rsidP="00FF3B8D">
      <w:pPr>
        <w:pStyle w:val="a7"/>
        <w:ind w:left="1080"/>
        <w:jc w:val="center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[TABLE </w:t>
      </w:r>
      <w:r w:rsidR="0046079D">
        <w:rPr>
          <w:rFonts w:ascii="Times New Roman" w:hAnsi="Times New Roman" w:cs="Times New Roman"/>
          <w:kern w:val="0"/>
          <w:sz w:val="24"/>
          <w:szCs w:val="20"/>
        </w:rPr>
        <w:t>A1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 HERE]</w:t>
      </w:r>
    </w:p>
    <w:p w:rsidR="00E4054A" w:rsidRDefault="00E4054A" w:rsidP="00FF3B8D">
      <w:pPr>
        <w:pStyle w:val="a7"/>
        <w:ind w:left="108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FF3B8D" w:rsidRPr="00C209B5" w:rsidRDefault="00FF3B8D" w:rsidP="00954536">
      <w:pPr>
        <w:pStyle w:val="2"/>
        <w:numPr>
          <w:ilvl w:val="0"/>
          <w:numId w:val="1"/>
        </w:numPr>
      </w:pPr>
      <w:r w:rsidRPr="00C209B5">
        <w:t>Controlling additional workers’ characteristics</w:t>
      </w:r>
    </w:p>
    <w:p w:rsidR="00FF3B8D" w:rsidRPr="003E7E32" w:rsidRDefault="00FF3B8D" w:rsidP="00FF3B8D"/>
    <w:p w:rsidR="00FF3B8D" w:rsidRDefault="00FF3B8D" w:rsidP="00FF3B8D">
      <w:pPr>
        <w:pStyle w:val="a7"/>
        <w:ind w:left="1077"/>
        <w:jc w:val="center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[TABLE </w:t>
      </w:r>
      <w:r w:rsidR="0046079D">
        <w:rPr>
          <w:rFonts w:ascii="Times New Roman" w:hAnsi="Times New Roman" w:cs="Times New Roman"/>
          <w:kern w:val="0"/>
          <w:sz w:val="24"/>
          <w:szCs w:val="20"/>
        </w:rPr>
        <w:t>A2</w:t>
      </w:r>
      <w:r>
        <w:rPr>
          <w:rFonts w:ascii="Times New Roman" w:hAnsi="Times New Roman" w:cs="Times New Roman"/>
          <w:kern w:val="0"/>
          <w:sz w:val="24"/>
          <w:szCs w:val="20"/>
        </w:rPr>
        <w:t xml:space="preserve"> HERE]</w:t>
      </w:r>
    </w:p>
    <w:p w:rsidR="00FF3B8D" w:rsidRPr="00104642" w:rsidRDefault="00FF3B8D" w:rsidP="00FF3B8D">
      <w:pPr>
        <w:pStyle w:val="a7"/>
        <w:ind w:left="1077"/>
        <w:rPr>
          <w:rFonts w:ascii="Times New Roman" w:hAnsi="Times New Roman" w:cs="Times New Roman"/>
          <w:kern w:val="0"/>
          <w:sz w:val="24"/>
          <w:szCs w:val="20"/>
        </w:rPr>
      </w:pPr>
    </w:p>
    <w:p w:rsidR="00FF3B8D" w:rsidRDefault="00FF3B8D" w:rsidP="00FF3B8D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C2388A">
        <w:rPr>
          <w:rFonts w:ascii="Times New Roman" w:hAnsi="Times New Roman" w:cs="Times New Roman"/>
          <w:sz w:val="24"/>
          <w:szCs w:val="24"/>
        </w:rPr>
        <w:t xml:space="preserve">Table </w:t>
      </w:r>
      <w:r w:rsidR="0046079D"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further presents the</w:t>
      </w:r>
      <w:r w:rsidRPr="00C2388A">
        <w:rPr>
          <w:rFonts w:ascii="Times New Roman" w:hAnsi="Times New Roman" w:cs="Times New Roman"/>
          <w:sz w:val="24"/>
          <w:szCs w:val="24"/>
        </w:rPr>
        <w:t xml:space="preserve"> estimation results of </w:t>
      </w:r>
      <w:r>
        <w:rPr>
          <w:rFonts w:ascii="Times New Roman" w:hAnsi="Times New Roman" w:cs="Times New Roman"/>
          <w:sz w:val="24"/>
          <w:szCs w:val="24"/>
        </w:rPr>
        <w:t xml:space="preserve">equation 3 </w:t>
      </w:r>
      <w:r w:rsidR="00E4054A">
        <w:rPr>
          <w:rFonts w:ascii="Times New Roman" w:hAnsi="Times New Roman" w:cs="Times New Roman"/>
          <w:sz w:val="24"/>
          <w:szCs w:val="24"/>
        </w:rPr>
        <w:t xml:space="preserve">in the main text </w:t>
      </w:r>
      <w:r>
        <w:rPr>
          <w:rFonts w:ascii="Times New Roman" w:hAnsi="Times New Roman" w:cs="Times New Roman"/>
          <w:sz w:val="24"/>
          <w:szCs w:val="24"/>
        </w:rPr>
        <w:t>while controlling</w:t>
      </w:r>
      <w:r w:rsidRPr="00C2388A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E4054A">
        <w:rPr>
          <w:rFonts w:ascii="Times New Roman" w:hAnsi="Times New Roman" w:cs="Times New Roman"/>
          <w:sz w:val="24"/>
          <w:szCs w:val="24"/>
        </w:rPr>
        <w:t>personal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demographic and </w:t>
      </w:r>
      <w:r w:rsidRPr="00C2388A">
        <w:rPr>
          <w:rFonts w:ascii="Times New Roman" w:hAnsi="Times New Roman" w:cs="Times New Roman"/>
          <w:sz w:val="24"/>
          <w:szCs w:val="24"/>
        </w:rPr>
        <w:t>socioeconomic characteristics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Pr="00C2388A">
        <w:rPr>
          <w:rFonts w:ascii="Times New Roman" w:hAnsi="Times New Roman" w:cs="Times New Roman"/>
          <w:sz w:val="24"/>
          <w:szCs w:val="24"/>
        </w:rPr>
        <w:t xml:space="preserve">education, industry, </w:t>
      </w:r>
      <w:r>
        <w:rPr>
          <w:rFonts w:ascii="Times New Roman" w:hAnsi="Times New Roman" w:cs="Times New Roman"/>
          <w:sz w:val="24"/>
          <w:szCs w:val="24"/>
        </w:rPr>
        <w:t>occupation, and ownership structure of the employer. T</w:t>
      </w:r>
      <w:r w:rsidRPr="00C2388A">
        <w:rPr>
          <w:rFonts w:ascii="Times New Roman" w:hAnsi="Times New Roman" w:cs="Times New Roman"/>
          <w:sz w:val="24"/>
          <w:szCs w:val="24"/>
        </w:rPr>
        <w:t>he main result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remain </w:t>
      </w:r>
      <w:r w:rsidR="0046079D">
        <w:rPr>
          <w:rFonts w:ascii="Times New Roman" w:hAnsi="Times New Roman" w:cs="Times New Roman" w:hint="eastAsia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changed, estimations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are all positive and statistically and economically significant at conventional levels. Moving </w:t>
      </w:r>
      <w:r>
        <w:rPr>
          <w:rFonts w:ascii="Times New Roman" w:hAnsi="Times New Roman" w:cs="Times New Roman" w:hint="eastAsia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the columns from left to right in Table </w:t>
      </w:r>
      <w:r w:rsidR="0046079D"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 xml:space="preserve"> shows that the estimate for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decreases in absolute value as additional control variables are included.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8D" w:rsidRPr="00C209B5" w:rsidRDefault="00FF3B8D" w:rsidP="00954536">
      <w:pPr>
        <w:pStyle w:val="2"/>
        <w:numPr>
          <w:ilvl w:val="0"/>
          <w:numId w:val="1"/>
        </w:numPr>
      </w:pPr>
      <w:r w:rsidRPr="00C209B5">
        <w:t>Rerun the specification at the aggregated level</w:t>
      </w:r>
    </w:p>
    <w:p w:rsidR="00FF3B8D" w:rsidRPr="00C2388A" w:rsidRDefault="00FF3B8D" w:rsidP="00FF3B8D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This subsection additionally</w:t>
      </w:r>
      <w:r w:rsidRPr="00C2388A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388A">
        <w:rPr>
          <w:rFonts w:ascii="Times New Roman" w:hAnsi="Times New Roman" w:cs="Times New Roman"/>
          <w:sz w:val="24"/>
          <w:szCs w:val="24"/>
        </w:rPr>
        <w:t xml:space="preserve"> the robustness of </w:t>
      </w:r>
      <w:r>
        <w:rPr>
          <w:rFonts w:ascii="Times New Roman" w:hAnsi="Times New Roman" w:cs="Times New Roman"/>
          <w:sz w:val="24"/>
          <w:szCs w:val="24"/>
        </w:rPr>
        <w:t>the estimates</w:t>
      </w:r>
      <w:r w:rsidRPr="00C2388A">
        <w:rPr>
          <w:rFonts w:ascii="Times New Roman" w:hAnsi="Times New Roman" w:cs="Times New Roman"/>
          <w:sz w:val="24"/>
          <w:szCs w:val="24"/>
        </w:rPr>
        <w:t xml:space="preserve"> by aggregating the individual </w:t>
      </w:r>
      <w:r>
        <w:rPr>
          <w:rFonts w:ascii="Times New Roman" w:hAnsi="Times New Roman" w:cs="Times New Roman"/>
          <w:sz w:val="24"/>
          <w:szCs w:val="24"/>
        </w:rPr>
        <w:t>wage data</w:t>
      </w:r>
      <w:r w:rsidRPr="00C2388A">
        <w:rPr>
          <w:rFonts w:ascii="Times New Roman" w:hAnsi="Times New Roman" w:cs="Times New Roman"/>
          <w:sz w:val="24"/>
          <w:szCs w:val="24"/>
        </w:rPr>
        <w:t xml:space="preserve"> to the province level </w:t>
      </w:r>
      <w:r>
        <w:rPr>
          <w:rFonts w:ascii="Times New Roman" w:hAnsi="Times New Roman" w:cs="Times New Roman"/>
          <w:sz w:val="24"/>
          <w:szCs w:val="24"/>
        </w:rPr>
        <w:t xml:space="preserve">to construct a province-level gender wage gap measure </w:t>
      </w:r>
      <w:r w:rsidRPr="00C2388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obtained</w:t>
      </w:r>
      <w:r w:rsidRPr="00C2388A">
        <w:rPr>
          <w:rFonts w:ascii="Times New Roman" w:hAnsi="Times New Roman" w:cs="Times New Roman"/>
          <w:sz w:val="24"/>
          <w:szCs w:val="24"/>
        </w:rPr>
        <w:t xml:space="preserve"> gender wage gap </w:t>
      </w:r>
      <w:r>
        <w:rPr>
          <w:rFonts w:ascii="Times New Roman" w:hAnsi="Times New Roman" w:cs="Times New Roman"/>
          <w:sz w:val="24"/>
          <w:szCs w:val="24"/>
        </w:rPr>
        <w:t xml:space="preserve">measure </w:t>
      </w:r>
      <w:r w:rsidRPr="00C238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estimate</w:t>
      </w:r>
      <w:r w:rsidRPr="00C2388A">
        <w:rPr>
          <w:rFonts w:ascii="Times New Roman" w:hAnsi="Times New Roman" w:cs="Times New Roman"/>
          <w:sz w:val="24"/>
          <w:szCs w:val="24"/>
        </w:rPr>
        <w:t xml:space="preserve"> a difference-in-differenc</w:t>
      </w:r>
      <w:r>
        <w:rPr>
          <w:rFonts w:ascii="Times New Roman" w:hAnsi="Times New Roman" w:cs="Times New Roman"/>
          <w:sz w:val="24"/>
          <w:szCs w:val="24"/>
        </w:rPr>
        <w:t xml:space="preserve">e (DID) regression. Specifically, I estimate two regression equations expressed in equation </w:t>
      </w:r>
      <w:r w:rsidR="0046079D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 and equation </w:t>
      </w:r>
      <w:r w:rsidR="0046079D">
        <w:rPr>
          <w:rFonts w:ascii="Times New Roman" w:hAnsi="Times New Roman" w:cs="Times New Roman"/>
          <w:sz w:val="24"/>
          <w:szCs w:val="24"/>
        </w:rPr>
        <w:t>A2</w:t>
      </w:r>
      <w:r w:rsidRPr="00C23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="0046079D">
        <w:rPr>
          <w:rFonts w:ascii="Times New Roman" w:hAnsi="Times New Roman" w:cs="Times New Roman"/>
          <w:sz w:val="24"/>
          <w:szCs w:val="24"/>
        </w:rPr>
        <w:t>A1</w:t>
      </w:r>
      <w:r w:rsidRPr="00C2388A">
        <w:rPr>
          <w:rFonts w:ascii="Times New Roman" w:hAnsi="Times New Roman" w:cs="Times New Roman"/>
          <w:sz w:val="24"/>
          <w:szCs w:val="24"/>
        </w:rPr>
        <w:t xml:space="preserve"> is a continuous </w:t>
      </w:r>
      <w:r w:rsidRPr="00C2388A">
        <w:rPr>
          <w:rFonts w:ascii="Times New Roman" w:hAnsi="Times New Roman" w:cs="Times New Roman"/>
          <w:sz w:val="24"/>
          <w:szCs w:val="24"/>
        </w:rPr>
        <w:lastRenderedPageBreak/>
        <w:t>DID regression</w:t>
      </w:r>
      <w:r>
        <w:rPr>
          <w:rFonts w:ascii="Times New Roman" w:hAnsi="Times New Roman" w:cs="Times New Roman"/>
          <w:sz w:val="24"/>
          <w:szCs w:val="24"/>
        </w:rPr>
        <w:t xml:space="preserve"> specification, with the explanatory variable being </w:t>
      </w:r>
      <w:r w:rsidRPr="00C2388A">
        <w:rPr>
          <w:rFonts w:ascii="Times New Roman" w:hAnsi="Times New Roman" w:cs="Times New Roman"/>
          <w:sz w:val="24"/>
          <w:szCs w:val="24"/>
        </w:rPr>
        <w:t>the province</w:t>
      </w:r>
      <w:r>
        <w:rPr>
          <w:rFonts w:ascii="Times New Roman" w:hAnsi="Times New Roman" w:cs="Times New Roman"/>
          <w:sz w:val="24"/>
          <w:szCs w:val="24"/>
        </w:rPr>
        <w:t>-level</w:t>
      </w:r>
      <w:r w:rsidRPr="00C2388A">
        <w:rPr>
          <w:rFonts w:ascii="Times New Roman" w:hAnsi="Times New Roman" w:cs="Times New Roman"/>
          <w:sz w:val="24"/>
          <w:szCs w:val="24"/>
        </w:rPr>
        <w:t xml:space="preserve"> PNTR meas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C2388A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 xml:space="preserve">dependent variable being the </w:t>
      </w:r>
      <w:r w:rsidRPr="00C2388A">
        <w:rPr>
          <w:rFonts w:ascii="Times New Roman" w:hAnsi="Times New Roman" w:cs="Times New Roman"/>
          <w:sz w:val="24"/>
          <w:szCs w:val="24"/>
        </w:rPr>
        <w:t>province</w:t>
      </w:r>
      <w:r>
        <w:rPr>
          <w:rFonts w:ascii="Times New Roman" w:hAnsi="Times New Roman" w:cs="Times New Roman"/>
          <w:sz w:val="24"/>
          <w:szCs w:val="24"/>
        </w:rPr>
        <w:t>-level gender wage gap. It includes</w:t>
      </w:r>
      <w:r w:rsidRPr="00C2388A">
        <w:rPr>
          <w:rFonts w:ascii="Times New Roman" w:hAnsi="Times New Roman" w:cs="Times New Roman"/>
          <w:sz w:val="24"/>
          <w:szCs w:val="24"/>
        </w:rPr>
        <w:t xml:space="preserve"> a set of province control varia</w:t>
      </w:r>
      <w:r>
        <w:rPr>
          <w:rFonts w:ascii="Times New Roman" w:hAnsi="Times New Roman" w:cs="Times New Roman"/>
          <w:sz w:val="24"/>
          <w:szCs w:val="24"/>
        </w:rPr>
        <w:t xml:space="preserve">bles and a battery of fixed effects.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gap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pt</m:t>
            </m:r>
          </m:sub>
        </m:sSub>
      </m:oMath>
      <w:r w:rsidRPr="00C2388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represents</w:t>
      </w:r>
      <w:r w:rsidRPr="00C2388A">
        <w:rPr>
          <w:rFonts w:ascii="Times New Roman" w:hAnsi="Times New Roman" w:cs="Times New Roman"/>
          <w:sz w:val="24"/>
          <w:szCs w:val="24"/>
        </w:rPr>
        <w:t xml:space="preserve"> the gender wage gap of province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C2388A">
        <w:rPr>
          <w:rFonts w:ascii="Times New Roman" w:hAnsi="Times New Roman" w:cs="Times New Roman"/>
          <w:sz w:val="24"/>
          <w:szCs w:val="24"/>
        </w:rPr>
        <w:t xml:space="preserve"> in year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C23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pntr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,1999</m:t>
            </m:r>
          </m:sub>
        </m:sSub>
      </m:oMath>
      <w:r w:rsidRPr="00C238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2388A">
        <w:rPr>
          <w:rFonts w:ascii="Times New Roman" w:hAnsi="Times New Roman" w:cs="Times New Roman"/>
          <w:sz w:val="24"/>
          <w:szCs w:val="24"/>
        </w:rPr>
        <w:t>is th</w:t>
      </w:r>
      <w:r>
        <w:rPr>
          <w:rFonts w:ascii="Times New Roman" w:hAnsi="Times New Roman" w:cs="Times New Roman"/>
          <w:sz w:val="24"/>
          <w:szCs w:val="24"/>
        </w:rPr>
        <w:t xml:space="preserve">e province-level measure of </w:t>
      </w:r>
      <w:r w:rsidRPr="00C2388A">
        <w:rPr>
          <w:rFonts w:ascii="Times New Roman" w:hAnsi="Times New Roman" w:cs="Times New Roman"/>
          <w:sz w:val="24"/>
          <w:szCs w:val="24"/>
        </w:rPr>
        <w:t>trade exposure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B8D" w:rsidRPr="0046079D" w:rsidRDefault="0046079D" w:rsidP="00460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4"/>
        </w:rPr>
      </w:pPr>
      <m:oMath>
        <m:r>
          <w:rPr>
            <w:rFonts w:ascii="Cambria Math" w:hAnsi="Cambria Math"/>
            <w:sz w:val="22"/>
            <w:szCs w:val="24"/>
          </w:rPr>
          <m:t xml:space="preserve">        ln</m:t>
        </m:r>
        <m:d>
          <m:dPr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gap</m:t>
                </m:r>
              </m:e>
              <m:sub>
                <m:r>
                  <w:rPr>
                    <w:rFonts w:ascii="Cambria Math" w:hAnsi="Cambria Math"/>
                    <w:sz w:val="22"/>
                    <w:szCs w:val="24"/>
                  </w:rPr>
                  <m:t>pt</m:t>
                </m:r>
              </m:sub>
            </m:sSub>
          </m:e>
        </m:d>
        <m:r>
          <w:rPr>
            <w:rFonts w:ascii="Cambria Math" w:hAnsi="Cambria Math"/>
            <w:sz w:val="22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/>
            <w:sz w:val="22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1</m:t>
            </m:r>
          </m:sub>
        </m:sSub>
        <m:r>
          <w:rPr>
            <w:rFonts w:ascii="Cambria Math" w:hAnsi="Cambria Math"/>
            <w:sz w:val="22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4"/>
              </w:rPr>
              <m:t>pntr</m:t>
            </m:r>
          </m:e>
          <m:sub>
            <m:r>
              <w:rPr>
                <w:rFonts w:ascii="Cambria Math" w:hAnsi="Cambria Math" w:cs="Times New Roman"/>
                <w:sz w:val="22"/>
                <w:szCs w:val="24"/>
              </w:rPr>
              <m:t>p,1999</m:t>
            </m:r>
          </m:sub>
        </m:sSub>
        <m:r>
          <w:rPr>
            <w:rFonts w:ascii="Cambria Math" w:hAnsi="Cambria Math" w:cs="Times New Roman"/>
            <w:sz w:val="22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4"/>
              </w:rPr>
              <m:t>post</m:t>
            </m:r>
          </m:e>
          <m:sub>
            <m:r>
              <w:rPr>
                <w:rFonts w:ascii="Cambria Math" w:hAnsi="Cambria Math" w:cs="Times New Roman"/>
                <w:sz w:val="22"/>
                <w:szCs w:val="24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2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/>
                <w:sz w:val="22"/>
                <w:szCs w:val="24"/>
              </w:rPr>
              <m:t>+γ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t</m:t>
            </m:r>
          </m:sub>
        </m:sSub>
        <m:r>
          <w:rPr>
            <w:rFonts w:ascii="Cambria Math" w:hAnsi="Cambria Math"/>
            <w:sz w:val="22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pt</m:t>
            </m:r>
          </m:sub>
        </m:sSub>
      </m:oMath>
      <w:r w:rsidR="00E4054A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="00FF3B8D" w:rsidRPr="0046079D">
        <w:rPr>
          <w:rFonts w:ascii="Times New Roman" w:hAnsi="Times New Roman" w:cs="Times New Roman"/>
          <w:sz w:val="22"/>
          <w:szCs w:val="24"/>
        </w:rPr>
        <w:t>(</w:t>
      </w:r>
      <w:r w:rsidRPr="0046079D">
        <w:rPr>
          <w:rFonts w:ascii="Times New Roman" w:hAnsi="Times New Roman" w:cs="Times New Roman"/>
          <w:sz w:val="22"/>
          <w:szCs w:val="24"/>
        </w:rPr>
        <w:t>A1</w:t>
      </w:r>
      <w:r w:rsidR="00FF3B8D" w:rsidRPr="0046079D">
        <w:rPr>
          <w:rFonts w:ascii="Times New Roman" w:hAnsi="Times New Roman" w:cs="Times New Roman"/>
          <w:sz w:val="22"/>
          <w:szCs w:val="24"/>
        </w:rPr>
        <w:t>)</w:t>
      </w:r>
    </w:p>
    <w:p w:rsidR="00FF3B8D" w:rsidRPr="00C2388A" w:rsidRDefault="00FF3B8D" w:rsidP="00FF3B8D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Equation </w:t>
      </w:r>
      <w:r w:rsidR="0046079D">
        <w:rPr>
          <w:rFonts w:ascii="Times New Roman" w:hAnsi="Times New Roman" w:cs="Times New Roman"/>
          <w:sz w:val="24"/>
          <w:szCs w:val="24"/>
        </w:rPr>
        <w:t>A2</w:t>
      </w:r>
      <w:r w:rsidRPr="00C2388A">
        <w:rPr>
          <w:rFonts w:ascii="Times New Roman" w:hAnsi="Times New Roman" w:cs="Times New Roman"/>
          <w:sz w:val="24"/>
          <w:szCs w:val="24"/>
        </w:rPr>
        <w:t xml:space="preserve"> is a discrete </w:t>
      </w:r>
      <w:r>
        <w:rPr>
          <w:rFonts w:ascii="Times New Roman" w:hAnsi="Times New Roman" w:cs="Times New Roman"/>
          <w:sz w:val="24"/>
          <w:szCs w:val="24"/>
        </w:rPr>
        <w:t>form of the DID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regression specification,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explanatory variable being a</w:t>
      </w:r>
      <w:r w:rsidRPr="00C2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binary</w:t>
      </w:r>
      <w:r w:rsidRPr="00C2388A">
        <w:rPr>
          <w:rFonts w:ascii="Times New Roman" w:hAnsi="Times New Roman" w:cs="Times New Roman"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9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whether a province is in high trade exposure or low trade exposure.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P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>r</w:t>
      </w:r>
      <w:r>
        <w:rPr>
          <w:rFonts w:ascii="Times New Roman" w:eastAsia="华文中宋" w:hAnsi="Times New Roman" w:cs="Times New Roman"/>
          <w:sz w:val="24"/>
          <w:szCs w:val="24"/>
        </w:rPr>
        <w:t>ovinces are classified as high or low according to their relative size of the PNTR measure to the median PNTR.</w:t>
      </w:r>
      <w:r>
        <w:rPr>
          <w:rFonts w:ascii="Times New Roman" w:hAnsi="Times New Roman" w:cs="Times New Roman"/>
          <w:sz w:val="24"/>
          <w:szCs w:val="24"/>
        </w:rPr>
        <w:t xml:space="preserve"> Specification of this sort is akin</w:t>
      </w:r>
      <w:r w:rsidRPr="00C2388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that of </w:t>
      </w:r>
      <w:r w:rsidRPr="00C2388A">
        <w:rPr>
          <w:rFonts w:ascii="Times New Roman" w:hAnsi="Times New Roman" w:cs="Times New Roman"/>
          <w:sz w:val="24"/>
          <w:szCs w:val="24"/>
        </w:rPr>
        <w:t xml:space="preserve">Han et al. (2012)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197DA5">
        <w:rPr>
          <w:rFonts w:ascii="Times New Roman" w:hAnsi="Times New Roman" w:cs="Times New Roman"/>
          <w:color w:val="FF0000"/>
          <w:sz w:val="24"/>
          <w:szCs w:val="24"/>
        </w:rPr>
        <w:t>split</w:t>
      </w:r>
      <w:r w:rsidRPr="00C2388A">
        <w:rPr>
          <w:rFonts w:ascii="Times New Roman" w:hAnsi="Times New Roman" w:cs="Times New Roman"/>
          <w:sz w:val="24"/>
          <w:szCs w:val="24"/>
        </w:rPr>
        <w:t xml:space="preserve"> provinces into high-exposed and low-exposed regions</w:t>
      </w:r>
      <w:r>
        <w:rPr>
          <w:rFonts w:ascii="Times New Roman" w:hAnsi="Times New Roman" w:cs="Times New Roman"/>
          <w:sz w:val="24"/>
          <w:szCs w:val="24"/>
        </w:rPr>
        <w:t xml:space="preserve"> when studying the impact of globalization on wage inequality in urban China</w:t>
      </w:r>
      <w:r w:rsidRPr="00C2388A">
        <w:rPr>
          <w:rFonts w:ascii="Times New Roman" w:hAnsi="Times New Roman" w:cs="Times New Roman"/>
          <w:sz w:val="24"/>
          <w:szCs w:val="24"/>
        </w:rPr>
        <w:t>.</w:t>
      </w:r>
    </w:p>
    <w:p w:rsidR="00FF3B8D" w:rsidRPr="00EF2991" w:rsidRDefault="00FF3B8D" w:rsidP="00FF3B8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2"/>
          <w:szCs w:val="24"/>
        </w:rPr>
      </w:pPr>
      <w:r w:rsidRPr="00EF2991">
        <w:rPr>
          <w:rFonts w:ascii="Times New Roman" w:hAnsi="Times New Roman" w:cs="Times New Roman"/>
          <w:sz w:val="22"/>
          <w:szCs w:val="24"/>
        </w:rPr>
        <w:t xml:space="preserve">       </w:t>
      </w:r>
      <m:oMath>
        <m:r>
          <w:rPr>
            <w:rFonts w:ascii="Cambria Math" w:hAnsi="Cambria Math"/>
            <w:sz w:val="22"/>
            <w:szCs w:val="24"/>
          </w:rPr>
          <m:t>ln</m:t>
        </m:r>
        <m:d>
          <m:dPr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gap</m:t>
                </m:r>
              </m:e>
              <m:sub>
                <m:r>
                  <w:rPr>
                    <w:rFonts w:ascii="Cambria Math" w:hAnsi="Cambria Math"/>
                    <w:sz w:val="22"/>
                    <w:szCs w:val="24"/>
                  </w:rPr>
                  <m:t>pt</m:t>
                </m:r>
              </m:sub>
            </m:sSub>
          </m:e>
        </m:d>
        <m:r>
          <w:rPr>
            <w:rFonts w:ascii="Cambria Math" w:hAnsi="Cambria Math"/>
            <w:sz w:val="22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/>
            <w:sz w:val="22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4"/>
              </w:rPr>
              <m:t>high</m:t>
            </m:r>
          </m:e>
          <m:sub>
            <m:r>
              <w:rPr>
                <w:rFonts w:ascii="Cambria Math" w:hAnsi="Cambria Math" w:cs="Times New Roman"/>
                <w:sz w:val="22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2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4"/>
              </w:rPr>
              <m:t>post</m:t>
            </m:r>
          </m:e>
          <m:sub>
            <m:r>
              <w:rPr>
                <w:rFonts w:ascii="Cambria Math" w:hAnsi="Cambria Math" w:cs="Times New Roman"/>
                <w:sz w:val="22"/>
                <w:szCs w:val="24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2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/>
                <w:sz w:val="22"/>
                <w:szCs w:val="24"/>
              </w:rPr>
              <m:t>+γ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t</m:t>
            </m:r>
          </m:sub>
        </m:sSub>
        <m:r>
          <w:rPr>
            <w:rFonts w:ascii="Cambria Math" w:hAnsi="Cambria Math"/>
            <w:sz w:val="22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pt</m:t>
            </m:r>
          </m:sub>
        </m:sSub>
      </m:oMath>
      <w:r w:rsidRPr="00EF2991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EF2991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EF2991">
        <w:rPr>
          <w:rFonts w:ascii="Times New Roman" w:hAnsi="Times New Roman" w:cs="Times New Roman"/>
          <w:sz w:val="22"/>
          <w:szCs w:val="24"/>
        </w:rPr>
        <w:t>(</w:t>
      </w:r>
      <w:r w:rsidR="0046079D">
        <w:rPr>
          <w:rFonts w:ascii="Times New Roman" w:hAnsi="Times New Roman" w:cs="Times New Roman"/>
          <w:sz w:val="22"/>
          <w:szCs w:val="24"/>
        </w:rPr>
        <w:t>A2</w:t>
      </w:r>
      <w:r w:rsidRPr="00EF2991">
        <w:rPr>
          <w:rFonts w:ascii="Times New Roman" w:hAnsi="Times New Roman" w:cs="Times New Roman"/>
          <w:sz w:val="22"/>
          <w:szCs w:val="24"/>
        </w:rPr>
        <w:t>)</w:t>
      </w:r>
    </w:p>
    <w:p w:rsidR="00FF3B8D" w:rsidRDefault="007F3DB9" w:rsidP="00FF3B8D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high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FF3B8D" w:rsidRPr="00C2388A">
        <w:rPr>
          <w:rFonts w:ascii="Times New Roman" w:hAnsi="Times New Roman" w:cs="Times New Roman"/>
          <w:sz w:val="24"/>
          <w:szCs w:val="24"/>
        </w:rPr>
        <w:t xml:space="preserve"> is a dummy variable that indicates whether province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="00FF3B8D" w:rsidRPr="00C2388A">
        <w:rPr>
          <w:rFonts w:ascii="Times New Roman" w:hAnsi="Times New Roman" w:cs="Times New Roman"/>
          <w:sz w:val="24"/>
          <w:szCs w:val="24"/>
        </w:rPr>
        <w:t xml:space="preserve"> is a high-exposed </w:t>
      </w:r>
      <w:r w:rsidR="00FF3B8D">
        <w:rPr>
          <w:rFonts w:ascii="Times New Roman" w:hAnsi="Times New Roman" w:cs="Times New Roman"/>
          <w:sz w:val="24"/>
          <w:szCs w:val="24"/>
        </w:rPr>
        <w:t>region</w:t>
      </w:r>
      <w:r w:rsidR="00FF3B8D" w:rsidRPr="00C2388A">
        <w:rPr>
          <w:rFonts w:ascii="Times New Roman" w:hAnsi="Times New Roman" w:cs="Times New Roman"/>
          <w:sz w:val="24"/>
          <w:szCs w:val="24"/>
        </w:rPr>
        <w:t xml:space="preserve"> or not, while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FF3B8D" w:rsidRPr="00C238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B8D" w:rsidRPr="00C2388A">
        <w:rPr>
          <w:rFonts w:ascii="Times New Roman" w:hAnsi="Times New Roman" w:cs="Times New Roman"/>
          <w:sz w:val="24"/>
          <w:szCs w:val="24"/>
        </w:rPr>
        <w:t>indicate</w:t>
      </w:r>
      <w:r w:rsidR="00FF3B8D">
        <w:rPr>
          <w:rFonts w:ascii="Times New Roman" w:hAnsi="Times New Roman" w:cs="Times New Roman"/>
          <w:sz w:val="24"/>
          <w:szCs w:val="24"/>
        </w:rPr>
        <w:t>s</w:t>
      </w:r>
      <w:r w:rsidR="00FF3B8D" w:rsidRPr="00C2388A">
        <w:rPr>
          <w:rFonts w:ascii="Times New Roman" w:hAnsi="Times New Roman" w:cs="Times New Roman"/>
          <w:sz w:val="24"/>
          <w:szCs w:val="24"/>
        </w:rPr>
        <w:t xml:space="preserve"> whether year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FF3B8D" w:rsidRPr="00C238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B8D">
        <w:rPr>
          <w:rFonts w:ascii="Times New Roman" w:hAnsi="Times New Roman" w:cs="Times New Roman"/>
          <w:sz w:val="24"/>
          <w:szCs w:val="24"/>
        </w:rPr>
        <w:t>is in post-</w:t>
      </w:r>
      <w:r w:rsidR="00FF3B8D" w:rsidRPr="00C2388A">
        <w:rPr>
          <w:rFonts w:ascii="Times New Roman" w:hAnsi="Times New Roman" w:cs="Times New Roman"/>
          <w:sz w:val="24"/>
          <w:szCs w:val="24"/>
        </w:rPr>
        <w:t>2001</w:t>
      </w:r>
      <w:r w:rsidR="00FF3B8D">
        <w:rPr>
          <w:rFonts w:ascii="Times New Roman" w:hAnsi="Times New Roman" w:cs="Times New Roman"/>
          <w:sz w:val="24"/>
          <w:szCs w:val="24"/>
        </w:rPr>
        <w:t xml:space="preserve"> period or not</w:t>
      </w:r>
      <w:r w:rsidR="00FF3B8D" w:rsidRPr="00C2388A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FF3B8D" w:rsidRPr="00C238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B8D" w:rsidRPr="00C2388A">
        <w:rPr>
          <w:rFonts w:ascii="Times New Roman" w:hAnsi="Times New Roman" w:cs="Times New Roman"/>
          <w:sz w:val="24"/>
          <w:szCs w:val="24"/>
        </w:rPr>
        <w:t xml:space="preserve">is the </w:t>
      </w:r>
      <w:r w:rsidR="00FF3B8D" w:rsidRPr="00C2388A">
        <w:rPr>
          <w:rFonts w:ascii="Times New Roman" w:hAnsi="Times New Roman" w:cs="Times New Roman" w:hint="eastAsia"/>
          <w:sz w:val="24"/>
          <w:szCs w:val="24"/>
        </w:rPr>
        <w:t>provin</w:t>
      </w:r>
      <w:r w:rsidR="00FF3B8D" w:rsidRPr="00C2388A">
        <w:rPr>
          <w:rFonts w:ascii="Times New Roman" w:hAnsi="Times New Roman" w:cs="Times New Roman"/>
          <w:sz w:val="24"/>
          <w:szCs w:val="24"/>
        </w:rPr>
        <w:t>c</w:t>
      </w:r>
      <w:r w:rsidR="00FF3B8D" w:rsidRPr="00C2388A">
        <w:rPr>
          <w:rFonts w:ascii="Times New Roman" w:hAnsi="Times New Roman" w:cs="Times New Roman" w:hint="eastAsia"/>
          <w:sz w:val="24"/>
          <w:szCs w:val="24"/>
        </w:rPr>
        <w:t>e</w:t>
      </w:r>
      <w:r w:rsidR="00FF3B8D" w:rsidRPr="00C2388A">
        <w:rPr>
          <w:rFonts w:ascii="Times New Roman" w:hAnsi="Times New Roman" w:cs="Times New Roman"/>
          <w:sz w:val="24"/>
          <w:szCs w:val="24"/>
        </w:rPr>
        <w:t xml:space="preserve"> fixed effect,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FF3B8D" w:rsidRPr="00C238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B8D" w:rsidRPr="00C2388A">
        <w:rPr>
          <w:rFonts w:ascii="Times New Roman" w:hAnsi="Times New Roman" w:cs="Times New Roman"/>
          <w:sz w:val="24"/>
          <w:szCs w:val="24"/>
        </w:rPr>
        <w:t>is the year fixed effect,</w:t>
      </w:r>
      <w:r w:rsidR="00FF3B8D">
        <w:rPr>
          <w:rFonts w:ascii="Times New Roman" w:hAnsi="Times New Roman" w:cs="Times New Roman"/>
          <w:sz w:val="24"/>
          <w:szCs w:val="24"/>
        </w:rPr>
        <w:t xml:space="preserve"> and</w:t>
      </w:r>
      <w:r w:rsidR="00FF3B8D" w:rsidRPr="00C2388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pt</m:t>
            </m:r>
          </m:sub>
        </m:sSub>
      </m:oMath>
      <w:r w:rsidR="00FF3B8D" w:rsidRPr="00C2388A">
        <w:rPr>
          <w:rFonts w:ascii="Times New Roman" w:hAnsi="Times New Roman" w:cs="Times New Roman"/>
          <w:sz w:val="24"/>
          <w:szCs w:val="24"/>
        </w:rPr>
        <w:t xml:space="preserve"> is a random error term. The coefficient of interest is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F3B8D" w:rsidRPr="00C2388A">
        <w:rPr>
          <w:rFonts w:ascii="Times New Roman" w:hAnsi="Times New Roman" w:cs="Times New Roman"/>
          <w:sz w:val="24"/>
          <w:szCs w:val="24"/>
        </w:rPr>
        <w:t>.</w:t>
      </w:r>
      <w:r w:rsidR="00FF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8D" w:rsidRDefault="00FF3B8D" w:rsidP="00FF3B8D">
      <w:pPr>
        <w:pStyle w:val="a7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FF3B8D" w:rsidRDefault="00FF3B8D" w:rsidP="00FF3B8D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eastAsia="华文中宋" w:hAnsi="Times New Roman" w:cs="Times New Roman"/>
          <w:sz w:val="24"/>
          <w:szCs w:val="24"/>
        </w:rPr>
      </w:pPr>
      <w:r>
        <w:rPr>
          <w:rFonts w:ascii="Times New Roman" w:eastAsia="华文中宋" w:hAnsi="Times New Roman" w:cs="Times New Roman"/>
          <w:sz w:val="24"/>
          <w:szCs w:val="24"/>
        </w:rPr>
        <w:t xml:space="preserve">[TABLE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A3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HERE]</w:t>
      </w:r>
    </w:p>
    <w:p w:rsidR="00FF3B8D" w:rsidRPr="00C2388A" w:rsidRDefault="00FF3B8D" w:rsidP="00FF3B8D">
      <w:pPr>
        <w:pStyle w:val="a7"/>
        <w:autoSpaceDE w:val="0"/>
        <w:autoSpaceDN w:val="0"/>
        <w:adjustRightInd w:val="0"/>
        <w:ind w:left="1080"/>
        <w:jc w:val="center"/>
        <w:rPr>
          <w:rFonts w:ascii="Times New Roman" w:eastAsia="华文中宋" w:hAnsi="Times New Roman" w:cs="Times New Roman"/>
          <w:sz w:val="24"/>
          <w:szCs w:val="24"/>
        </w:rPr>
      </w:pPr>
    </w:p>
    <w:p w:rsidR="00FF3B8D" w:rsidRDefault="00FF3B8D" w:rsidP="00FF3B8D">
      <w:pPr>
        <w:ind w:firstLine="480"/>
        <w:rPr>
          <w:rFonts w:ascii="Times New Roman" w:eastAsia="华文中宋" w:hAnsi="Times New Roman" w:cs="Times New Roman"/>
          <w:sz w:val="24"/>
          <w:szCs w:val="24"/>
        </w:rPr>
      </w:pP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Table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A3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reports the 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>regression results of equation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A1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. </w:t>
      </w:r>
      <w:r>
        <w:rPr>
          <w:rFonts w:ascii="Times New Roman" w:eastAsia="华文中宋" w:hAnsi="Times New Roman" w:cs="Times New Roman"/>
          <w:sz w:val="24"/>
          <w:szCs w:val="24"/>
        </w:rPr>
        <w:t>P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>ositive coefficients o</w:t>
      </w:r>
      <w:r w:rsidR="00E4054A">
        <w:rPr>
          <w:rFonts w:ascii="Times New Roman" w:eastAsia="华文中宋" w:hAnsi="Times New Roman" w:cs="Times New Roman"/>
          <w:sz w:val="24"/>
          <w:szCs w:val="24"/>
        </w:rPr>
        <w:t>n the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 w:rsidRPr="00C2388A">
        <w:rPr>
          <w:rFonts w:ascii="Times New Roman" w:eastAsia="华文中宋" w:hAnsi="Times New Roman" w:cs="Times New Roman"/>
          <w:i/>
          <w:sz w:val="24"/>
          <w:szCs w:val="24"/>
        </w:rPr>
        <w:t>pntr_post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中宋" w:hAnsi="Times New Roman" w:cs="Times New Roman"/>
          <w:sz w:val="24"/>
          <w:szCs w:val="24"/>
        </w:rPr>
        <w:t>variable in all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columns indi</w:t>
      </w:r>
      <w:r>
        <w:rPr>
          <w:rFonts w:ascii="Times New Roman" w:eastAsia="华文中宋" w:hAnsi="Times New Roman" w:cs="Times New Roman"/>
          <w:sz w:val="24"/>
          <w:szCs w:val="24"/>
        </w:rPr>
        <w:t>cate that high-exposed regions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experience larger increases in the gender wage gap. </w:t>
      </w:r>
      <w:r>
        <w:rPr>
          <w:rFonts w:ascii="Times New Roman" w:eastAsia="华文中宋" w:hAnsi="Times New Roman" w:cs="Times New Roman"/>
          <w:sz w:val="24"/>
          <w:szCs w:val="24"/>
        </w:rPr>
        <w:t>The coefficients in columns 1 and 2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are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both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中宋" w:hAnsi="Times New Roman" w:cs="Times New Roman"/>
          <w:sz w:val="24"/>
          <w:szCs w:val="24"/>
        </w:rPr>
        <w:t>significant at the 5% level. Key findings remain unchanged when measuring the gender wage gap in its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中宋" w:hAnsi="Times New Roman" w:cs="Times New Roman"/>
          <w:sz w:val="24"/>
          <w:szCs w:val="24"/>
        </w:rPr>
        <w:t>natural logarithmic form, as seen in columns 3 and 4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. </w:t>
      </w:r>
    </w:p>
    <w:p w:rsidR="00FF3B8D" w:rsidRPr="00C2388A" w:rsidRDefault="00FF3B8D" w:rsidP="00FF3B8D">
      <w:pPr>
        <w:ind w:firstLine="480"/>
        <w:rPr>
          <w:rFonts w:ascii="Times New Roman" w:eastAsia="华文中宋" w:hAnsi="Times New Roman" w:cs="Times New Roman"/>
          <w:sz w:val="24"/>
          <w:szCs w:val="24"/>
        </w:rPr>
      </w:pPr>
    </w:p>
    <w:p w:rsidR="00FF3B8D" w:rsidRDefault="00FF3B8D" w:rsidP="00FF3B8D">
      <w:pPr>
        <w:jc w:val="center"/>
        <w:rPr>
          <w:rFonts w:ascii="Times New Roman" w:eastAsia="华文中宋" w:hAnsi="Times New Roman" w:cs="Times New Roman"/>
          <w:sz w:val="24"/>
          <w:szCs w:val="24"/>
        </w:rPr>
      </w:pPr>
      <w:r>
        <w:rPr>
          <w:rFonts w:ascii="Times New Roman" w:eastAsia="华文中宋" w:hAnsi="Times New Roman" w:cs="Times New Roman"/>
          <w:sz w:val="24"/>
          <w:szCs w:val="24"/>
        </w:rPr>
        <w:t xml:space="preserve">[TABLE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A4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HERE]</w:t>
      </w:r>
    </w:p>
    <w:p w:rsidR="00FF3B8D" w:rsidRPr="00B20C9F" w:rsidRDefault="00FF3B8D" w:rsidP="00FF3B8D">
      <w:pPr>
        <w:rPr>
          <w:rFonts w:ascii="Times New Roman" w:eastAsia="华文中宋" w:hAnsi="Times New Roman" w:cs="Times New Roman"/>
          <w:sz w:val="24"/>
          <w:szCs w:val="24"/>
        </w:rPr>
      </w:pPr>
    </w:p>
    <w:p w:rsidR="00FF3B8D" w:rsidRDefault="00FF3B8D" w:rsidP="00E4054A">
      <w:pPr>
        <w:pStyle w:val="a7"/>
        <w:ind w:left="0" w:firstLine="420"/>
        <w:rPr>
          <w:rFonts w:ascii="Times New Roman" w:eastAsia="华文中宋" w:hAnsi="Times New Roman" w:cs="Times New Roman"/>
          <w:sz w:val="24"/>
          <w:szCs w:val="24"/>
        </w:rPr>
      </w:pP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Table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A4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reports the estimat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ion results of equation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A2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, </w:t>
      </w:r>
      <w:r>
        <w:rPr>
          <w:rFonts w:ascii="Times New Roman" w:eastAsia="华文中宋" w:hAnsi="Times New Roman" w:cs="Times New Roman"/>
          <w:sz w:val="24"/>
          <w:szCs w:val="24"/>
        </w:rPr>
        <w:t>t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he </w:t>
      </w:r>
      <w:r>
        <w:rPr>
          <w:rFonts w:ascii="Times New Roman" w:eastAsia="华文中宋" w:hAnsi="Times New Roman" w:cs="Times New Roman"/>
          <w:sz w:val="24"/>
          <w:szCs w:val="24"/>
        </w:rPr>
        <w:t>results are similar to that in T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A3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, </w:t>
      </w:r>
      <w:r>
        <w:rPr>
          <w:rFonts w:ascii="Times New Roman" w:eastAsia="华文中宋" w:hAnsi="Times New Roman" w:cs="Times New Roman"/>
          <w:sz w:val="24"/>
          <w:szCs w:val="24"/>
        </w:rPr>
        <w:t>even if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the coefficients are larger. 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Table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A3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and Table </w:t>
      </w:r>
      <w:r w:rsidR="0046079D">
        <w:rPr>
          <w:rFonts w:ascii="Times New Roman" w:eastAsia="华文中宋" w:hAnsi="Times New Roman" w:cs="Times New Roman"/>
          <w:sz w:val="24"/>
          <w:szCs w:val="24"/>
        </w:rPr>
        <w:t>A4</w:t>
      </w:r>
      <w:r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 w:rsidR="00954536">
        <w:rPr>
          <w:rFonts w:ascii="Times New Roman" w:eastAsia="华文中宋" w:hAnsi="Times New Roman" w:cs="Times New Roman"/>
          <w:sz w:val="24"/>
          <w:szCs w:val="24"/>
        </w:rPr>
        <w:t xml:space="preserve">both </w:t>
      </w:r>
      <w:r>
        <w:rPr>
          <w:rFonts w:ascii="Times New Roman" w:eastAsia="华文中宋" w:hAnsi="Times New Roman" w:cs="Times New Roman"/>
          <w:sz w:val="24"/>
          <w:szCs w:val="24"/>
        </w:rPr>
        <w:t>confirm the finding that trade liberalisation causes a rise in the gender wage gap</w:t>
      </w:r>
      <w:r w:rsidR="00E4054A">
        <w:rPr>
          <w:rFonts w:ascii="Times New Roman" w:eastAsia="华文中宋" w:hAnsi="Times New Roman" w:cs="Times New Roman"/>
          <w:sz w:val="24"/>
          <w:szCs w:val="24"/>
        </w:rPr>
        <w:t>.</w:t>
      </w:r>
    </w:p>
    <w:p w:rsidR="00FF3B8D" w:rsidRPr="008227D2" w:rsidRDefault="00FF3B8D" w:rsidP="00954536">
      <w:pPr>
        <w:pStyle w:val="2"/>
        <w:numPr>
          <w:ilvl w:val="0"/>
          <w:numId w:val="1"/>
        </w:numPr>
      </w:pPr>
      <w:r w:rsidRPr="00C209B5">
        <w:t>Test the pre-policy parallel trend assumption</w:t>
      </w:r>
      <w:r w:rsidRPr="008227D2">
        <w:t xml:space="preserve"> </w:t>
      </w:r>
    </w:p>
    <w:p w:rsidR="00FF3B8D" w:rsidRDefault="00FF3B8D" w:rsidP="00FF3B8D">
      <w:pPr>
        <w:pStyle w:val="a7"/>
        <w:ind w:left="0" w:firstLine="420"/>
        <w:rPr>
          <w:rFonts w:ascii="Times New Roman" w:eastAsia="华文中宋" w:hAnsi="Times New Roman" w:cs="Times New Roman"/>
          <w:sz w:val="24"/>
          <w:szCs w:val="24"/>
        </w:rPr>
      </w:pPr>
    </w:p>
    <w:p w:rsidR="00FF3B8D" w:rsidRDefault="00FF3B8D" w:rsidP="00FF3B8D">
      <w:pPr>
        <w:autoSpaceDE w:val="0"/>
        <w:autoSpaceDN w:val="0"/>
        <w:adjustRightInd w:val="0"/>
        <w:ind w:left="663" w:hangingChars="300" w:hanging="663"/>
        <w:jc w:val="center"/>
        <w:rPr>
          <w:rFonts w:ascii="Times New Roman" w:hAnsi="Times New Roman" w:cs="Times New Roman"/>
          <w:sz w:val="24"/>
          <w:szCs w:val="24"/>
        </w:rPr>
      </w:pPr>
      <w:r w:rsidRPr="00A271E2">
        <w:rPr>
          <w:rFonts w:ascii="Arial" w:hAnsi="Arial" w:cs="Arial"/>
          <w:b/>
          <w:sz w:val="22"/>
        </w:rPr>
        <w:t>Figure</w:t>
      </w:r>
      <w:r w:rsidR="00954536" w:rsidRPr="00A271E2">
        <w:rPr>
          <w:rFonts w:ascii="Arial" w:hAnsi="Arial" w:cs="Arial"/>
          <w:b/>
          <w:sz w:val="22"/>
        </w:rPr>
        <w:t>A1</w:t>
      </w:r>
      <w:r w:rsidRPr="00B20C9F">
        <w:rPr>
          <w:rFonts w:ascii="Times New Roman" w:hAnsi="Times New Roman" w:cs="Times New Roman"/>
          <w:sz w:val="24"/>
          <w:szCs w:val="24"/>
        </w:rPr>
        <w:t xml:space="preserve"> </w:t>
      </w:r>
      <w:r w:rsidRPr="00A271E2">
        <w:rPr>
          <w:rFonts w:ascii="Arial" w:hAnsi="Arial" w:cs="Arial"/>
          <w:sz w:val="22"/>
        </w:rPr>
        <w:t>Event study graph of multiple DDD regression</w:t>
      </w:r>
    </w:p>
    <w:p w:rsidR="00954536" w:rsidRDefault="00954536" w:rsidP="00FF3B8D">
      <w:pPr>
        <w:autoSpaceDE w:val="0"/>
        <w:autoSpaceDN w:val="0"/>
        <w:adjustRightInd w:val="0"/>
        <w:ind w:left="720" w:hangingChars="30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F3B8D" w:rsidRDefault="00FF3B8D" w:rsidP="00E06ED5">
      <w:pPr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Figure </w:t>
      </w:r>
      <w:r w:rsidR="00954536">
        <w:rPr>
          <w:rFonts w:ascii="Times New Roman" w:hAnsi="Times New Roman" w:cs="Times New Roman"/>
          <w:kern w:val="0"/>
          <w:sz w:val="24"/>
          <w:szCs w:val="24"/>
        </w:rPr>
        <w:t>A1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provides graphical event-study evidence on the effectiveness of the pre-policy parallel trend hypothesis between high and low trade-exposed regions and provides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year-speci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fic coefficients on the </w:t>
      </w:r>
      <w:r w:rsidRPr="00F073FC">
        <w:rPr>
          <w:rFonts w:ascii="Times New Roman" w:hAnsi="Times New Roman" w:cs="Times New Roman"/>
          <w:i/>
          <w:kern w:val="0"/>
          <w:sz w:val="24"/>
          <w:szCs w:val="24"/>
        </w:rPr>
        <w:t>male_pntr_post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variable for 18 consecutive years spanning the 1992-2009 period, drawing data from Erten and Leight (2021). There’s a clear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rise in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the gender wage gap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after the WTO accession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event. The coefficient 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>jump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from 2001 to 2002 and is significantly different from zero after 2002, while it is indistinguishable from zero before 2002. The pattern shown in F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igure </w:t>
      </w:r>
      <w:r w:rsidR="00954536">
        <w:rPr>
          <w:rFonts w:ascii="Times New Roman" w:hAnsi="Times New Roman" w:cs="Times New Roman"/>
          <w:kern w:val="0"/>
          <w:sz w:val="24"/>
          <w:szCs w:val="24"/>
        </w:rPr>
        <w:lastRenderedPageBreak/>
        <w:t>A1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indicates that the parallel trend hypothesis among high and low trade-exposed regions before the trade shock </w:t>
      </w:r>
      <w:r w:rsidR="00197DA5" w:rsidRPr="00197DA5">
        <w:rPr>
          <w:rFonts w:ascii="Times New Roman" w:hAnsi="Times New Roman" w:cs="Times New Roman"/>
          <w:color w:val="FF0000"/>
          <w:kern w:val="0"/>
          <w:sz w:val="24"/>
          <w:szCs w:val="24"/>
        </w:rPr>
        <w:t>indeed</w:t>
      </w:r>
      <w:r w:rsidRPr="00B20C9F">
        <w:rPr>
          <w:rFonts w:ascii="Times New Roman" w:hAnsi="Times New Roman" w:cs="Times New Roman"/>
          <w:kern w:val="0"/>
          <w:sz w:val="24"/>
          <w:szCs w:val="24"/>
        </w:rPr>
        <w:t xml:space="preserve"> holds. </w:t>
      </w:r>
    </w:p>
    <w:p w:rsidR="00954536" w:rsidRDefault="00954536" w:rsidP="00E06ED5">
      <w:pPr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954536" w:rsidRDefault="00954536" w:rsidP="00954536">
      <w:pPr>
        <w:pStyle w:val="2"/>
      </w:pPr>
      <w:r>
        <w:t>References</w:t>
      </w:r>
    </w:p>
    <w:p w:rsidR="008640B5" w:rsidRDefault="008640B5" w:rsidP="008640B5">
      <w:pPr>
        <w:pStyle w:val="a7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</w:rPr>
      </w:pPr>
      <w:r w:rsidRPr="0025320E">
        <w:rPr>
          <w:rFonts w:ascii="Times New Roman" w:hAnsi="Times New Roman" w:cs="Times New Roman"/>
          <w:b/>
          <w:sz w:val="22"/>
        </w:rPr>
        <w:t>Dai M, Huang W and Zhang Y</w:t>
      </w:r>
      <w:r w:rsidRPr="004B2451">
        <w:rPr>
          <w:rFonts w:ascii="Times New Roman" w:hAnsi="Times New Roman" w:cs="Times New Roman"/>
          <w:sz w:val="22"/>
        </w:rPr>
        <w:t xml:space="preserve"> (2021) </w:t>
      </w:r>
      <w:r w:rsidRPr="0025320E">
        <w:rPr>
          <w:rFonts w:ascii="Times New Roman" w:hAnsi="Times New Roman" w:cs="Times New Roman"/>
          <w:sz w:val="22"/>
        </w:rPr>
        <w:t>How Do Households Adjust to Tariff Liberalisation? Evidence from China’s WTO Accession</w:t>
      </w:r>
      <w:r>
        <w:rPr>
          <w:rFonts w:ascii="Times New Roman" w:hAnsi="Times New Roman" w:cs="Times New Roman"/>
          <w:sz w:val="22"/>
        </w:rPr>
        <w:t>.</w:t>
      </w:r>
      <w:r w:rsidRPr="004B2451">
        <w:rPr>
          <w:rFonts w:ascii="Times New Roman" w:hAnsi="Times New Roman" w:cs="Times New Roman"/>
          <w:sz w:val="22"/>
        </w:rPr>
        <w:t xml:space="preserve"> </w:t>
      </w:r>
      <w:r w:rsidRPr="0025320E">
        <w:rPr>
          <w:rFonts w:ascii="Times New Roman" w:hAnsi="Times New Roman" w:cs="Times New Roman"/>
          <w:i/>
          <w:sz w:val="22"/>
        </w:rPr>
        <w:t>Journal of Development Economics</w:t>
      </w:r>
      <w:r w:rsidRPr="004B2451">
        <w:rPr>
          <w:rFonts w:ascii="Times New Roman" w:hAnsi="Times New Roman" w:cs="Times New Roman"/>
          <w:sz w:val="22"/>
        </w:rPr>
        <w:t xml:space="preserve"> </w:t>
      </w:r>
      <w:r w:rsidRPr="0025320E">
        <w:rPr>
          <w:rFonts w:ascii="Times New Roman" w:hAnsi="Times New Roman" w:cs="Times New Roman"/>
          <w:b/>
          <w:sz w:val="22"/>
        </w:rPr>
        <w:t>150</w:t>
      </w:r>
      <w:r>
        <w:rPr>
          <w:rFonts w:ascii="Times New Roman" w:hAnsi="Times New Roman" w:cs="Times New Roman"/>
          <w:sz w:val="22"/>
        </w:rPr>
        <w:t>(3)</w:t>
      </w:r>
      <w:r w:rsidRPr="004B2451">
        <w:rPr>
          <w:rFonts w:ascii="Times New Roman" w:hAnsi="Times New Roman" w:cs="Times New Roman"/>
          <w:sz w:val="22"/>
        </w:rPr>
        <w:t>, 102628.</w:t>
      </w:r>
      <w:r>
        <w:rPr>
          <w:rFonts w:ascii="Times New Roman" w:hAnsi="Times New Roman" w:cs="Times New Roman"/>
          <w:sz w:val="22"/>
        </w:rPr>
        <w:t xml:space="preserve"> </w:t>
      </w:r>
      <w:hyperlink r:id="rId7" w:tgtFrame="_blank" w:tooltip="Persistent link using digital object identifier" w:history="1">
        <w:r w:rsidRPr="00573516">
          <w:rPr>
            <w:rFonts w:ascii="Times New Roman" w:hAnsi="Times New Roman" w:cs="Times New Roman"/>
            <w:sz w:val="22"/>
          </w:rPr>
          <w:t>https://doi.org/10.1016/j.jdeveco.2021.102628</w:t>
        </w:r>
      </w:hyperlink>
      <w:r w:rsidRPr="00573516">
        <w:rPr>
          <w:rFonts w:ascii="Times New Roman" w:hAnsi="Times New Roman" w:cs="Times New Roman"/>
          <w:sz w:val="22"/>
        </w:rPr>
        <w:t>.</w:t>
      </w:r>
    </w:p>
    <w:p w:rsidR="008640B5" w:rsidRPr="008640B5" w:rsidRDefault="008640B5" w:rsidP="008640B5">
      <w:pPr>
        <w:pStyle w:val="a7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</w:rPr>
      </w:pPr>
      <w:r w:rsidRPr="00657908">
        <w:rPr>
          <w:rFonts w:ascii="Times New Roman" w:hAnsi="Times New Roman" w:cs="Times New Roman"/>
          <w:b/>
          <w:sz w:val="22"/>
        </w:rPr>
        <w:t>Erten B and Leight J</w:t>
      </w:r>
      <w:r w:rsidRPr="00BD6390">
        <w:rPr>
          <w:rFonts w:ascii="Times New Roman" w:hAnsi="Times New Roman" w:cs="Times New Roman"/>
          <w:sz w:val="22"/>
        </w:rPr>
        <w:t xml:space="preserve"> (2021) </w:t>
      </w:r>
      <w:r w:rsidRPr="00657908">
        <w:rPr>
          <w:rFonts w:ascii="Times New Roman" w:hAnsi="Times New Roman" w:cs="Times New Roman"/>
          <w:sz w:val="22"/>
        </w:rPr>
        <w:t>Exporting Out of Agriculture: The Impact of WTO Accession</w:t>
      </w:r>
      <w:r w:rsidRPr="00BD6390">
        <w:rPr>
          <w:rFonts w:ascii="Times New Roman" w:hAnsi="Times New Roman" w:cs="Times New Roman"/>
          <w:i/>
          <w:sz w:val="22"/>
        </w:rPr>
        <w:t xml:space="preserve"> </w:t>
      </w:r>
      <w:r w:rsidRPr="00657908">
        <w:rPr>
          <w:rFonts w:ascii="Times New Roman" w:hAnsi="Times New Roman" w:cs="Times New Roman"/>
          <w:sz w:val="22"/>
        </w:rPr>
        <w:t>on Structural Transformation in China</w:t>
      </w:r>
      <w:r>
        <w:rPr>
          <w:rFonts w:ascii="Times New Roman" w:hAnsi="Times New Roman" w:cs="Times New Roman"/>
          <w:sz w:val="22"/>
        </w:rPr>
        <w:t>.</w:t>
      </w:r>
      <w:r w:rsidRPr="00BD6390">
        <w:rPr>
          <w:rFonts w:ascii="Times New Roman" w:hAnsi="Times New Roman" w:cs="Times New Roman"/>
          <w:sz w:val="22"/>
        </w:rPr>
        <w:t xml:space="preserve"> </w:t>
      </w:r>
      <w:r w:rsidRPr="00657908">
        <w:rPr>
          <w:rFonts w:ascii="Times New Roman" w:hAnsi="Times New Roman" w:cs="Times New Roman"/>
          <w:i/>
          <w:sz w:val="22"/>
        </w:rPr>
        <w:t>Review of Economics and Statistics</w:t>
      </w:r>
      <w:r w:rsidRPr="00BD6390">
        <w:rPr>
          <w:rFonts w:ascii="Times New Roman" w:hAnsi="Times New Roman" w:cs="Times New Roman"/>
          <w:sz w:val="22"/>
        </w:rPr>
        <w:t xml:space="preserve"> </w:t>
      </w:r>
      <w:r w:rsidRPr="00657908">
        <w:rPr>
          <w:rFonts w:ascii="Times New Roman" w:hAnsi="Times New Roman" w:cs="Times New Roman"/>
          <w:b/>
          <w:sz w:val="22"/>
        </w:rPr>
        <w:t>103</w:t>
      </w:r>
      <w:r>
        <w:rPr>
          <w:rFonts w:ascii="Times New Roman" w:hAnsi="Times New Roman" w:cs="Times New Roman"/>
          <w:sz w:val="22"/>
        </w:rPr>
        <w:t>(2),</w:t>
      </w:r>
      <w:r w:rsidRPr="00BD6390">
        <w:rPr>
          <w:rFonts w:ascii="Times New Roman" w:hAnsi="Times New Roman" w:cs="Times New Roman"/>
          <w:sz w:val="22"/>
        </w:rPr>
        <w:t xml:space="preserve"> 364-380.</w:t>
      </w:r>
      <w:r>
        <w:rPr>
          <w:rFonts w:ascii="Times New Roman" w:hAnsi="Times New Roman" w:cs="Times New Roman"/>
          <w:sz w:val="22"/>
        </w:rPr>
        <w:t xml:space="preserve"> </w:t>
      </w:r>
      <w:hyperlink r:id="rId8" w:tgtFrame="_blank" w:history="1">
        <w:r w:rsidRPr="00573516">
          <w:rPr>
            <w:rFonts w:ascii="Times New Roman" w:hAnsi="Times New Roman" w:cs="Times New Roman"/>
            <w:sz w:val="22"/>
          </w:rPr>
          <w:t>https://doi.org/10.1162/rest_a_00852</w:t>
        </w:r>
      </w:hyperlink>
      <w:r w:rsidRPr="00573516">
        <w:rPr>
          <w:rFonts w:ascii="Times New Roman" w:hAnsi="Times New Roman" w:cs="Times New Roman"/>
          <w:sz w:val="22"/>
        </w:rPr>
        <w:t>.</w:t>
      </w:r>
    </w:p>
    <w:p w:rsidR="008640B5" w:rsidRDefault="008640B5" w:rsidP="008640B5">
      <w:pPr>
        <w:pStyle w:val="a7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</w:rPr>
      </w:pPr>
      <w:r w:rsidRPr="006E5726">
        <w:rPr>
          <w:rFonts w:ascii="Times New Roman" w:hAnsi="Times New Roman" w:cs="Times New Roman"/>
          <w:b/>
          <w:sz w:val="22"/>
        </w:rPr>
        <w:t>Facchini G, Liu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6E5726">
        <w:rPr>
          <w:rFonts w:ascii="Times New Roman" w:hAnsi="Times New Roman" w:cs="Times New Roman"/>
          <w:b/>
          <w:sz w:val="22"/>
        </w:rPr>
        <w:t>M, Mayda A and Zhou M</w:t>
      </w:r>
      <w:r w:rsidRPr="003D3A08">
        <w:rPr>
          <w:rFonts w:ascii="Times New Roman" w:hAnsi="Times New Roman" w:cs="Times New Roman"/>
          <w:sz w:val="22"/>
        </w:rPr>
        <w:t xml:space="preserve"> (2019) </w:t>
      </w:r>
      <w:r>
        <w:rPr>
          <w:rFonts w:ascii="Times New Roman" w:hAnsi="Times New Roman" w:cs="Times New Roman"/>
          <w:sz w:val="22"/>
        </w:rPr>
        <w:t>China’s “Great Migration”</w:t>
      </w:r>
      <w:r w:rsidRPr="006E5726">
        <w:rPr>
          <w:rFonts w:ascii="Times New Roman" w:hAnsi="Times New Roman" w:cs="Times New Roman"/>
          <w:sz w:val="22"/>
        </w:rPr>
        <w:t>: The Impact of the Reduction in Trade Policy Uncertainty.</w:t>
      </w:r>
      <w:r w:rsidRPr="003D3A08">
        <w:rPr>
          <w:rFonts w:ascii="Times New Roman" w:hAnsi="Times New Roman" w:cs="Times New Roman"/>
          <w:sz w:val="22"/>
        </w:rPr>
        <w:t xml:space="preserve"> </w:t>
      </w:r>
      <w:r w:rsidRPr="006E5726">
        <w:rPr>
          <w:rFonts w:ascii="Times New Roman" w:hAnsi="Times New Roman" w:cs="Times New Roman"/>
          <w:i/>
          <w:sz w:val="22"/>
        </w:rPr>
        <w:t>Journal of International Economics</w:t>
      </w:r>
      <w:r w:rsidRPr="003D3A08">
        <w:rPr>
          <w:rFonts w:ascii="Times New Roman" w:hAnsi="Times New Roman" w:cs="Times New Roman"/>
          <w:sz w:val="22"/>
        </w:rPr>
        <w:t xml:space="preserve"> </w:t>
      </w:r>
      <w:r w:rsidRPr="006E5726">
        <w:rPr>
          <w:rFonts w:ascii="Times New Roman" w:hAnsi="Times New Roman" w:cs="Times New Roman"/>
          <w:b/>
          <w:sz w:val="22"/>
        </w:rPr>
        <w:t>120</w:t>
      </w: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5)</w:t>
      </w:r>
      <w:r w:rsidRPr="003D3A08">
        <w:rPr>
          <w:rFonts w:ascii="Times New Roman" w:hAnsi="Times New Roman" w:cs="Times New Roman"/>
          <w:sz w:val="22"/>
        </w:rPr>
        <w:t>, 126-144.</w:t>
      </w:r>
      <w:r w:rsidRPr="000F163B">
        <w:t xml:space="preserve"> </w:t>
      </w:r>
      <w:hyperlink r:id="rId9" w:tgtFrame="_blank" w:tooltip="Persistent link using digital object identifier" w:history="1">
        <w:r w:rsidRPr="00573516">
          <w:rPr>
            <w:rFonts w:ascii="Times New Roman" w:hAnsi="Times New Roman" w:cs="Times New Roman"/>
            <w:sz w:val="22"/>
          </w:rPr>
          <w:t>https://doi.org/10.1016/j.jinteco.2019.04.002</w:t>
        </w:r>
      </w:hyperlink>
      <w:r w:rsidRPr="00573516">
        <w:rPr>
          <w:rFonts w:ascii="Times New Roman" w:hAnsi="Times New Roman" w:cs="Times New Roman"/>
          <w:sz w:val="22"/>
        </w:rPr>
        <w:t>.</w:t>
      </w:r>
    </w:p>
    <w:p w:rsidR="008640B5" w:rsidRDefault="008640B5" w:rsidP="008640B5">
      <w:pPr>
        <w:pStyle w:val="a7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</w:rPr>
      </w:pPr>
      <w:r w:rsidRPr="006E5726">
        <w:rPr>
          <w:rFonts w:ascii="Times New Roman" w:hAnsi="Times New Roman" w:cs="Times New Roman"/>
          <w:b/>
          <w:sz w:val="22"/>
        </w:rPr>
        <w:t>Han J, Liu R and Zhang J</w:t>
      </w:r>
      <w:r>
        <w:rPr>
          <w:rFonts w:ascii="Times New Roman" w:hAnsi="Times New Roman" w:cs="Times New Roman"/>
          <w:sz w:val="22"/>
        </w:rPr>
        <w:t xml:space="preserve"> (2012)</w:t>
      </w:r>
      <w:r w:rsidRPr="004B5499">
        <w:rPr>
          <w:rFonts w:ascii="Times New Roman" w:hAnsi="Times New Roman" w:cs="Times New Roman"/>
          <w:sz w:val="22"/>
        </w:rPr>
        <w:t xml:space="preserve"> </w:t>
      </w:r>
      <w:r w:rsidRPr="006E5726">
        <w:rPr>
          <w:rFonts w:ascii="Times New Roman" w:hAnsi="Times New Roman" w:cs="Times New Roman"/>
          <w:color w:val="FF0000"/>
          <w:sz w:val="22"/>
        </w:rPr>
        <w:t>Globalisation</w:t>
      </w:r>
      <w:r w:rsidRPr="006E5726">
        <w:rPr>
          <w:rFonts w:ascii="Times New Roman" w:hAnsi="Times New Roman" w:cs="Times New Roman"/>
          <w:sz w:val="22"/>
        </w:rPr>
        <w:t xml:space="preserve"> and Wage Inequality: Evidence from Urban China</w:t>
      </w:r>
      <w:r>
        <w:rPr>
          <w:rFonts w:ascii="Times New Roman" w:hAnsi="Times New Roman" w:cs="Times New Roman"/>
          <w:sz w:val="22"/>
        </w:rPr>
        <w:t>.</w:t>
      </w:r>
      <w:r w:rsidRPr="004B5499">
        <w:rPr>
          <w:rFonts w:ascii="Times New Roman" w:hAnsi="Times New Roman" w:cs="Times New Roman"/>
          <w:sz w:val="22"/>
        </w:rPr>
        <w:t xml:space="preserve"> </w:t>
      </w:r>
      <w:r w:rsidRPr="006E5726">
        <w:rPr>
          <w:rFonts w:ascii="Times New Roman" w:hAnsi="Times New Roman" w:cs="Times New Roman"/>
          <w:i/>
          <w:sz w:val="22"/>
        </w:rPr>
        <w:t>Journal of International Economics</w:t>
      </w:r>
      <w:r>
        <w:rPr>
          <w:rFonts w:ascii="Times New Roman" w:hAnsi="Times New Roman" w:cs="Times New Roman"/>
          <w:sz w:val="22"/>
        </w:rPr>
        <w:t>,</w:t>
      </w:r>
      <w:r w:rsidRPr="004B5499">
        <w:rPr>
          <w:rFonts w:ascii="Times New Roman" w:hAnsi="Times New Roman" w:cs="Times New Roman"/>
          <w:sz w:val="22"/>
        </w:rPr>
        <w:t xml:space="preserve"> </w:t>
      </w:r>
      <w:r w:rsidRPr="006E5726">
        <w:rPr>
          <w:rFonts w:ascii="Times New Roman" w:hAnsi="Times New Roman" w:cs="Times New Roman"/>
          <w:b/>
          <w:sz w:val="22"/>
        </w:rPr>
        <w:t>87</w:t>
      </w:r>
      <w:r>
        <w:rPr>
          <w:rFonts w:ascii="Times New Roman" w:hAnsi="Times New Roman" w:cs="Times New Roman"/>
          <w:sz w:val="22"/>
        </w:rPr>
        <w:t>(2)</w:t>
      </w:r>
      <w:r w:rsidRPr="004B5499">
        <w:rPr>
          <w:rFonts w:ascii="Times New Roman" w:hAnsi="Times New Roman" w:cs="Times New Roman"/>
          <w:sz w:val="22"/>
        </w:rPr>
        <w:t xml:space="preserve">, 288-297. </w:t>
      </w:r>
    </w:p>
    <w:p w:rsidR="008862A9" w:rsidRPr="004B5499" w:rsidRDefault="008862A9" w:rsidP="008862A9">
      <w:pPr>
        <w:pStyle w:val="a7"/>
        <w:ind w:left="284"/>
        <w:contextualSpacing w:val="0"/>
        <w:rPr>
          <w:rFonts w:ascii="Times New Roman" w:hAnsi="Times New Roman" w:cs="Times New Roman"/>
          <w:sz w:val="22"/>
        </w:rPr>
      </w:pPr>
      <w:hyperlink r:id="rId10" w:tgtFrame="_blank" w:tooltip="Persistent link using digital object identifier" w:history="1">
        <w:r w:rsidRPr="00573516">
          <w:rPr>
            <w:rFonts w:ascii="Times New Roman" w:hAnsi="Times New Roman" w:cs="Times New Roman"/>
            <w:sz w:val="22"/>
          </w:rPr>
          <w:t>https://doi.org/10.1016/j.jinteco.2011.12.006</w:t>
        </w:r>
      </w:hyperlink>
      <w:r w:rsidRPr="00573516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:rsidR="008640B5" w:rsidRDefault="008640B5" w:rsidP="008640B5">
      <w:pPr>
        <w:pStyle w:val="a7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</w:rPr>
      </w:pPr>
      <w:r w:rsidRPr="00D82735">
        <w:rPr>
          <w:rFonts w:ascii="Times New Roman" w:hAnsi="Times New Roman" w:cs="Times New Roman"/>
          <w:b/>
          <w:sz w:val="22"/>
        </w:rPr>
        <w:t>Pierce</w:t>
      </w:r>
      <w:r>
        <w:rPr>
          <w:rFonts w:ascii="Times New Roman" w:hAnsi="Times New Roman" w:cs="Times New Roman"/>
          <w:b/>
          <w:sz w:val="22"/>
        </w:rPr>
        <w:t xml:space="preserve"> J</w:t>
      </w:r>
      <w:r w:rsidRPr="00D82735">
        <w:rPr>
          <w:rFonts w:ascii="Times New Roman" w:hAnsi="Times New Roman" w:cs="Times New Roman"/>
          <w:b/>
          <w:sz w:val="22"/>
        </w:rPr>
        <w:t xml:space="preserve"> and Schott P</w:t>
      </w:r>
      <w:r>
        <w:rPr>
          <w:rFonts w:ascii="Times New Roman" w:hAnsi="Times New Roman" w:cs="Times New Roman"/>
          <w:sz w:val="22"/>
        </w:rPr>
        <w:t xml:space="preserve"> (2016)</w:t>
      </w:r>
      <w:r w:rsidRPr="004B5499">
        <w:rPr>
          <w:rFonts w:ascii="Times New Roman" w:hAnsi="Times New Roman" w:cs="Times New Roman"/>
          <w:sz w:val="22"/>
        </w:rPr>
        <w:t xml:space="preserve"> </w:t>
      </w:r>
      <w:r w:rsidRPr="00D82735">
        <w:rPr>
          <w:rFonts w:ascii="Times New Roman" w:hAnsi="Times New Roman" w:cs="Times New Roman"/>
          <w:sz w:val="22"/>
        </w:rPr>
        <w:t>The Surprisingly Swift Decline of US Manufacturing Employment</w:t>
      </w:r>
      <w:r>
        <w:rPr>
          <w:rFonts w:ascii="Times New Roman" w:hAnsi="Times New Roman" w:cs="Times New Roman"/>
          <w:sz w:val="22"/>
        </w:rPr>
        <w:t>.</w:t>
      </w:r>
      <w:r w:rsidRPr="004B5499">
        <w:rPr>
          <w:rFonts w:ascii="Times New Roman" w:hAnsi="Times New Roman" w:cs="Times New Roman"/>
          <w:sz w:val="22"/>
        </w:rPr>
        <w:t xml:space="preserve"> </w:t>
      </w:r>
      <w:r w:rsidRPr="00D82735">
        <w:rPr>
          <w:rFonts w:ascii="Times New Roman" w:hAnsi="Times New Roman" w:cs="Times New Roman"/>
          <w:i/>
          <w:sz w:val="22"/>
        </w:rPr>
        <w:t>American Economic Review</w:t>
      </w:r>
      <w:r>
        <w:rPr>
          <w:rFonts w:ascii="Times New Roman" w:hAnsi="Times New Roman" w:cs="Times New Roman"/>
          <w:sz w:val="22"/>
        </w:rPr>
        <w:t xml:space="preserve"> </w:t>
      </w:r>
      <w:r w:rsidRPr="00D82735">
        <w:rPr>
          <w:rFonts w:ascii="Times New Roman" w:hAnsi="Times New Roman" w:cs="Times New Roman"/>
          <w:b/>
          <w:sz w:val="22"/>
        </w:rPr>
        <w:t>106</w:t>
      </w:r>
      <w:r>
        <w:rPr>
          <w:rFonts w:ascii="Times New Roman" w:hAnsi="Times New Roman" w:cs="Times New Roman"/>
          <w:sz w:val="22"/>
        </w:rPr>
        <w:t>(7)</w:t>
      </w:r>
      <w:r w:rsidRPr="004B5499">
        <w:rPr>
          <w:rFonts w:ascii="Times New Roman" w:hAnsi="Times New Roman" w:cs="Times New Roman"/>
          <w:sz w:val="22"/>
        </w:rPr>
        <w:t>, 1632-1662.</w:t>
      </w:r>
      <w:r>
        <w:rPr>
          <w:rFonts w:ascii="Times New Roman" w:hAnsi="Times New Roman" w:cs="Times New Roman"/>
          <w:sz w:val="22"/>
        </w:rPr>
        <w:t xml:space="preserve"> </w:t>
      </w:r>
    </w:p>
    <w:p w:rsidR="008640B5" w:rsidRPr="008640B5" w:rsidRDefault="008640B5" w:rsidP="008640B5">
      <w:pPr>
        <w:pStyle w:val="a7"/>
        <w:ind w:left="284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</w:t>
      </w:r>
      <w:r w:rsidRPr="008640B5">
        <w:rPr>
          <w:rFonts w:ascii="Times New Roman" w:hAnsi="Times New Roman" w:cs="Times New Roman"/>
          <w:sz w:val="22"/>
        </w:rPr>
        <w:t>ttp://dx.doi.org/10.1257/aer.20131578</w:t>
      </w:r>
      <w:r>
        <w:rPr>
          <w:rFonts w:ascii="Times New Roman" w:hAnsi="Times New Roman" w:cs="Times New Roman"/>
          <w:sz w:val="22"/>
        </w:rPr>
        <w:t>.</w:t>
      </w:r>
      <w:r w:rsidRPr="008640B5">
        <w:rPr>
          <w:rFonts w:ascii="Times New Roman" w:hAnsi="Times New Roman" w:cs="Times New Roman"/>
          <w:sz w:val="22"/>
        </w:rPr>
        <w:t xml:space="preserve"> </w:t>
      </w:r>
    </w:p>
    <w:p w:rsidR="000A7649" w:rsidRPr="00533DF4" w:rsidRDefault="0008232B" w:rsidP="008640B5">
      <w:pPr>
        <w:pStyle w:val="2"/>
      </w:pPr>
      <w:r>
        <w:t xml:space="preserve">Additional </w:t>
      </w:r>
      <w:r w:rsidR="000F6CDB">
        <w:t>T</w:t>
      </w:r>
      <w:r>
        <w:t>ables</w:t>
      </w:r>
      <w:r w:rsidR="000F6CDB">
        <w:t xml:space="preserve"> and Figures</w:t>
      </w:r>
    </w:p>
    <w:p w:rsidR="0008232B" w:rsidRPr="0073681E" w:rsidRDefault="0073681E" w:rsidP="0008232B">
      <w:pPr>
        <w:spacing w:after="60"/>
        <w:rPr>
          <w:rFonts w:ascii="Times New Roman" w:hAnsi="Times New Roman" w:cs="Times New Roman"/>
          <w:kern w:val="0"/>
          <w:sz w:val="44"/>
          <w:szCs w:val="24"/>
        </w:rPr>
      </w:pPr>
      <w:r>
        <w:rPr>
          <w:rFonts w:ascii="Arial" w:hAnsi="Arial" w:cs="Arial"/>
          <w:b/>
          <w:sz w:val="22"/>
        </w:rPr>
        <w:t xml:space="preserve"> </w:t>
      </w:r>
      <w:r w:rsidR="0008232B" w:rsidRPr="0073681E">
        <w:rPr>
          <w:rFonts w:ascii="Arial" w:hAnsi="Arial" w:cs="Arial"/>
          <w:b/>
          <w:sz w:val="22"/>
        </w:rPr>
        <w:t>Table A1</w:t>
      </w:r>
      <w:r w:rsidR="0008232B" w:rsidRPr="0073681E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 w:rsidR="0008232B" w:rsidRPr="0073681E">
        <w:rPr>
          <w:rFonts w:ascii="Arial" w:hAnsi="Arial" w:cs="Arial"/>
          <w:sz w:val="22"/>
        </w:rPr>
        <w:t xml:space="preserve">Regression results using </w:t>
      </w:r>
      <w:r w:rsidR="0008232B" w:rsidRPr="00E76AD7">
        <w:rPr>
          <w:rFonts w:ascii="Arial" w:hAnsi="Arial" w:cs="Arial"/>
          <w:color w:val="FF0000"/>
          <w:sz w:val="22"/>
        </w:rPr>
        <w:t>data</w:t>
      </w:r>
      <w:r w:rsidR="0008232B" w:rsidRPr="0073681E">
        <w:rPr>
          <w:rFonts w:ascii="Arial" w:hAnsi="Arial" w:cs="Arial"/>
          <w:sz w:val="22"/>
        </w:rPr>
        <w:t xml:space="preserve"> from Pierce and Schott (2016)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10"/>
        <w:gridCol w:w="1110"/>
        <w:gridCol w:w="1111"/>
        <w:gridCol w:w="1110"/>
        <w:gridCol w:w="1110"/>
        <w:gridCol w:w="1111"/>
      </w:tblGrid>
      <w:tr w:rsidR="0008232B" w:rsidRPr="00360DFF" w:rsidTr="002D105E">
        <w:tc>
          <w:tcPr>
            <w:tcW w:w="1560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1</w:t>
            </w:r>
          </w:p>
        </w:tc>
        <w:tc>
          <w:tcPr>
            <w:tcW w:w="1110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2</w:t>
            </w:r>
          </w:p>
        </w:tc>
        <w:tc>
          <w:tcPr>
            <w:tcW w:w="1111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3</w:t>
            </w:r>
          </w:p>
        </w:tc>
        <w:tc>
          <w:tcPr>
            <w:tcW w:w="1110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4</w:t>
            </w:r>
          </w:p>
        </w:tc>
        <w:tc>
          <w:tcPr>
            <w:tcW w:w="1110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5</w:t>
            </w:r>
          </w:p>
        </w:tc>
        <w:tc>
          <w:tcPr>
            <w:tcW w:w="1111" w:type="dxa"/>
            <w:tcBorders>
              <w:bottom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6</w:t>
            </w:r>
          </w:p>
        </w:tc>
      </w:tr>
      <w:tr w:rsidR="0008232B" w:rsidRPr="00360DFF" w:rsidTr="002D105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</w:tr>
      <w:tr w:rsidR="0008232B" w:rsidRPr="00360DFF" w:rsidTr="002D105E">
        <w:tc>
          <w:tcPr>
            <w:tcW w:w="1560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male_pntr_post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0.051***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0.049***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0.050***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0.048***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0.049***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0.050***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(0.02)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Age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0.073***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0.026***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0.082***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0.030***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Age sq.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-0.001***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-0.000***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-0.001***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-0.000***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Experience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0.035***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0.028***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0.032***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Exp. Sq.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-0.001***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-0.001***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-0.001***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(0.00)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Education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N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347119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347119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337386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337386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347119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337386</w:t>
            </w:r>
          </w:p>
        </w:tc>
      </w:tr>
      <w:tr w:rsidR="0008232B" w:rsidRPr="00360DFF" w:rsidTr="002D105E">
        <w:tc>
          <w:tcPr>
            <w:tcW w:w="156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 xml:space="preserve">adj. </w:t>
            </w: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R</w:t>
            </w:r>
            <w:r w:rsidRPr="00C209B5">
              <w:rPr>
                <w:rFonts w:ascii="Arial" w:hAnsi="Arial" w:cs="Arial"/>
                <w:kern w:val="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0.190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0.204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0.210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0.212</w:t>
            </w:r>
          </w:p>
        </w:tc>
        <w:tc>
          <w:tcPr>
            <w:tcW w:w="1110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0.320</w:t>
            </w:r>
          </w:p>
        </w:tc>
        <w:tc>
          <w:tcPr>
            <w:tcW w:w="1111" w:type="dxa"/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0.330</w:t>
            </w:r>
          </w:p>
        </w:tc>
      </w:tr>
    </w:tbl>
    <w:p w:rsidR="0008232B" w:rsidRPr="00A95D28" w:rsidRDefault="0008232B" w:rsidP="0008232B">
      <w:pPr>
        <w:pStyle w:val="a7"/>
        <w:spacing w:before="60"/>
        <w:ind w:left="0"/>
        <w:rPr>
          <w:rFonts w:ascii="Times New Roman" w:hAnsi="Times New Roman" w:cs="Times New Roman"/>
          <w:kern w:val="0"/>
          <w:szCs w:val="21"/>
        </w:rPr>
      </w:pPr>
      <w:r w:rsidRPr="00A95D28">
        <w:rPr>
          <w:rFonts w:ascii="Times New Roman" w:hAnsi="Times New Roman" w:cs="Times New Roman"/>
          <w:kern w:val="0"/>
          <w:szCs w:val="21"/>
        </w:rPr>
        <w:t xml:space="preserve">Notes: Data are drawn from the 1992-2009 UHS microdata and are matched with the Pierce and Schott (2016) tariff reduction data; All specifications include province-by-year, male-by-province, </w:t>
      </w:r>
      <w:r>
        <w:rPr>
          <w:rFonts w:ascii="Times New Roman" w:hAnsi="Times New Roman" w:cs="Times New Roman"/>
          <w:kern w:val="0"/>
          <w:szCs w:val="21"/>
        </w:rPr>
        <w:t xml:space="preserve">and male-by-year fixed effects; </w:t>
      </w:r>
      <w:r w:rsidRPr="00A95D28">
        <w:rPr>
          <w:rFonts w:ascii="Times New Roman" w:hAnsi="Times New Roman" w:cs="Times New Roman"/>
          <w:kern w:val="0"/>
          <w:szCs w:val="21"/>
        </w:rPr>
        <w:t>Standard errors in parentheses</w:t>
      </w:r>
      <w:r>
        <w:rPr>
          <w:rFonts w:ascii="Times New Roman" w:hAnsi="Times New Roman" w:cs="Times New Roman"/>
          <w:kern w:val="0"/>
          <w:szCs w:val="21"/>
        </w:rPr>
        <w:t xml:space="preserve"> are </w:t>
      </w:r>
      <w:r w:rsidRPr="00A95D28">
        <w:rPr>
          <w:rFonts w:ascii="Times New Roman" w:hAnsi="Times New Roman" w:cs="Times New Roman"/>
          <w:kern w:val="0"/>
          <w:szCs w:val="21"/>
        </w:rPr>
        <w:t>clustered at the province-by-year level; * p &lt; 0.1, ** p &lt; 0.05, *** p &lt; 0.01</w:t>
      </w:r>
      <w:r>
        <w:rPr>
          <w:rFonts w:ascii="Times New Roman" w:hAnsi="Times New Roman" w:cs="Times New Roman"/>
          <w:kern w:val="0"/>
          <w:szCs w:val="21"/>
        </w:rPr>
        <w:t>.</w:t>
      </w:r>
    </w:p>
    <w:p w:rsidR="0008232B" w:rsidRDefault="0008232B" w:rsidP="0008232B">
      <w:pPr>
        <w:pStyle w:val="a7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kern w:val="0"/>
          <w:sz w:val="18"/>
          <w:szCs w:val="18"/>
        </w:rPr>
      </w:pPr>
    </w:p>
    <w:p w:rsidR="0008232B" w:rsidRPr="00104642" w:rsidRDefault="0008232B" w:rsidP="0008232B">
      <w:pPr>
        <w:pStyle w:val="a7"/>
        <w:spacing w:after="60"/>
        <w:ind w:left="1077" w:firstLine="442"/>
        <w:rPr>
          <w:rFonts w:ascii="Times New Roman" w:hAnsi="Times New Roman" w:cs="Times New Roman"/>
          <w:kern w:val="0"/>
          <w:sz w:val="24"/>
          <w:szCs w:val="20"/>
        </w:rPr>
      </w:pPr>
      <w:r w:rsidRPr="002D1146">
        <w:rPr>
          <w:rFonts w:ascii="Arial" w:hAnsi="Arial" w:cs="Arial"/>
          <w:b/>
          <w:sz w:val="22"/>
        </w:rPr>
        <w:t xml:space="preserve">Table </w:t>
      </w:r>
      <w:r>
        <w:rPr>
          <w:rFonts w:ascii="Arial" w:hAnsi="Arial" w:cs="Arial"/>
          <w:b/>
          <w:sz w:val="22"/>
        </w:rPr>
        <w:t>A2</w:t>
      </w:r>
      <w:r w:rsidRPr="00104642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 w:rsidRPr="002D1146">
        <w:rPr>
          <w:rFonts w:ascii="Arial" w:hAnsi="Arial" w:cs="Arial"/>
          <w:sz w:val="22"/>
        </w:rPr>
        <w:t>Controlling workers’ industries and occupations</w:t>
      </w:r>
      <w:r w:rsidRPr="00104642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1560"/>
        <w:gridCol w:w="951"/>
        <w:gridCol w:w="952"/>
        <w:gridCol w:w="952"/>
        <w:gridCol w:w="951"/>
        <w:gridCol w:w="952"/>
        <w:gridCol w:w="952"/>
        <w:gridCol w:w="952"/>
      </w:tblGrid>
      <w:tr w:rsidR="0008232B" w:rsidRPr="00FB1273" w:rsidTr="002D105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7</w:t>
            </w:r>
          </w:p>
        </w:tc>
      </w:tr>
      <w:tr w:rsidR="0008232B" w:rsidRPr="00FB1273" w:rsidTr="002D105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lnwage</w:t>
            </w:r>
          </w:p>
        </w:tc>
      </w:tr>
      <w:tr w:rsidR="0008232B" w:rsidRPr="00FB1273" w:rsidTr="002D105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male_pntr_post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0.028***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0.024**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0.022**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0.021**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0.014*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0.013*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0.015**</w:t>
            </w:r>
          </w:p>
        </w:tc>
      </w:tr>
      <w:tr w:rsidR="0008232B" w:rsidRPr="00FB1273" w:rsidTr="002D105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(0.010)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(0.010)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(0.010)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(0.008)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(0.008)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(0.008)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(0.007)</w:t>
            </w:r>
          </w:p>
        </w:tc>
      </w:tr>
      <w:tr w:rsidR="0008232B" w:rsidRPr="00FB1273" w:rsidTr="002D105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Age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FB1273" w:rsidTr="002D105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Experience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FB1273" w:rsidTr="002D105E">
        <w:tc>
          <w:tcPr>
            <w:tcW w:w="1560" w:type="dxa"/>
            <w:tcBorders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Education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FB1273" w:rsidTr="002D105E">
        <w:tc>
          <w:tcPr>
            <w:tcW w:w="1560" w:type="dxa"/>
            <w:tcBorders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 xml:space="preserve">Industry 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FB1273" w:rsidTr="002D105E">
        <w:tc>
          <w:tcPr>
            <w:tcW w:w="1560" w:type="dxa"/>
            <w:tcBorders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Occupation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FB1273" w:rsidTr="002D105E">
        <w:tc>
          <w:tcPr>
            <w:tcW w:w="1560" w:type="dxa"/>
            <w:tcBorders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Ownership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Yes</w:t>
            </w:r>
          </w:p>
        </w:tc>
      </w:tr>
      <w:tr w:rsidR="0008232B" w:rsidRPr="00FB1273" w:rsidTr="002D105E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N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395964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395964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384450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384450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384125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384125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384125</w:t>
            </w:r>
          </w:p>
        </w:tc>
      </w:tr>
      <w:tr w:rsidR="0008232B" w:rsidRPr="00FB1273" w:rsidTr="002D105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 xml:space="preserve">adj. </w:t>
            </w: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R</w:t>
            </w:r>
            <w:r w:rsidRPr="00C209B5">
              <w:rPr>
                <w:rFonts w:ascii="Arial" w:hAnsi="Arial" w:cs="Arial"/>
                <w:kern w:val="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0.211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0.229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0.362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0.404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sz w:val="19"/>
                <w:szCs w:val="19"/>
              </w:rPr>
              <w:t>0.416</w:t>
            </w:r>
          </w:p>
        </w:tc>
      </w:tr>
    </w:tbl>
    <w:p w:rsidR="0008232B" w:rsidRDefault="0008232B" w:rsidP="0008232B">
      <w:pPr>
        <w:pStyle w:val="a7"/>
        <w:spacing w:before="60"/>
        <w:ind w:left="0"/>
        <w:rPr>
          <w:rFonts w:ascii="Times New Roman" w:hAnsi="Times New Roman" w:cs="Times New Roman"/>
          <w:kern w:val="0"/>
          <w:sz w:val="18"/>
          <w:szCs w:val="20"/>
        </w:rPr>
      </w:pPr>
      <w:r w:rsidRPr="00A95D28">
        <w:rPr>
          <w:rFonts w:ascii="Times New Roman" w:hAnsi="Times New Roman" w:cs="Times New Roman"/>
          <w:kern w:val="0"/>
          <w:szCs w:val="21"/>
        </w:rPr>
        <w:t>Notes: The PNTR measure is calculated using industrial NTR data from Erten and Leight (2021); All columns include the year, province, male-by-year, male-by-province, and</w:t>
      </w:r>
      <w:r>
        <w:rPr>
          <w:rFonts w:ascii="Times New Roman" w:hAnsi="Times New Roman" w:cs="Times New Roman"/>
          <w:kern w:val="0"/>
          <w:szCs w:val="21"/>
        </w:rPr>
        <w:t xml:space="preserve"> province-by-year fixed effects; </w:t>
      </w:r>
      <w:r w:rsidRPr="00A95D28">
        <w:rPr>
          <w:rFonts w:ascii="Times New Roman" w:hAnsi="Times New Roman" w:cs="Times New Roman"/>
          <w:kern w:val="0"/>
          <w:szCs w:val="21"/>
        </w:rPr>
        <w:t>Standard errors in parentheses</w:t>
      </w:r>
      <w:r>
        <w:rPr>
          <w:rFonts w:ascii="Times New Roman" w:hAnsi="Times New Roman" w:cs="Times New Roman"/>
          <w:kern w:val="0"/>
          <w:szCs w:val="21"/>
        </w:rPr>
        <w:t xml:space="preserve"> are </w:t>
      </w:r>
      <w:r w:rsidRPr="00A95D28">
        <w:rPr>
          <w:rFonts w:ascii="Times New Roman" w:hAnsi="Times New Roman" w:cs="Times New Roman"/>
          <w:kern w:val="0"/>
          <w:szCs w:val="21"/>
        </w:rPr>
        <w:t>clustered at the province-by-year level; * p &lt;</w:t>
      </w:r>
      <w:r>
        <w:rPr>
          <w:rFonts w:ascii="Times New Roman" w:hAnsi="Times New Roman" w:cs="Times New Roman"/>
          <w:kern w:val="0"/>
          <w:szCs w:val="21"/>
        </w:rPr>
        <w:t xml:space="preserve"> 0.1, ** p &lt; 0.05, *** p &lt; 0.01.</w:t>
      </w:r>
    </w:p>
    <w:p w:rsidR="0008232B" w:rsidRPr="00C2388A" w:rsidRDefault="0008232B" w:rsidP="0008232B">
      <w:pPr>
        <w:pStyle w:val="a7"/>
        <w:autoSpaceDE w:val="0"/>
        <w:autoSpaceDN w:val="0"/>
        <w:adjustRightInd w:val="0"/>
        <w:spacing w:after="60"/>
        <w:ind w:left="1077" w:firstLine="442"/>
        <w:jc w:val="center"/>
        <w:rPr>
          <w:rFonts w:ascii="Times New Roman" w:eastAsia="华文中宋" w:hAnsi="Times New Roman" w:cs="Times New Roman"/>
          <w:sz w:val="24"/>
          <w:szCs w:val="24"/>
        </w:rPr>
      </w:pPr>
      <w:r w:rsidRPr="002D1146">
        <w:rPr>
          <w:rFonts w:ascii="Arial" w:hAnsi="Arial" w:cs="Arial"/>
          <w:b/>
          <w:sz w:val="22"/>
        </w:rPr>
        <w:t xml:space="preserve">Table </w:t>
      </w:r>
      <w:r>
        <w:rPr>
          <w:rFonts w:ascii="Arial" w:hAnsi="Arial" w:cs="Arial"/>
          <w:b/>
          <w:sz w:val="22"/>
        </w:rPr>
        <w:t>A3</w:t>
      </w:r>
      <w:r w:rsidRPr="00C2388A"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 w:rsidRPr="00E76AD7">
        <w:rPr>
          <w:rFonts w:ascii="Arial" w:hAnsi="Arial" w:cs="Arial"/>
          <w:color w:val="FF0000"/>
          <w:sz w:val="22"/>
        </w:rPr>
        <w:t>Regressions</w:t>
      </w:r>
      <w:r w:rsidRPr="002D1146">
        <w:rPr>
          <w:rFonts w:ascii="Arial" w:hAnsi="Arial" w:cs="Arial"/>
          <w:sz w:val="22"/>
        </w:rPr>
        <w:t xml:space="preserve"> at the aggregate level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5"/>
        <w:gridCol w:w="1705"/>
        <w:gridCol w:w="1704"/>
        <w:gridCol w:w="1704"/>
        <w:gridCol w:w="1704"/>
      </w:tblGrid>
      <w:tr w:rsidR="0008232B" w:rsidTr="002D105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4</w:t>
            </w:r>
          </w:p>
        </w:tc>
      </w:tr>
      <w:tr w:rsidR="0008232B" w:rsidTr="002D105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lngap</w:t>
            </w:r>
          </w:p>
        </w:tc>
      </w:tr>
      <w:tr w:rsidR="0008232B" w:rsidTr="002D105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pntr_post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0.024</w:t>
            </w:r>
            <w:r w:rsidRPr="00C209B5">
              <w:rPr>
                <w:rFonts w:ascii="Arial" w:hAnsi="Arial" w:cs="Arial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0.018</w:t>
            </w:r>
            <w:r w:rsidRPr="00C209B5">
              <w:rPr>
                <w:rFonts w:ascii="Arial" w:hAnsi="Arial" w:cs="Arial"/>
                <w:kern w:val="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0.018</w:t>
            </w:r>
          </w:p>
        </w:tc>
      </w:tr>
      <w:tr w:rsidR="0008232B" w:rsidTr="002D105E"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(0.03)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(0.02)</w:t>
            </w:r>
          </w:p>
        </w:tc>
      </w:tr>
      <w:tr w:rsidR="0008232B" w:rsidTr="002D105E"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N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273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273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273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273</w:t>
            </w:r>
          </w:p>
        </w:tc>
      </w:tr>
      <w:tr w:rsidR="0008232B" w:rsidTr="002D105E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 xml:space="preserve">adj. </w:t>
            </w: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R</w:t>
            </w:r>
            <w:r w:rsidRPr="00C209B5">
              <w:rPr>
                <w:rFonts w:ascii="Arial" w:hAnsi="Arial" w:cs="Arial"/>
                <w:kern w:val="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0.606</w:t>
            </w:r>
          </w:p>
        </w:tc>
      </w:tr>
    </w:tbl>
    <w:p w:rsidR="0008232B" w:rsidRPr="00A95D28" w:rsidRDefault="0008232B" w:rsidP="0008232B">
      <w:pPr>
        <w:pStyle w:val="a7"/>
        <w:spacing w:before="60"/>
        <w:ind w:left="0"/>
        <w:rPr>
          <w:rFonts w:ascii="Times New Roman" w:hAnsi="Times New Roman" w:cs="Times New Roman"/>
          <w:kern w:val="0"/>
          <w:szCs w:val="21"/>
        </w:rPr>
      </w:pPr>
      <w:r w:rsidRPr="00A95D28">
        <w:rPr>
          <w:rFonts w:ascii="Times New Roman" w:hAnsi="Times New Roman" w:cs="Times New Roman"/>
          <w:kern w:val="0"/>
          <w:szCs w:val="21"/>
        </w:rPr>
        <w:t xml:space="preserve">Notes: Standard errors in parentheses, * p &lt; 0.1, ** p &lt; 0.05, *** p &lt; 0.01; Robust standard </w:t>
      </w:r>
      <w:r w:rsidRPr="000825D0">
        <w:rPr>
          <w:rFonts w:ascii="Times New Roman" w:hAnsi="Times New Roman" w:cs="Times New Roman"/>
          <w:color w:val="FF0000"/>
          <w:kern w:val="0"/>
          <w:szCs w:val="21"/>
        </w:rPr>
        <w:t>errors</w:t>
      </w:r>
      <w:r w:rsidRPr="00A95D28">
        <w:rPr>
          <w:rFonts w:ascii="Times New Roman" w:hAnsi="Times New Roman" w:cs="Times New Roman"/>
          <w:kern w:val="0"/>
          <w:szCs w:val="21"/>
        </w:rPr>
        <w:t xml:space="preserve"> in columns (1) and (2), standard errors are clustered at the province level in columns (3) and (4); The province and year fixed effects are included in all specifications.</w:t>
      </w:r>
    </w:p>
    <w:p w:rsidR="0008232B" w:rsidRDefault="0008232B" w:rsidP="0008232B">
      <w:pPr>
        <w:pStyle w:val="a7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kern w:val="0"/>
          <w:sz w:val="18"/>
          <w:szCs w:val="20"/>
        </w:rPr>
      </w:pPr>
    </w:p>
    <w:p w:rsidR="0008232B" w:rsidRPr="00B20C9F" w:rsidRDefault="0008232B" w:rsidP="0008232B">
      <w:pPr>
        <w:spacing w:after="60"/>
        <w:rPr>
          <w:rFonts w:ascii="Times New Roman" w:eastAsia="华文中宋" w:hAnsi="Times New Roman" w:cs="Times New Roman"/>
          <w:sz w:val="24"/>
          <w:szCs w:val="24"/>
        </w:rPr>
      </w:pPr>
      <w:r w:rsidRPr="002D1146">
        <w:rPr>
          <w:rFonts w:ascii="Arial" w:hAnsi="Arial" w:cs="Arial" w:hint="eastAsia"/>
          <w:b/>
          <w:sz w:val="22"/>
        </w:rPr>
        <w:t>T</w:t>
      </w:r>
      <w:r w:rsidRPr="002D1146">
        <w:rPr>
          <w:rFonts w:ascii="Arial" w:hAnsi="Arial" w:cs="Arial"/>
          <w:b/>
          <w:sz w:val="22"/>
        </w:rPr>
        <w:t xml:space="preserve">able </w:t>
      </w:r>
      <w:r>
        <w:rPr>
          <w:rFonts w:ascii="Arial" w:hAnsi="Arial" w:cs="Arial"/>
          <w:b/>
          <w:sz w:val="22"/>
        </w:rPr>
        <w:t>A4</w:t>
      </w:r>
      <w:r w:rsidRPr="00B20C9F">
        <w:rPr>
          <w:rFonts w:ascii="Times New Roman" w:eastAsia="华文中宋" w:hAnsi="Times New Roman" w:cs="Times New Roman"/>
          <w:sz w:val="24"/>
          <w:szCs w:val="24"/>
        </w:rPr>
        <w:t xml:space="preserve"> </w:t>
      </w:r>
      <w:r w:rsidRPr="002D1146">
        <w:rPr>
          <w:rFonts w:ascii="Arial" w:hAnsi="Arial" w:cs="Arial"/>
          <w:sz w:val="22"/>
        </w:rPr>
        <w:t xml:space="preserve">Regression results using binary treatment </w:t>
      </w:r>
      <w:r w:rsidRPr="00E76AD7">
        <w:rPr>
          <w:rFonts w:ascii="Arial" w:hAnsi="Arial" w:cs="Arial"/>
          <w:color w:val="FF0000"/>
          <w:sz w:val="22"/>
        </w:rPr>
        <w:t>variables</w:t>
      </w:r>
      <w:r w:rsidRPr="002D1146">
        <w:rPr>
          <w:rFonts w:ascii="Arial" w:hAnsi="Arial" w:cs="Arial"/>
          <w:sz w:val="22"/>
        </w:rPr>
        <w:t xml:space="preserve"> with aggregated data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5"/>
        <w:gridCol w:w="1705"/>
        <w:gridCol w:w="1704"/>
        <w:gridCol w:w="1704"/>
        <w:gridCol w:w="1704"/>
      </w:tblGrid>
      <w:tr w:rsidR="0008232B" w:rsidTr="002D105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Column 4</w:t>
            </w:r>
          </w:p>
        </w:tc>
      </w:tr>
      <w:tr w:rsidR="0008232B" w:rsidTr="002D105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lngap</w:t>
            </w:r>
          </w:p>
        </w:tc>
      </w:tr>
      <w:tr w:rsidR="0008232B" w:rsidTr="002D105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high_post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0.048***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0.040***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0.040</w:t>
            </w:r>
          </w:p>
        </w:tc>
      </w:tr>
      <w:tr w:rsidR="0008232B" w:rsidTr="002D105E"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(0.02)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(0.01)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(0.04)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(0.03)</w:t>
            </w:r>
          </w:p>
        </w:tc>
      </w:tr>
      <w:tr w:rsidR="0008232B" w:rsidTr="002D105E"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N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291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291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291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291</w:t>
            </w:r>
          </w:p>
        </w:tc>
      </w:tr>
      <w:tr w:rsidR="0008232B" w:rsidTr="002D105E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 xml:space="preserve">adj. </w:t>
            </w:r>
            <w:r w:rsidRPr="00C209B5">
              <w:rPr>
                <w:rFonts w:ascii="Arial" w:hAnsi="Arial" w:cs="Arial"/>
                <w:i/>
                <w:iCs/>
                <w:kern w:val="0"/>
                <w:sz w:val="19"/>
                <w:szCs w:val="19"/>
              </w:rPr>
              <w:t>R</w:t>
            </w:r>
            <w:r w:rsidRPr="00C209B5">
              <w:rPr>
                <w:rFonts w:ascii="Arial" w:hAnsi="Arial" w:cs="Arial"/>
                <w:kern w:val="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2B" w:rsidRPr="00C209B5" w:rsidRDefault="0008232B" w:rsidP="002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C209B5">
              <w:rPr>
                <w:rFonts w:ascii="Arial" w:hAnsi="Arial" w:cs="Arial"/>
                <w:kern w:val="0"/>
                <w:sz w:val="19"/>
                <w:szCs w:val="19"/>
              </w:rPr>
              <w:t>0.626</w:t>
            </w:r>
          </w:p>
        </w:tc>
      </w:tr>
    </w:tbl>
    <w:p w:rsidR="0008232B" w:rsidRDefault="0008232B" w:rsidP="0008232B">
      <w:pPr>
        <w:pStyle w:val="a7"/>
        <w:spacing w:before="60"/>
        <w:ind w:left="0"/>
        <w:rPr>
          <w:rFonts w:ascii="Times New Roman" w:hAnsi="Times New Roman" w:cs="Times New Roman"/>
          <w:kern w:val="0"/>
          <w:szCs w:val="21"/>
        </w:rPr>
      </w:pPr>
      <w:r w:rsidRPr="00A95D28">
        <w:rPr>
          <w:rFonts w:ascii="Times New Roman" w:hAnsi="Times New Roman" w:cs="Times New Roman"/>
          <w:kern w:val="0"/>
          <w:szCs w:val="21"/>
        </w:rPr>
        <w:t>Notes:</w:t>
      </w:r>
      <w:r>
        <w:rPr>
          <w:rFonts w:ascii="Times New Roman" w:hAnsi="Times New Roman" w:cs="Times New Roman"/>
          <w:kern w:val="0"/>
          <w:szCs w:val="21"/>
        </w:rPr>
        <w:t xml:space="preserve"> Standard errors in parentheses</w:t>
      </w:r>
      <w:r w:rsidRPr="00A95D28">
        <w:rPr>
          <w:rFonts w:ascii="Times New Roman" w:hAnsi="Times New Roman" w:cs="Times New Roman"/>
          <w:kern w:val="0"/>
          <w:szCs w:val="21"/>
        </w:rPr>
        <w:t xml:space="preserve">; Robust standard </w:t>
      </w:r>
      <w:r w:rsidRPr="000825D0">
        <w:rPr>
          <w:rFonts w:ascii="Times New Roman" w:hAnsi="Times New Roman" w:cs="Times New Roman"/>
          <w:color w:val="FF0000"/>
          <w:kern w:val="0"/>
          <w:szCs w:val="21"/>
        </w:rPr>
        <w:t>errors</w:t>
      </w:r>
      <w:r w:rsidRPr="00A95D28">
        <w:rPr>
          <w:rFonts w:ascii="Times New Roman" w:hAnsi="Times New Roman" w:cs="Times New Roman"/>
          <w:kern w:val="0"/>
          <w:szCs w:val="21"/>
        </w:rPr>
        <w:t xml:space="preserve"> in columns (1) and (2), standard errors are clustered at </w:t>
      </w:r>
      <w:r w:rsidRPr="000825D0">
        <w:rPr>
          <w:rFonts w:ascii="Times New Roman" w:hAnsi="Times New Roman" w:cs="Times New Roman"/>
          <w:color w:val="FF0000"/>
          <w:kern w:val="0"/>
          <w:szCs w:val="21"/>
        </w:rPr>
        <w:t>the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A95D28">
        <w:rPr>
          <w:rFonts w:ascii="Times New Roman" w:hAnsi="Times New Roman" w:cs="Times New Roman"/>
          <w:kern w:val="0"/>
          <w:szCs w:val="21"/>
        </w:rPr>
        <w:t>province level in columns (3) and (4); Province and year fixed effects are included in all specifications. Specifically, the high-exposed regions are provinces where PNTR measures are above the median PNTR while the remaining provinces are low-exposed regions. The high-exposed regions include Beijing, Guangdong, Zhejiang, Jiangsu, Liaoning, Hubei, Shandong, Heilongjiang, and Shanghai, while Gansu, Shaanxi, Guizhou, Yunnan, Sichuan, Henan, Hunan, Shanxi, and Jiang</w:t>
      </w:r>
      <w:r>
        <w:rPr>
          <w:rFonts w:ascii="Times New Roman" w:hAnsi="Times New Roman" w:cs="Times New Roman"/>
          <w:kern w:val="0"/>
          <w:szCs w:val="21"/>
        </w:rPr>
        <w:t xml:space="preserve">xi </w:t>
      </w:r>
      <w:r w:rsidRPr="000825D0">
        <w:rPr>
          <w:rFonts w:ascii="Times New Roman" w:hAnsi="Times New Roman" w:cs="Times New Roman"/>
          <w:color w:val="FF0000"/>
          <w:kern w:val="0"/>
          <w:szCs w:val="21"/>
        </w:rPr>
        <w:t>are</w:t>
      </w:r>
      <w:r>
        <w:rPr>
          <w:rFonts w:ascii="Times New Roman" w:hAnsi="Times New Roman" w:cs="Times New Roman"/>
          <w:kern w:val="0"/>
          <w:szCs w:val="21"/>
        </w:rPr>
        <w:t xml:space="preserve"> low-exposed regions; </w:t>
      </w:r>
      <w:r w:rsidRPr="00A95D28">
        <w:rPr>
          <w:rFonts w:ascii="Times New Roman" w:hAnsi="Times New Roman" w:cs="Times New Roman"/>
          <w:kern w:val="0"/>
          <w:szCs w:val="21"/>
        </w:rPr>
        <w:t xml:space="preserve">* p </w:t>
      </w:r>
      <w:r>
        <w:rPr>
          <w:rFonts w:ascii="Times New Roman" w:hAnsi="Times New Roman" w:cs="Times New Roman"/>
          <w:kern w:val="0"/>
          <w:szCs w:val="21"/>
        </w:rPr>
        <w:t>&lt; 0.1, ** p &lt; 0.05, *** p &lt; 0.01.</w:t>
      </w:r>
    </w:p>
    <w:p w:rsidR="000F6CDB" w:rsidRPr="00A95D28" w:rsidRDefault="000F6CDB" w:rsidP="000F6CDB">
      <w:pPr>
        <w:autoSpaceDE w:val="0"/>
        <w:autoSpaceDN w:val="0"/>
        <w:adjustRightInd w:val="0"/>
        <w:ind w:left="600" w:hangingChars="300" w:hanging="600"/>
        <w:jc w:val="left"/>
        <w:rPr>
          <w:rFonts w:ascii="Arial" w:hAnsi="Arial" w:cs="Arial"/>
          <w:sz w:val="22"/>
        </w:rPr>
      </w:pPr>
      <w:r>
        <w:rPr>
          <w:rFonts w:ascii="Times New Roman" w:hAnsi="Times New Roman" w:cs="Times New Roman"/>
          <w:noProof/>
          <w:kern w:val="0"/>
          <w:sz w:val="20"/>
          <w:szCs w:val="20"/>
        </w:rPr>
        <w:lastRenderedPageBreak/>
        <w:drawing>
          <wp:inline distT="0" distB="0" distL="0" distR="0" wp14:anchorId="6E9947BD" wp14:editId="09620344">
            <wp:extent cx="5256530" cy="3822700"/>
            <wp:effectExtent l="0" t="0" r="127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220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CDB">
        <w:rPr>
          <w:rFonts w:ascii="Arial" w:hAnsi="Arial" w:cs="Arial"/>
          <w:b/>
          <w:sz w:val="22"/>
        </w:rPr>
        <w:t xml:space="preserve"> </w:t>
      </w:r>
      <w:r w:rsidRPr="00A95D28">
        <w:rPr>
          <w:rFonts w:ascii="Arial" w:hAnsi="Arial" w:cs="Arial"/>
          <w:b/>
          <w:sz w:val="22"/>
        </w:rPr>
        <w:t>Figure</w:t>
      </w:r>
      <w:r>
        <w:rPr>
          <w:rFonts w:ascii="Arial" w:hAnsi="Arial" w:cs="Arial"/>
          <w:b/>
          <w:sz w:val="22"/>
        </w:rPr>
        <w:t>A1</w:t>
      </w:r>
      <w:r w:rsidRPr="00A95D28">
        <w:rPr>
          <w:rFonts w:ascii="Arial" w:hAnsi="Arial" w:cs="Arial"/>
          <w:sz w:val="22"/>
        </w:rPr>
        <w:t xml:space="preserve"> Event study graph of multiple DDD regression</w:t>
      </w:r>
    </w:p>
    <w:p w:rsidR="00920FC7" w:rsidRDefault="00920FC7" w:rsidP="00327C0B">
      <w:pPr>
        <w:spacing w:after="60"/>
        <w:rPr>
          <w:rFonts w:ascii="Times New Roman" w:hAnsi="Times New Roman" w:cs="Times New Roman"/>
          <w:kern w:val="0"/>
          <w:szCs w:val="21"/>
        </w:rPr>
      </w:pPr>
    </w:p>
    <w:sectPr w:rsidR="00920FC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B9" w:rsidRDefault="007F3DB9" w:rsidP="00011A69">
      <w:r>
        <w:separator/>
      </w:r>
    </w:p>
  </w:endnote>
  <w:endnote w:type="continuationSeparator" w:id="0">
    <w:p w:rsidR="007F3DB9" w:rsidRDefault="007F3DB9" w:rsidP="0001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85579"/>
      <w:docPartObj>
        <w:docPartGallery w:val="Page Numbers (Bottom of Page)"/>
        <w:docPartUnique/>
      </w:docPartObj>
    </w:sdtPr>
    <w:sdtEndPr/>
    <w:sdtContent>
      <w:p w:rsidR="009D53E3" w:rsidRDefault="009D5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A9" w:rsidRPr="008862A9">
          <w:rPr>
            <w:noProof/>
            <w:lang w:val="zh-CN"/>
          </w:rPr>
          <w:t>1</w:t>
        </w:r>
        <w:r>
          <w:fldChar w:fldCharType="end"/>
        </w:r>
      </w:p>
    </w:sdtContent>
  </w:sdt>
  <w:p w:rsidR="009D53E3" w:rsidRDefault="009D5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B9" w:rsidRDefault="007F3DB9" w:rsidP="00011A69">
      <w:r>
        <w:separator/>
      </w:r>
    </w:p>
  </w:footnote>
  <w:footnote w:type="continuationSeparator" w:id="0">
    <w:p w:rsidR="007F3DB9" w:rsidRDefault="007F3DB9" w:rsidP="0001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FB9"/>
    <w:multiLevelType w:val="hybridMultilevel"/>
    <w:tmpl w:val="80CC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23B6"/>
    <w:multiLevelType w:val="hybridMultilevel"/>
    <w:tmpl w:val="538C897C"/>
    <w:lvl w:ilvl="0" w:tplc="D8E69A06">
      <w:start w:val="1"/>
      <w:numFmt w:val="decimal"/>
      <w:lvlText w:val="%1."/>
      <w:lvlJc w:val="left"/>
      <w:pPr>
        <w:ind w:left="284" w:hanging="284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894799"/>
    <w:multiLevelType w:val="hybridMultilevel"/>
    <w:tmpl w:val="538C897C"/>
    <w:lvl w:ilvl="0" w:tplc="D8E69A06">
      <w:start w:val="1"/>
      <w:numFmt w:val="decimal"/>
      <w:lvlText w:val="%1."/>
      <w:lvlJc w:val="left"/>
      <w:pPr>
        <w:ind w:left="284" w:hanging="284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3"/>
    <w:rsid w:val="00011A69"/>
    <w:rsid w:val="00032BDA"/>
    <w:rsid w:val="0008232B"/>
    <w:rsid w:val="000A7649"/>
    <w:rsid w:val="000C2B4A"/>
    <w:rsid w:val="000F6CDB"/>
    <w:rsid w:val="00193C41"/>
    <w:rsid w:val="00197DA5"/>
    <w:rsid w:val="00203351"/>
    <w:rsid w:val="002576F3"/>
    <w:rsid w:val="002F6926"/>
    <w:rsid w:val="00327C0B"/>
    <w:rsid w:val="00353A87"/>
    <w:rsid w:val="00372B8F"/>
    <w:rsid w:val="0042315E"/>
    <w:rsid w:val="0046079D"/>
    <w:rsid w:val="004E2221"/>
    <w:rsid w:val="005F4AE5"/>
    <w:rsid w:val="00690877"/>
    <w:rsid w:val="00692FE1"/>
    <w:rsid w:val="0073681E"/>
    <w:rsid w:val="007F3DB9"/>
    <w:rsid w:val="008640B5"/>
    <w:rsid w:val="008862A9"/>
    <w:rsid w:val="00920FC7"/>
    <w:rsid w:val="0094182F"/>
    <w:rsid w:val="00954536"/>
    <w:rsid w:val="009C5574"/>
    <w:rsid w:val="009C72CE"/>
    <w:rsid w:val="009D53E3"/>
    <w:rsid w:val="00A271E2"/>
    <w:rsid w:val="00B0584E"/>
    <w:rsid w:val="00B146C2"/>
    <w:rsid w:val="00C52E03"/>
    <w:rsid w:val="00C960BD"/>
    <w:rsid w:val="00DB4955"/>
    <w:rsid w:val="00DC7F95"/>
    <w:rsid w:val="00E06ED5"/>
    <w:rsid w:val="00E4054A"/>
    <w:rsid w:val="00F36AE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1C8F"/>
  <w15:chartTrackingRefBased/>
  <w15:docId w15:val="{E0F87EC0-D5DA-4F00-8F0D-BBAE018F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69"/>
    <w:pPr>
      <w:widowControl w:val="0"/>
      <w:jc w:val="both"/>
    </w:pPr>
  </w:style>
  <w:style w:type="paragraph" w:styleId="2">
    <w:name w:val="heading 2"/>
    <w:next w:val="a"/>
    <w:link w:val="20"/>
    <w:uiPriority w:val="9"/>
    <w:unhideWhenUsed/>
    <w:qFormat/>
    <w:rsid w:val="00011A69"/>
    <w:pPr>
      <w:keepNext/>
      <w:keepLines/>
      <w:spacing w:line="416" w:lineRule="auto"/>
      <w:outlineLvl w:val="1"/>
    </w:pPr>
    <w:rPr>
      <w:rFonts w:ascii="Arial" w:eastAsia="黑体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B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69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011A69"/>
  </w:style>
  <w:style w:type="paragraph" w:styleId="a5">
    <w:name w:val="footer"/>
    <w:basedOn w:val="a"/>
    <w:link w:val="a6"/>
    <w:uiPriority w:val="99"/>
    <w:unhideWhenUsed/>
    <w:rsid w:val="00011A69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011A69"/>
  </w:style>
  <w:style w:type="character" w:customStyle="1" w:styleId="20">
    <w:name w:val="标题 2 字符"/>
    <w:basedOn w:val="a0"/>
    <w:link w:val="2"/>
    <w:uiPriority w:val="9"/>
    <w:rsid w:val="00011A69"/>
    <w:rPr>
      <w:rFonts w:ascii="Arial" w:eastAsia="黑体" w:hAnsi="Arial" w:cs="Arial"/>
      <w:b/>
      <w:bCs/>
      <w:sz w:val="28"/>
      <w:szCs w:val="28"/>
    </w:rPr>
  </w:style>
  <w:style w:type="paragraph" w:customStyle="1" w:styleId="1">
    <w:name w:val="样式1"/>
    <w:basedOn w:val="a7"/>
    <w:link w:val="10"/>
    <w:rsid w:val="002F6926"/>
    <w:pPr>
      <w:tabs>
        <w:tab w:val="center" w:pos="3570"/>
      </w:tabs>
      <w:ind w:left="0" w:firstLineChars="200" w:firstLine="420"/>
      <w:contextualSpacing w:val="0"/>
    </w:pPr>
    <w:rPr>
      <w:rFonts w:eastAsia="Times New Roman"/>
      <w:sz w:val="24"/>
      <w:szCs w:val="21"/>
    </w:rPr>
  </w:style>
  <w:style w:type="character" w:customStyle="1" w:styleId="10">
    <w:name w:val="样式1 字符"/>
    <w:basedOn w:val="a0"/>
    <w:link w:val="1"/>
    <w:rsid w:val="002F6926"/>
    <w:rPr>
      <w:rFonts w:eastAsia="Times New Roman"/>
      <w:sz w:val="24"/>
      <w:szCs w:val="21"/>
    </w:rPr>
  </w:style>
  <w:style w:type="paragraph" w:styleId="a7">
    <w:name w:val="List Paragraph"/>
    <w:basedOn w:val="a"/>
    <w:uiPriority w:val="34"/>
    <w:qFormat/>
    <w:rsid w:val="002F6926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semiHidden/>
    <w:rsid w:val="00FF3B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954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95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2/rest_a_008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deveco.2021.10262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jinteco.2011.12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inteco.2019.04.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SHPsunhaopeng</dc:creator>
  <cp:keywords/>
  <dc:description/>
  <cp:lastModifiedBy>SHPsunhaopeng</cp:lastModifiedBy>
  <cp:revision>15</cp:revision>
  <dcterms:created xsi:type="dcterms:W3CDTF">2023-02-15T13:39:00Z</dcterms:created>
  <dcterms:modified xsi:type="dcterms:W3CDTF">2023-06-12T06:56:00Z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40b7d8bccd9ac3bcdecfee08143325f16fbd6a9788b3292a35a024d9742103fa</vt:lpwstr>
  </property>
</Properties>
</file>