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5B72" w14:textId="5B40F175" w:rsidR="008B20D7" w:rsidRDefault="008B20D7" w:rsidP="008B20D7">
      <w:pPr>
        <w:jc w:val="center"/>
        <w:rPr>
          <w:rFonts w:ascii="Times New Roman" w:hAnsi="Times New Roman" w:cs="Times New Roman"/>
          <w:b/>
          <w:bCs/>
          <w:sz w:val="24"/>
          <w:szCs w:val="24"/>
        </w:rPr>
      </w:pPr>
      <w:r>
        <w:rPr>
          <w:rFonts w:ascii="Times New Roman" w:hAnsi="Times New Roman" w:cs="Times New Roman"/>
          <w:b/>
          <w:bCs/>
          <w:sz w:val="24"/>
          <w:szCs w:val="24"/>
        </w:rPr>
        <w:t>Supplementary file</w:t>
      </w:r>
    </w:p>
    <w:p w14:paraId="18CD97EF" w14:textId="0DB77C61" w:rsidR="00295A8A" w:rsidRPr="004F0AC8" w:rsidRDefault="00295A8A">
      <w:pPr>
        <w:rPr>
          <w:rFonts w:ascii="Times New Roman" w:hAnsi="Times New Roman" w:cs="Times New Roman"/>
          <w:b/>
          <w:bCs/>
          <w:sz w:val="24"/>
          <w:szCs w:val="24"/>
        </w:rPr>
      </w:pPr>
      <w:r w:rsidRPr="004F0AC8">
        <w:rPr>
          <w:rFonts w:ascii="Times New Roman" w:hAnsi="Times New Roman" w:cs="Times New Roman"/>
          <w:b/>
          <w:bCs/>
          <w:sz w:val="24"/>
          <w:szCs w:val="24"/>
        </w:rPr>
        <w:t>Section S1</w:t>
      </w:r>
    </w:p>
    <w:p w14:paraId="1C95B582" w14:textId="77777777" w:rsidR="00295A8A" w:rsidRPr="00887CD1" w:rsidRDefault="00295A8A" w:rsidP="00295A8A">
      <w:pPr>
        <w:keepNext/>
        <w:spacing w:after="200" w:line="240" w:lineRule="auto"/>
        <w:jc w:val="center"/>
        <w:rPr>
          <w:rFonts w:ascii="Calibri" w:eastAsia="Calibri" w:hAnsi="Calibri" w:cs="Times New Roman"/>
          <w:i/>
          <w:iCs/>
          <w:color w:val="44546A"/>
          <w:szCs w:val="24"/>
        </w:rPr>
      </w:pPr>
      <w:r w:rsidRPr="00887CD1">
        <w:rPr>
          <w:rFonts w:ascii="Calibri" w:eastAsia="Calibri" w:hAnsi="Calibri" w:cs="Times New Roman"/>
          <w:i/>
          <w:iCs/>
          <w:color w:val="44546A"/>
          <w:szCs w:val="24"/>
        </w:rPr>
        <w:t xml:space="preserve">Table </w:t>
      </w:r>
      <w:r>
        <w:rPr>
          <w:rFonts w:ascii="Calibri" w:eastAsia="Calibri" w:hAnsi="Calibri" w:cs="Times New Roman"/>
          <w:i/>
          <w:iCs/>
          <w:color w:val="44546A"/>
          <w:szCs w:val="24"/>
        </w:rPr>
        <w:t>S</w:t>
      </w:r>
      <w:r w:rsidRPr="00887CD1">
        <w:rPr>
          <w:rFonts w:ascii="Calibri" w:eastAsia="Calibri" w:hAnsi="Calibri" w:cs="Times New Roman"/>
          <w:i/>
          <w:iCs/>
          <w:color w:val="44546A"/>
          <w:szCs w:val="24"/>
        </w:rPr>
        <w:t>2: Polarization Indices (for respondents that reported Monthly income)</w:t>
      </w:r>
    </w:p>
    <w:tbl>
      <w:tblPr>
        <w:tblStyle w:val="PlainTable21"/>
        <w:tblW w:w="7057" w:type="dxa"/>
        <w:jc w:val="center"/>
        <w:tblLook w:val="04A0" w:firstRow="1" w:lastRow="0" w:firstColumn="1" w:lastColumn="0" w:noHBand="0" w:noVBand="1"/>
      </w:tblPr>
      <w:tblGrid>
        <w:gridCol w:w="960"/>
        <w:gridCol w:w="1113"/>
        <w:gridCol w:w="1113"/>
        <w:gridCol w:w="925"/>
        <w:gridCol w:w="718"/>
        <w:gridCol w:w="1113"/>
        <w:gridCol w:w="1115"/>
      </w:tblGrid>
      <w:tr w:rsidR="00295A8A" w:rsidRPr="00887CD1" w14:paraId="5A52F8E2" w14:textId="77777777" w:rsidTr="0079288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36611039" w14:textId="77777777" w:rsidR="00295A8A" w:rsidRPr="00887CD1" w:rsidRDefault="00295A8A" w:rsidP="00792885">
            <w:pPr>
              <w:rPr>
                <w:rFonts w:ascii="Calibri" w:eastAsia="Times New Roman" w:hAnsi="Calibri" w:cs="Calibri"/>
                <w:color w:val="000000"/>
                <w:lang w:eastAsia="en-ZA"/>
              </w:rPr>
            </w:pPr>
          </w:p>
        </w:tc>
        <w:tc>
          <w:tcPr>
            <w:tcW w:w="1113" w:type="dxa"/>
            <w:noWrap/>
          </w:tcPr>
          <w:p w14:paraId="44B825EF" w14:textId="77777777" w:rsidR="00295A8A" w:rsidRPr="00887CD1" w:rsidRDefault="00295A8A" w:rsidP="0079288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Times New Roman"/>
                <w:color w:val="000000"/>
                <w:lang w:eastAsia="en-ZA"/>
              </w:rPr>
              <w:t>Coef.</w:t>
            </w:r>
          </w:p>
        </w:tc>
        <w:tc>
          <w:tcPr>
            <w:tcW w:w="1113" w:type="dxa"/>
            <w:noWrap/>
          </w:tcPr>
          <w:p w14:paraId="679429BF" w14:textId="77777777" w:rsidR="00295A8A" w:rsidRPr="00887CD1" w:rsidRDefault="00295A8A" w:rsidP="0079288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Times New Roman"/>
                <w:color w:val="000000"/>
                <w:lang w:eastAsia="en-ZA"/>
              </w:rPr>
              <w:t>Jackknife</w:t>
            </w:r>
          </w:p>
          <w:p w14:paraId="3A12821E" w14:textId="77777777" w:rsidR="00295A8A" w:rsidRPr="00887CD1" w:rsidRDefault="00295A8A" w:rsidP="0079288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Times New Roman"/>
                <w:color w:val="000000"/>
                <w:lang w:eastAsia="en-ZA"/>
              </w:rPr>
              <w:t>Std. Err.</w:t>
            </w:r>
          </w:p>
        </w:tc>
        <w:tc>
          <w:tcPr>
            <w:tcW w:w="925" w:type="dxa"/>
            <w:noWrap/>
          </w:tcPr>
          <w:p w14:paraId="73168ACB" w14:textId="77777777" w:rsidR="00295A8A" w:rsidRPr="00887CD1" w:rsidRDefault="00295A8A" w:rsidP="0079288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Times New Roman"/>
                <w:color w:val="000000"/>
                <w:lang w:eastAsia="en-ZA"/>
              </w:rPr>
              <w:t>t</w:t>
            </w:r>
          </w:p>
        </w:tc>
        <w:tc>
          <w:tcPr>
            <w:tcW w:w="718" w:type="dxa"/>
            <w:noWrap/>
          </w:tcPr>
          <w:p w14:paraId="42D77C0A" w14:textId="77777777" w:rsidR="00295A8A" w:rsidRPr="00887CD1" w:rsidRDefault="00295A8A" w:rsidP="0079288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Times New Roman"/>
                <w:color w:val="000000"/>
                <w:lang w:eastAsia="en-ZA"/>
              </w:rPr>
              <w:t>P&gt;t</w:t>
            </w:r>
          </w:p>
        </w:tc>
        <w:tc>
          <w:tcPr>
            <w:tcW w:w="1113" w:type="dxa"/>
            <w:noWrap/>
          </w:tcPr>
          <w:p w14:paraId="5FBE73DB" w14:textId="77777777" w:rsidR="00295A8A" w:rsidRPr="00887CD1" w:rsidRDefault="00295A8A" w:rsidP="0079288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Times New Roman"/>
                <w:color w:val="000000"/>
                <w:lang w:eastAsia="en-ZA"/>
              </w:rPr>
              <w:t>[95% Conf.</w:t>
            </w:r>
          </w:p>
        </w:tc>
        <w:tc>
          <w:tcPr>
            <w:tcW w:w="1115" w:type="dxa"/>
            <w:noWrap/>
          </w:tcPr>
          <w:p w14:paraId="286F8BCD" w14:textId="77777777" w:rsidR="00295A8A" w:rsidRPr="00887CD1" w:rsidRDefault="00295A8A" w:rsidP="0079288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Times New Roman"/>
                <w:color w:val="000000"/>
                <w:lang w:eastAsia="en-ZA"/>
              </w:rPr>
              <w:t>Interval]</w:t>
            </w:r>
          </w:p>
        </w:tc>
      </w:tr>
      <w:tr w:rsidR="00295A8A" w:rsidRPr="00887CD1" w14:paraId="016785CC" w14:textId="77777777" w:rsidTr="00792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3C22E5E5" w14:textId="77777777" w:rsidR="00295A8A" w:rsidRPr="00887CD1" w:rsidRDefault="00295A8A" w:rsidP="00792885">
            <w:pPr>
              <w:rPr>
                <w:rFonts w:ascii="Calibri" w:eastAsia="Times New Roman" w:hAnsi="Calibri" w:cs="Calibri"/>
                <w:color w:val="000000"/>
                <w:lang w:eastAsia="en-ZA"/>
              </w:rPr>
            </w:pPr>
            <w:r w:rsidRPr="00887CD1">
              <w:rPr>
                <w:rFonts w:ascii="Calibri" w:eastAsia="Times New Roman" w:hAnsi="Calibri" w:cs="Calibri"/>
                <w:color w:val="000000"/>
                <w:lang w:eastAsia="en-ZA"/>
              </w:rPr>
              <w:t>MRP</w:t>
            </w:r>
          </w:p>
        </w:tc>
        <w:tc>
          <w:tcPr>
            <w:tcW w:w="1113" w:type="dxa"/>
            <w:noWrap/>
          </w:tcPr>
          <w:p w14:paraId="21DA5C55" w14:textId="77777777" w:rsidR="00295A8A" w:rsidRPr="00887CD1" w:rsidRDefault="00295A8A" w:rsidP="007928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Calibri"/>
                <w:color w:val="000000"/>
                <w:lang w:eastAsia="en-ZA"/>
              </w:rPr>
              <w:t>0.11</w:t>
            </w:r>
          </w:p>
        </w:tc>
        <w:tc>
          <w:tcPr>
            <w:tcW w:w="1113" w:type="dxa"/>
            <w:noWrap/>
          </w:tcPr>
          <w:p w14:paraId="5114F00F" w14:textId="77777777" w:rsidR="00295A8A" w:rsidRPr="00887CD1" w:rsidRDefault="00295A8A" w:rsidP="007928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Calibri"/>
                <w:color w:val="000000"/>
                <w:lang w:eastAsia="en-ZA"/>
              </w:rPr>
              <w:t>0.04</w:t>
            </w:r>
          </w:p>
        </w:tc>
        <w:tc>
          <w:tcPr>
            <w:tcW w:w="925" w:type="dxa"/>
            <w:noWrap/>
          </w:tcPr>
          <w:p w14:paraId="2B4A5EB8" w14:textId="77777777" w:rsidR="00295A8A" w:rsidRPr="00887CD1" w:rsidRDefault="00295A8A" w:rsidP="007928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Calibri"/>
                <w:color w:val="000000"/>
                <w:lang w:eastAsia="en-ZA"/>
              </w:rPr>
              <w:t>2.44</w:t>
            </w:r>
          </w:p>
        </w:tc>
        <w:tc>
          <w:tcPr>
            <w:tcW w:w="718" w:type="dxa"/>
            <w:noWrap/>
          </w:tcPr>
          <w:p w14:paraId="5F208891" w14:textId="77777777" w:rsidR="00295A8A" w:rsidRPr="00887CD1" w:rsidRDefault="00295A8A" w:rsidP="007928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Calibri"/>
                <w:color w:val="000000"/>
                <w:lang w:eastAsia="en-ZA"/>
              </w:rPr>
              <w:t>0.015</w:t>
            </w:r>
          </w:p>
        </w:tc>
        <w:tc>
          <w:tcPr>
            <w:tcW w:w="1113" w:type="dxa"/>
            <w:noWrap/>
          </w:tcPr>
          <w:p w14:paraId="7E2406B4" w14:textId="77777777" w:rsidR="00295A8A" w:rsidRPr="00887CD1" w:rsidRDefault="00295A8A" w:rsidP="007928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Calibri"/>
                <w:color w:val="000000"/>
                <w:lang w:eastAsia="en-ZA"/>
              </w:rPr>
              <w:t>0.02</w:t>
            </w:r>
          </w:p>
        </w:tc>
        <w:tc>
          <w:tcPr>
            <w:tcW w:w="1115" w:type="dxa"/>
            <w:noWrap/>
          </w:tcPr>
          <w:p w14:paraId="47221409" w14:textId="77777777" w:rsidR="00295A8A" w:rsidRPr="00887CD1" w:rsidRDefault="00295A8A" w:rsidP="007928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Calibri"/>
                <w:color w:val="000000"/>
                <w:lang w:eastAsia="en-ZA"/>
              </w:rPr>
              <w:t>0.19</w:t>
            </w:r>
          </w:p>
        </w:tc>
      </w:tr>
      <w:tr w:rsidR="00295A8A" w:rsidRPr="00887CD1" w14:paraId="6662BFE8" w14:textId="77777777" w:rsidTr="0079288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B84A57E" w14:textId="77777777" w:rsidR="00295A8A" w:rsidRPr="00887CD1" w:rsidRDefault="00295A8A" w:rsidP="00792885">
            <w:pPr>
              <w:rPr>
                <w:rFonts w:ascii="Calibri" w:eastAsia="Times New Roman" w:hAnsi="Calibri" w:cs="Calibri"/>
                <w:color w:val="000000"/>
                <w:lang w:eastAsia="en-ZA"/>
              </w:rPr>
            </w:pPr>
            <w:r w:rsidRPr="00887CD1">
              <w:rPr>
                <w:rFonts w:ascii="Calibri" w:eastAsia="Times New Roman" w:hAnsi="Calibri" w:cs="Calibri"/>
                <w:color w:val="000000"/>
                <w:lang w:eastAsia="en-ZA"/>
              </w:rPr>
              <w:t>LRP</w:t>
            </w:r>
          </w:p>
        </w:tc>
        <w:tc>
          <w:tcPr>
            <w:tcW w:w="1113" w:type="dxa"/>
            <w:noWrap/>
            <w:hideMark/>
          </w:tcPr>
          <w:p w14:paraId="2ACDD06E" w14:textId="77777777" w:rsidR="00295A8A" w:rsidRPr="00887CD1" w:rsidRDefault="00295A8A" w:rsidP="0079288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Calibri"/>
                <w:color w:val="000000"/>
                <w:lang w:eastAsia="en-ZA"/>
              </w:rPr>
              <w:t>0.22</w:t>
            </w:r>
          </w:p>
        </w:tc>
        <w:tc>
          <w:tcPr>
            <w:tcW w:w="1113" w:type="dxa"/>
            <w:noWrap/>
            <w:hideMark/>
          </w:tcPr>
          <w:p w14:paraId="34C1E281" w14:textId="77777777" w:rsidR="00295A8A" w:rsidRPr="00887CD1" w:rsidRDefault="00295A8A" w:rsidP="0079288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Calibri"/>
                <w:color w:val="000000"/>
                <w:lang w:eastAsia="en-ZA"/>
              </w:rPr>
              <w:t>0.10</w:t>
            </w:r>
          </w:p>
        </w:tc>
        <w:tc>
          <w:tcPr>
            <w:tcW w:w="925" w:type="dxa"/>
            <w:noWrap/>
            <w:hideMark/>
          </w:tcPr>
          <w:p w14:paraId="0D1B40D7" w14:textId="77777777" w:rsidR="00295A8A" w:rsidRPr="00887CD1" w:rsidRDefault="00295A8A" w:rsidP="0079288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Calibri"/>
                <w:color w:val="000000"/>
                <w:lang w:eastAsia="en-ZA"/>
              </w:rPr>
              <w:t>2.33</w:t>
            </w:r>
          </w:p>
        </w:tc>
        <w:tc>
          <w:tcPr>
            <w:tcW w:w="718" w:type="dxa"/>
            <w:noWrap/>
            <w:hideMark/>
          </w:tcPr>
          <w:p w14:paraId="699320A4" w14:textId="77777777" w:rsidR="00295A8A" w:rsidRPr="00887CD1" w:rsidRDefault="00295A8A" w:rsidP="0079288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Calibri"/>
                <w:color w:val="000000"/>
                <w:lang w:eastAsia="en-ZA"/>
              </w:rPr>
              <w:t>0.02</w:t>
            </w:r>
          </w:p>
        </w:tc>
        <w:tc>
          <w:tcPr>
            <w:tcW w:w="1113" w:type="dxa"/>
            <w:noWrap/>
            <w:hideMark/>
          </w:tcPr>
          <w:p w14:paraId="4C5817AF" w14:textId="77777777" w:rsidR="00295A8A" w:rsidRPr="00887CD1" w:rsidRDefault="00295A8A" w:rsidP="0079288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Calibri"/>
                <w:color w:val="000000"/>
                <w:lang w:eastAsia="en-ZA"/>
              </w:rPr>
              <w:t>0.04</w:t>
            </w:r>
          </w:p>
        </w:tc>
        <w:tc>
          <w:tcPr>
            <w:tcW w:w="1115" w:type="dxa"/>
            <w:noWrap/>
            <w:hideMark/>
          </w:tcPr>
          <w:p w14:paraId="6A9161D3" w14:textId="77777777" w:rsidR="00295A8A" w:rsidRPr="00887CD1" w:rsidRDefault="00295A8A" w:rsidP="0079288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Calibri"/>
                <w:color w:val="000000"/>
                <w:lang w:eastAsia="en-ZA"/>
              </w:rPr>
              <w:t>0.41</w:t>
            </w:r>
          </w:p>
        </w:tc>
      </w:tr>
      <w:tr w:rsidR="00295A8A" w:rsidRPr="00887CD1" w14:paraId="307FFE91" w14:textId="77777777" w:rsidTr="00792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5690277" w14:textId="77777777" w:rsidR="00295A8A" w:rsidRPr="00887CD1" w:rsidRDefault="00295A8A" w:rsidP="00792885">
            <w:pPr>
              <w:rPr>
                <w:rFonts w:ascii="Calibri" w:eastAsia="Times New Roman" w:hAnsi="Calibri" w:cs="Calibri"/>
                <w:color w:val="000000"/>
                <w:lang w:eastAsia="en-ZA"/>
              </w:rPr>
            </w:pPr>
            <w:r w:rsidRPr="00887CD1">
              <w:rPr>
                <w:rFonts w:ascii="Calibri" w:eastAsia="Times New Roman" w:hAnsi="Calibri" w:cs="Calibri"/>
                <w:color w:val="000000"/>
                <w:lang w:eastAsia="en-ZA"/>
              </w:rPr>
              <w:t>URP</w:t>
            </w:r>
          </w:p>
        </w:tc>
        <w:tc>
          <w:tcPr>
            <w:tcW w:w="1113" w:type="dxa"/>
            <w:noWrap/>
            <w:hideMark/>
          </w:tcPr>
          <w:p w14:paraId="5890919B" w14:textId="77777777" w:rsidR="00295A8A" w:rsidRPr="00887CD1" w:rsidRDefault="00295A8A" w:rsidP="007928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Calibri"/>
                <w:color w:val="000000"/>
                <w:lang w:eastAsia="en-ZA"/>
              </w:rPr>
              <w:t>-0.01</w:t>
            </w:r>
          </w:p>
        </w:tc>
        <w:tc>
          <w:tcPr>
            <w:tcW w:w="1113" w:type="dxa"/>
            <w:noWrap/>
            <w:hideMark/>
          </w:tcPr>
          <w:p w14:paraId="3D2EC33F" w14:textId="77777777" w:rsidR="00295A8A" w:rsidRPr="00887CD1" w:rsidRDefault="00295A8A" w:rsidP="007928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Calibri"/>
                <w:color w:val="000000"/>
                <w:lang w:eastAsia="en-ZA"/>
              </w:rPr>
              <w:t>0.03</w:t>
            </w:r>
          </w:p>
        </w:tc>
        <w:tc>
          <w:tcPr>
            <w:tcW w:w="925" w:type="dxa"/>
            <w:noWrap/>
            <w:hideMark/>
          </w:tcPr>
          <w:p w14:paraId="46051CDB" w14:textId="77777777" w:rsidR="00295A8A" w:rsidRPr="00887CD1" w:rsidRDefault="00295A8A" w:rsidP="007928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Calibri"/>
                <w:color w:val="000000"/>
                <w:lang w:eastAsia="en-ZA"/>
              </w:rPr>
              <w:t>-0.54</w:t>
            </w:r>
          </w:p>
        </w:tc>
        <w:tc>
          <w:tcPr>
            <w:tcW w:w="718" w:type="dxa"/>
            <w:noWrap/>
            <w:hideMark/>
          </w:tcPr>
          <w:p w14:paraId="4D30D6A6" w14:textId="77777777" w:rsidR="00295A8A" w:rsidRPr="00887CD1" w:rsidRDefault="00295A8A" w:rsidP="007928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Calibri"/>
                <w:color w:val="000000"/>
                <w:lang w:eastAsia="en-ZA"/>
              </w:rPr>
              <w:t>0.592</w:t>
            </w:r>
          </w:p>
        </w:tc>
        <w:tc>
          <w:tcPr>
            <w:tcW w:w="1113" w:type="dxa"/>
            <w:noWrap/>
            <w:hideMark/>
          </w:tcPr>
          <w:p w14:paraId="65A77705" w14:textId="77777777" w:rsidR="00295A8A" w:rsidRPr="00887CD1" w:rsidRDefault="00295A8A" w:rsidP="007928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Calibri"/>
                <w:color w:val="000000"/>
                <w:lang w:eastAsia="en-ZA"/>
              </w:rPr>
              <w:t>-0.06</w:t>
            </w:r>
          </w:p>
        </w:tc>
        <w:tc>
          <w:tcPr>
            <w:tcW w:w="1115" w:type="dxa"/>
            <w:noWrap/>
            <w:hideMark/>
          </w:tcPr>
          <w:p w14:paraId="648DD70D" w14:textId="77777777" w:rsidR="00295A8A" w:rsidRPr="00887CD1" w:rsidRDefault="00295A8A" w:rsidP="007928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887CD1">
              <w:rPr>
                <w:rFonts w:ascii="Calibri" w:eastAsia="Times New Roman" w:hAnsi="Calibri" w:cs="Calibri"/>
                <w:color w:val="000000"/>
                <w:lang w:eastAsia="en-ZA"/>
              </w:rPr>
              <w:t>0.04</w:t>
            </w:r>
          </w:p>
        </w:tc>
      </w:tr>
    </w:tbl>
    <w:p w14:paraId="3955C948" w14:textId="77777777" w:rsidR="00295A8A" w:rsidRPr="00887CD1" w:rsidRDefault="00295A8A" w:rsidP="00295A8A">
      <w:pPr>
        <w:spacing w:line="360" w:lineRule="auto"/>
        <w:jc w:val="both"/>
        <w:rPr>
          <w:rFonts w:ascii="Calibri" w:eastAsia="Calibri" w:hAnsi="Calibri" w:cs="Times New Roman"/>
        </w:rPr>
      </w:pPr>
    </w:p>
    <w:p w14:paraId="5953EBE6" w14:textId="2056BCB4" w:rsidR="004D4390" w:rsidRDefault="004D4390" w:rsidP="004D4390">
      <w:pPr>
        <w:spacing w:line="360" w:lineRule="auto"/>
        <w:jc w:val="both"/>
        <w:rPr>
          <w:rFonts w:ascii="Times New Roman" w:hAnsi="Times New Roman" w:cs="Times New Roman"/>
          <w:sz w:val="24"/>
          <w:szCs w:val="24"/>
        </w:rPr>
      </w:pPr>
    </w:p>
    <w:p w14:paraId="3A920EAC" w14:textId="5C08986B" w:rsidR="008A7D97" w:rsidRPr="004F0AC8" w:rsidRDefault="008A7D97" w:rsidP="004D4390">
      <w:pPr>
        <w:spacing w:line="360" w:lineRule="auto"/>
        <w:jc w:val="both"/>
        <w:rPr>
          <w:rFonts w:ascii="Times New Roman" w:hAnsi="Times New Roman" w:cs="Times New Roman"/>
          <w:b/>
          <w:bCs/>
          <w:sz w:val="24"/>
          <w:szCs w:val="24"/>
        </w:rPr>
      </w:pPr>
      <w:r w:rsidRPr="004F0AC8">
        <w:rPr>
          <w:rFonts w:ascii="Times New Roman" w:hAnsi="Times New Roman" w:cs="Times New Roman"/>
          <w:b/>
          <w:bCs/>
          <w:sz w:val="24"/>
          <w:szCs w:val="24"/>
        </w:rPr>
        <w:t>Section S2</w:t>
      </w:r>
    </w:p>
    <w:p w14:paraId="3727AFC8" w14:textId="77777777" w:rsidR="004D4390" w:rsidRPr="00536AB4" w:rsidRDefault="004D4390" w:rsidP="004D4390">
      <w:pPr>
        <w:pStyle w:val="Heading2"/>
        <w:rPr>
          <w:rFonts w:ascii="Times New Roman" w:hAnsi="Times New Roman"/>
        </w:rPr>
      </w:pPr>
      <w:r w:rsidRPr="00536AB4">
        <w:rPr>
          <w:rFonts w:ascii="Times New Roman" w:hAnsi="Times New Roman"/>
        </w:rPr>
        <w:t>The relative distribution</w:t>
      </w:r>
    </w:p>
    <w:p w14:paraId="3CE31E49" w14:textId="77777777" w:rsidR="004D4390" w:rsidRPr="00536AB4" w:rsidRDefault="004D4390" w:rsidP="004D4390">
      <w:pPr>
        <w:pStyle w:val="Bodytextwithindent"/>
        <w:spacing w:after="240"/>
      </w:pPr>
      <w:r w:rsidRPr="00536AB4">
        <w:t xml:space="preserve">Let </w:t>
      </w:r>
      <m:oMath>
        <m:sSub>
          <m:sSubPr>
            <m:ctrlPr>
              <w:rPr>
                <w:rFonts w:ascii="Cambria Math" w:hAnsi="Cambria Math"/>
                <w:i/>
              </w:rPr>
            </m:ctrlPr>
          </m:sSubPr>
          <m:e>
            <m:r>
              <w:rPr>
                <w:rFonts w:ascii="Cambria Math" w:hAnsi="Cambria Math"/>
              </w:rPr>
              <m:t>Y</m:t>
            </m:r>
          </m:e>
          <m:sub>
            <m:r>
              <w:rPr>
                <w:rFonts w:ascii="Cambria Math" w:hAnsi="Cambria Math"/>
              </w:rPr>
              <m:t>0</m:t>
            </m:r>
          </m:sub>
        </m:sSub>
      </m:oMath>
      <w:r w:rsidRPr="00536AB4">
        <w:t xml:space="preserve"> and </w:t>
      </w:r>
      <m:oMath>
        <m:r>
          <w:rPr>
            <w:rFonts w:ascii="Cambria Math" w:hAnsi="Cambria Math"/>
          </w:rPr>
          <m:t>Y</m:t>
        </m:r>
      </m:oMath>
      <w:r w:rsidRPr="00536AB4">
        <w:t xml:space="preserve"> represent the income distribution of the reference (in our case February) and comparison (in our case April) distributions. The relative distribution of  </w:t>
      </w:r>
      <m:oMath>
        <m:r>
          <w:rPr>
            <w:rFonts w:ascii="Cambria Math" w:hAnsi="Cambria Math"/>
          </w:rPr>
          <m:t>Y</m:t>
        </m:r>
      </m:oMath>
      <w:r w:rsidRPr="00536AB4">
        <w:t xml:space="preserve"> to </w:t>
      </w:r>
      <m:oMath>
        <m:sSub>
          <m:sSubPr>
            <m:ctrlPr>
              <w:rPr>
                <w:rFonts w:ascii="Cambria Math" w:hAnsi="Cambria Math"/>
                <w:i/>
              </w:rPr>
            </m:ctrlPr>
          </m:sSubPr>
          <m:e>
            <m:r>
              <w:rPr>
                <w:rFonts w:ascii="Cambria Math" w:hAnsi="Cambria Math"/>
              </w:rPr>
              <m:t>Y</m:t>
            </m:r>
          </m:e>
          <m:sub>
            <m:r>
              <w:rPr>
                <w:rFonts w:ascii="Cambria Math" w:hAnsi="Cambria Math"/>
              </w:rPr>
              <m:t>0</m:t>
            </m:r>
          </m:sub>
        </m:sSub>
      </m:oMath>
      <w:r w:rsidRPr="00536AB4">
        <w:t xml:space="preserve"> is defined as the distribution of a random variable</w:t>
      </w:r>
    </w:p>
    <w:p w14:paraId="700DBB25" w14:textId="77777777" w:rsidR="004D4390" w:rsidRPr="00536AB4" w:rsidRDefault="004D4390" w:rsidP="004D4390">
      <w:pPr>
        <w:jc w:val="both"/>
        <w:rPr>
          <w:rFonts w:cs="Times New Roman"/>
          <w:color w:val="000000" w:themeColor="text1"/>
          <w:szCs w:val="24"/>
        </w:rPr>
      </w:pPr>
      <m:oMathPara>
        <m:oMathParaPr>
          <m:jc m:val="center"/>
        </m:oMathParaPr>
        <m:oMath>
          <m:r>
            <w:rPr>
              <w:rFonts w:ascii="Cambria Math" w:hAnsi="Cambria Math" w:cs="Times New Roman"/>
              <w:color w:val="000000" w:themeColor="text1"/>
              <w:szCs w:val="24"/>
            </w:rPr>
            <m:t>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0</m:t>
              </m:r>
            </m:sub>
          </m:sSub>
          <m:r>
            <w:rPr>
              <w:rFonts w:ascii="Cambria Math" w:hAnsi="Cambria Math" w:cs="Times New Roman"/>
              <w:color w:val="000000" w:themeColor="text1"/>
              <w:szCs w:val="24"/>
            </w:rPr>
            <m:t>(Y)</m:t>
          </m:r>
        </m:oMath>
      </m:oMathPara>
    </w:p>
    <w:p w14:paraId="59D17878" w14:textId="77777777" w:rsidR="004D4390" w:rsidRPr="00536AB4" w:rsidRDefault="004D4390" w:rsidP="004D4390">
      <w:pPr>
        <w:pStyle w:val="Bodytextfirstpara"/>
        <w:spacing w:before="240" w:after="240"/>
      </w:pPr>
      <w:r w:rsidRPr="00536AB4">
        <w:t xml:space="preserve">which is obtained from </w:t>
      </w:r>
      <m:oMath>
        <m:r>
          <w:rPr>
            <w:rFonts w:ascii="Cambria Math" w:hAnsi="Cambria Math"/>
          </w:rPr>
          <m:t>Y</m:t>
        </m:r>
      </m:oMath>
      <w:r w:rsidRPr="00536AB4">
        <w:t xml:space="preserve"> when transforming it with the cumulative distribution function of </w:t>
      </w:r>
      <m:oMath>
        <m:sSub>
          <m:sSubPr>
            <m:ctrlPr>
              <w:rPr>
                <w:rFonts w:ascii="Cambria Math" w:hAnsi="Cambria Math"/>
                <w:i/>
              </w:rPr>
            </m:ctrlPr>
          </m:sSubPr>
          <m:e>
            <m:r>
              <w:rPr>
                <w:rFonts w:ascii="Cambria Math" w:hAnsi="Cambria Math"/>
              </w:rPr>
              <m:t>Y</m:t>
            </m:r>
          </m:e>
          <m:sub>
            <m:r>
              <w:rPr>
                <w:rFonts w:ascii="Cambria Math" w:hAnsi="Cambria Math"/>
              </w:rPr>
              <m:t>0</m:t>
            </m:r>
          </m:sub>
        </m:sSub>
      </m:oMath>
      <w:r w:rsidRPr="00536AB4">
        <w:t xml:space="preserve">,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rsidRPr="00536AB4">
        <w:t xml:space="preserve">. </w:t>
      </w:r>
      <m:oMath>
        <m:r>
          <w:rPr>
            <w:rFonts w:ascii="Cambria Math" w:hAnsi="Cambria Math"/>
          </w:rPr>
          <m:t>R</m:t>
        </m:r>
      </m:oMath>
      <w:r w:rsidRPr="00536AB4">
        <w:t xml:space="preserve"> is a continuous random variable over the range </w:t>
      </w:r>
      <m:oMath>
        <m:r>
          <w:rPr>
            <w:rFonts w:ascii="Cambria Math" w:hAnsi="Cambria Math"/>
          </w:rPr>
          <m:t>[0,1]</m:t>
        </m:r>
      </m:oMath>
      <w:r w:rsidRPr="00536AB4">
        <w:t xml:space="preserve">, the realisations of </w:t>
      </w:r>
      <m:oMath>
        <m:r>
          <w:rPr>
            <w:rFonts w:ascii="Cambria Math" w:hAnsi="Cambria Math"/>
          </w:rPr>
          <m:t>R</m:t>
        </m:r>
      </m:oMath>
      <w:r w:rsidRPr="00536AB4">
        <w:t xml:space="preserve">, i.e., </w:t>
      </w:r>
      <m:oMath>
        <m:r>
          <w:rPr>
            <w:rFonts w:ascii="Cambria Math" w:hAnsi="Cambria Math"/>
          </w:rPr>
          <m:t>r</m:t>
        </m:r>
      </m:oMath>
      <w:r w:rsidRPr="00536AB4">
        <w:t xml:space="preserve">  are referred to as ‘relative data’. Intuitively,</w:t>
      </w:r>
      <m:oMath>
        <m:r>
          <w:rPr>
            <w:rFonts w:ascii="Cambria Math" w:hAnsi="Cambria Math"/>
          </w:rPr>
          <m:t xml:space="preserve"> r</m:t>
        </m:r>
      </m:oMath>
      <w:r w:rsidRPr="00536AB4">
        <w:t xml:space="preserve"> can be interpreted as the set of positions that observations of the comparison population would have if they were located in the distribution of the reference population. The probability density function of </w:t>
      </w:r>
      <m:oMath>
        <m:r>
          <w:rPr>
            <w:rFonts w:ascii="Cambria Math" w:hAnsi="Cambria Math"/>
          </w:rPr>
          <m:t>R</m:t>
        </m:r>
      </m:oMath>
      <w:r w:rsidRPr="00536AB4">
        <w:t xml:space="preserve"> can be obtained as a ratio of comparison density to the reference density at the relative data </w:t>
      </w:r>
      <m:oMath>
        <m:r>
          <w:rPr>
            <w:rFonts w:ascii="Cambria Math" w:hAnsi="Cambria Math"/>
          </w:rPr>
          <m:t>r</m:t>
        </m:r>
      </m:oMath>
      <w:r w:rsidRPr="00536AB4">
        <w:t>. The probability density function can be written as</w:t>
      </w:r>
    </w:p>
    <w:p w14:paraId="54078183" w14:textId="77777777" w:rsidR="004D4390" w:rsidRPr="00536AB4" w:rsidRDefault="004D4390" w:rsidP="004D4390">
      <w:pPr>
        <w:jc w:val="right"/>
        <w:rPr>
          <w:rFonts w:eastAsiaTheme="minorEastAsia" w:cs="Times New Roman"/>
          <w:color w:val="000000" w:themeColor="text1"/>
          <w:szCs w:val="24"/>
        </w:rPr>
      </w:pPr>
      <m:oMath>
        <m:r>
          <w:rPr>
            <w:rFonts w:ascii="Cambria Math" w:hAnsi="Cambria Math" w:cs="Times New Roman"/>
            <w:color w:val="000000" w:themeColor="text1"/>
            <w:szCs w:val="24"/>
          </w:rPr>
          <m:t>g</m:t>
        </m:r>
        <m:d>
          <m:dPr>
            <m:ctrlPr>
              <w:rPr>
                <w:rFonts w:ascii="Cambria Math" w:hAnsi="Cambria Math" w:cs="Times New Roman"/>
                <w:i/>
                <w:color w:val="000000" w:themeColor="text1"/>
                <w:szCs w:val="24"/>
              </w:rPr>
            </m:ctrlPr>
          </m:dPr>
          <m:e>
            <m:r>
              <w:rPr>
                <w:rFonts w:ascii="Cambria Math" w:hAnsi="Cambria Math" w:cs="Times New Roman"/>
                <w:color w:val="000000" w:themeColor="text1"/>
                <w:szCs w:val="24"/>
              </w:rPr>
              <m:t>r</m:t>
            </m:r>
          </m:e>
        </m:d>
        <m:r>
          <w:rPr>
            <w:rFonts w:ascii="Cambria Math" w:hAnsi="Cambria Math" w:cs="Times New Roman"/>
            <w:color w:val="000000" w:themeColor="text1"/>
            <w:szCs w:val="24"/>
          </w:rPr>
          <m:t>=</m:t>
        </m:r>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f(</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m:t>
            </m:r>
          </m:num>
          <m:den>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0</m:t>
                </m:r>
              </m:sub>
            </m:sSub>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m:t>
            </m:r>
          </m:den>
        </m:f>
        <m:r>
          <w:rPr>
            <w:rFonts w:ascii="Cambria Math" w:hAnsi="Cambria Math" w:cs="Times New Roman"/>
            <w:color w:val="000000" w:themeColor="text1"/>
            <w:szCs w:val="24"/>
          </w:rPr>
          <m:t xml:space="preserve">,    0≤r≤1,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≥0</m:t>
        </m:r>
      </m:oMath>
      <w:r w:rsidRPr="00536AB4">
        <w:rPr>
          <w:rFonts w:eastAsiaTheme="minorEastAsia" w:cs="Times New Roman"/>
          <w:color w:val="000000" w:themeColor="text1"/>
          <w:szCs w:val="24"/>
        </w:rPr>
        <w:tab/>
      </w:r>
      <w:r w:rsidRPr="00536AB4">
        <w:rPr>
          <w:rFonts w:eastAsiaTheme="minorEastAsia" w:cs="Times New Roman"/>
          <w:color w:val="000000" w:themeColor="text1"/>
          <w:szCs w:val="24"/>
        </w:rPr>
        <w:tab/>
      </w:r>
      <w:r w:rsidRPr="00536AB4">
        <w:rPr>
          <w:rFonts w:eastAsiaTheme="minorEastAsia" w:cs="Times New Roman"/>
          <w:color w:val="000000" w:themeColor="text1"/>
          <w:szCs w:val="24"/>
        </w:rPr>
        <w:tab/>
      </w:r>
      <w:r w:rsidRPr="00536AB4">
        <w:rPr>
          <w:rFonts w:eastAsiaTheme="minorEastAsia" w:cs="Times New Roman"/>
          <w:color w:val="000000" w:themeColor="text1"/>
          <w:szCs w:val="24"/>
        </w:rPr>
        <w:tab/>
      </w:r>
      <w:r w:rsidRPr="00536AB4">
        <w:rPr>
          <w:rFonts w:eastAsiaTheme="minorEastAsia" w:cs="Times New Roman"/>
          <w:color w:val="000000" w:themeColor="text1"/>
          <w:szCs w:val="24"/>
        </w:rPr>
        <w:tab/>
        <w:t>(1)</w:t>
      </w:r>
    </w:p>
    <w:p w14:paraId="3F006A56" w14:textId="77777777" w:rsidR="004D4390" w:rsidRPr="00536AB4" w:rsidRDefault="004D4390" w:rsidP="004D4390">
      <w:pPr>
        <w:pStyle w:val="Bodytextfirstpara"/>
        <w:spacing w:before="240"/>
      </w:pPr>
      <w:r w:rsidRPr="00536AB4">
        <w:t xml:space="preserve">where </w:t>
      </w:r>
      <m:oMath>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oMath>
      <w:r w:rsidRPr="00536AB4">
        <w:t xml:space="preserve"> and </w:t>
      </w:r>
      <m:oMath>
        <m:r>
          <w:rPr>
            <w:rFonts w:ascii="Cambria Math" w:hAnsi="Cambria Math"/>
          </w:rPr>
          <m:t>f(.)</m:t>
        </m:r>
      </m:oMath>
      <w:r w:rsidRPr="00536AB4">
        <w:t xml:space="preserve"> are the density functions of </w:t>
      </w:r>
      <m:oMath>
        <m:sSub>
          <m:sSubPr>
            <m:ctrlPr>
              <w:rPr>
                <w:rFonts w:ascii="Cambria Math" w:hAnsi="Cambria Math"/>
                <w:i/>
              </w:rPr>
            </m:ctrlPr>
          </m:sSubPr>
          <m:e>
            <m:r>
              <w:rPr>
                <w:rFonts w:ascii="Cambria Math" w:hAnsi="Cambria Math"/>
              </w:rPr>
              <m:t>Y</m:t>
            </m:r>
          </m:e>
          <m:sub>
            <m:r>
              <w:rPr>
                <w:rFonts w:ascii="Cambria Math" w:hAnsi="Cambria Math"/>
              </w:rPr>
              <m:t>0</m:t>
            </m:r>
          </m:sub>
        </m:sSub>
      </m:oMath>
      <w:r w:rsidRPr="00536AB4">
        <w:t xml:space="preserve"> and </w:t>
      </w:r>
      <m:oMath>
        <m:r>
          <w:rPr>
            <w:rFonts w:ascii="Cambria Math" w:hAnsi="Cambria Math"/>
          </w:rPr>
          <m:t>Y</m:t>
        </m:r>
      </m:oMath>
      <w:r w:rsidRPr="00536AB4">
        <w:t xml:space="preserve"> respectively, and </w:t>
      </w:r>
      <m:oMath>
        <m:sSub>
          <m:sSubPr>
            <m:ctrlPr>
              <w:rPr>
                <w:rFonts w:ascii="Cambria Math" w:hAnsi="Cambria Math"/>
                <w:i/>
              </w:rPr>
            </m:ctrlPr>
          </m:sSubPr>
          <m:e>
            <m:r>
              <w:rPr>
                <w:rFonts w:ascii="Cambria Math" w:hAnsi="Cambria Math"/>
              </w:rPr>
              <m:t>y</m:t>
            </m:r>
          </m:e>
          <m:sub>
            <m:r>
              <w:rPr>
                <w:rFonts w:ascii="Cambria Math" w:hAnsi="Cambria Math"/>
              </w:rPr>
              <m:t>r</m:t>
            </m:r>
          </m:sub>
        </m:sSub>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0</m:t>
            </m:r>
          </m:sub>
          <m:sup>
            <m:r>
              <w:rPr>
                <w:rFonts w:ascii="Cambria Math" w:hAnsi="Cambria Math"/>
              </w:rPr>
              <m:t>-1</m:t>
            </m:r>
          </m:sup>
        </m:sSubSup>
        <m:r>
          <w:rPr>
            <w:rFonts w:ascii="Cambria Math" w:hAnsi="Cambria Math"/>
          </w:rPr>
          <m:t>(r)</m:t>
        </m:r>
      </m:oMath>
      <w:r w:rsidRPr="00536AB4">
        <w:t xml:space="preserve"> is the quantile function of </w:t>
      </w:r>
      <m:oMath>
        <m:sSub>
          <m:sSubPr>
            <m:ctrlPr>
              <w:rPr>
                <w:rFonts w:ascii="Cambria Math" w:hAnsi="Cambria Math"/>
                <w:i/>
              </w:rPr>
            </m:ctrlPr>
          </m:sSubPr>
          <m:e>
            <m:r>
              <w:rPr>
                <w:rFonts w:ascii="Cambria Math" w:hAnsi="Cambria Math"/>
              </w:rPr>
              <m:t>Y</m:t>
            </m:r>
          </m:e>
          <m:sub>
            <m:r>
              <w:rPr>
                <w:rFonts w:ascii="Cambria Math" w:hAnsi="Cambria Math"/>
              </w:rPr>
              <m:t>0</m:t>
            </m:r>
          </m:sub>
        </m:sSub>
      </m:oMath>
      <w:r w:rsidRPr="00536AB4">
        <w:t xml:space="preserve">. The relative density describes where individuals at various quantiles in the comparison (April) distribution are concentrated in terms of the quantiles of the reference </w:t>
      </w:r>
      <w:r w:rsidRPr="00536AB4">
        <w:lastRenderedPageBreak/>
        <w:t xml:space="preserve">(February) distribution. When the relative density is 1, this means that the two distributions have a similar density at the </w:t>
      </w:r>
      <m:oMath>
        <m:sSup>
          <m:sSupPr>
            <m:ctrlPr>
              <w:rPr>
                <w:rFonts w:ascii="Cambria Math" w:hAnsi="Cambria Math"/>
                <w:i/>
              </w:rPr>
            </m:ctrlPr>
          </m:sSupPr>
          <m:e>
            <m:r>
              <w:rPr>
                <w:rFonts w:ascii="Cambria Math" w:hAnsi="Cambria Math"/>
              </w:rPr>
              <m:t>r</m:t>
            </m:r>
          </m:e>
          <m:sup>
            <m:r>
              <w:rPr>
                <w:rFonts w:ascii="Cambria Math" w:hAnsi="Cambria Math"/>
              </w:rPr>
              <m:t>th</m:t>
            </m:r>
          </m:sup>
        </m:sSup>
      </m:oMath>
      <w:r w:rsidRPr="00536AB4">
        <w:t xml:space="preserve">quantile of the reference population. In this case, </w:t>
      </w:r>
      <m:oMath>
        <m:r>
          <w:rPr>
            <w:rFonts w:ascii="Cambria Math" w:hAnsi="Cambria Math"/>
          </w:rPr>
          <m:t>R</m:t>
        </m:r>
      </m:oMath>
      <w:r w:rsidRPr="00536AB4">
        <w:t xml:space="preserve"> has a uniform distribution. A relative density greater than 1 implies that the comparison distribution has more density than the reference at the </w:t>
      </w:r>
      <m:oMath>
        <m:sSup>
          <m:sSupPr>
            <m:ctrlPr>
              <w:rPr>
                <w:rFonts w:ascii="Cambria Math" w:hAnsi="Cambria Math"/>
                <w:i/>
              </w:rPr>
            </m:ctrlPr>
          </m:sSupPr>
          <m:e>
            <m:r>
              <w:rPr>
                <w:rFonts w:ascii="Cambria Math" w:hAnsi="Cambria Math"/>
              </w:rPr>
              <m:t>r</m:t>
            </m:r>
          </m:e>
          <m:sup>
            <m:r>
              <w:rPr>
                <w:rFonts w:ascii="Cambria Math" w:hAnsi="Cambria Math"/>
              </w:rPr>
              <m:t>th</m:t>
            </m:r>
          </m:sup>
        </m:sSup>
      </m:oMath>
      <w:r w:rsidRPr="00536AB4">
        <w:t xml:space="preserve"> quantile of the reference distribution. Similarly, a relative density that the less than 1 indicates the opposite.</w:t>
      </w:r>
    </w:p>
    <w:p w14:paraId="0DFC46BA" w14:textId="77777777" w:rsidR="004D4390" w:rsidRPr="00536AB4" w:rsidRDefault="004D4390" w:rsidP="004D4390">
      <w:pPr>
        <w:pStyle w:val="Bodytextwithindent"/>
        <w:spacing w:after="240"/>
        <w:ind w:firstLine="425"/>
      </w:pPr>
      <w:r w:rsidRPr="00536AB4">
        <w:t>The major advantage of the relative density method is that it allows for the decomposition of the relative distribution into changes in location (measured by the median in this study) of the densities being compared, and changes in shape (including differences in variance, asymmetry, and other distributional characteristics) that could be linked to factors such as polarisation. The decomposition can be written as</w:t>
      </w:r>
    </w:p>
    <w:p w14:paraId="22320D1D" w14:textId="77777777" w:rsidR="004D4390" w:rsidRPr="00536AB4" w:rsidRDefault="004D4390" w:rsidP="004D4390">
      <w:pPr>
        <w:jc w:val="right"/>
        <w:rPr>
          <w:rFonts w:cs="Times New Roman"/>
          <w:color w:val="000000" w:themeColor="text1"/>
          <w:szCs w:val="24"/>
        </w:rPr>
      </w:pPr>
      <m:oMath>
        <m:r>
          <w:rPr>
            <w:rFonts w:ascii="Cambria Math" w:eastAsiaTheme="minorEastAsia" w:hAnsi="Cambria Math" w:cs="Times New Roman"/>
            <w:color w:val="000000" w:themeColor="text1"/>
            <w:szCs w:val="24"/>
          </w:rPr>
          <m:t>g</m:t>
        </m:r>
        <m:d>
          <m:dPr>
            <m:ctrlPr>
              <w:rPr>
                <w:rFonts w:ascii="Cambria Math" w:eastAsiaTheme="minorEastAsia" w:hAnsi="Cambria Math" w:cs="Times New Roman"/>
                <w:i/>
                <w:color w:val="000000" w:themeColor="text1"/>
                <w:szCs w:val="24"/>
              </w:rPr>
            </m:ctrlPr>
          </m:dPr>
          <m:e>
            <m:r>
              <w:rPr>
                <w:rFonts w:ascii="Cambria Math" w:eastAsiaTheme="minorEastAsia" w:hAnsi="Cambria Math" w:cs="Times New Roman"/>
                <w:color w:val="000000" w:themeColor="text1"/>
                <w:szCs w:val="24"/>
              </w:rPr>
              <m:t>r</m:t>
            </m:r>
          </m:e>
        </m:d>
        <m:r>
          <w:rPr>
            <w:rFonts w:ascii="Cambria Math" w:eastAsiaTheme="minorEastAsia" w:hAnsi="Cambria Math" w:cs="Times New Roman"/>
            <w:color w:val="000000" w:themeColor="text1"/>
            <w:szCs w:val="24"/>
          </w:rPr>
          <m:t>=</m:t>
        </m:r>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f(</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m:t>
            </m:r>
          </m:num>
          <m:den>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0</m:t>
                </m:r>
              </m:sub>
            </m:sSub>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m:t>
            </m:r>
          </m:den>
        </m:f>
        <m:r>
          <w:rPr>
            <w:rFonts w:ascii="Cambria Math" w:hAnsi="Cambria Math" w:cs="Times New Roman"/>
            <w:color w:val="000000" w:themeColor="text1"/>
            <w:szCs w:val="24"/>
          </w:rPr>
          <m:t>=</m:t>
        </m:r>
        <m:f>
          <m:fPr>
            <m:ctrlPr>
              <w:rPr>
                <w:rFonts w:ascii="Cambria Math" w:hAnsi="Cambria Math" w:cs="Times New Roman"/>
                <w:i/>
                <w:color w:val="000000" w:themeColor="text1"/>
                <w:szCs w:val="24"/>
              </w:rPr>
            </m:ctrlPr>
          </m:fPr>
          <m:num>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0L</m:t>
                </m:r>
              </m:sub>
            </m:sSub>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m:t>
            </m:r>
          </m:num>
          <m:den>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0</m:t>
                </m:r>
              </m:sub>
            </m:sSub>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m:t>
            </m:r>
          </m:den>
        </m:f>
        <m:r>
          <w:rPr>
            <w:rFonts w:ascii="Cambria Math" w:eastAsiaTheme="minorEastAsia" w:hAnsi="Cambria Math" w:cs="Times New Roman"/>
            <w:color w:val="000000" w:themeColor="text1"/>
            <w:szCs w:val="24"/>
          </w:rPr>
          <m:t xml:space="preserve">* </m:t>
        </m:r>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f</m:t>
            </m:r>
            <m:d>
              <m:dPr>
                <m:ctrlPr>
                  <w:rPr>
                    <w:rFonts w:ascii="Cambria Math" w:hAnsi="Cambria Math" w:cs="Times New Roman"/>
                    <w:i/>
                    <w:color w:val="000000" w:themeColor="text1"/>
                    <w:szCs w:val="24"/>
                  </w:rPr>
                </m:ctrlPr>
              </m:dPr>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e>
            </m:d>
          </m:num>
          <m:den>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0L</m:t>
                </m:r>
              </m:sub>
            </m:sSub>
            <m:d>
              <m:dPr>
                <m:ctrlPr>
                  <w:rPr>
                    <w:rFonts w:ascii="Cambria Math" w:hAnsi="Cambria Math" w:cs="Times New Roman"/>
                    <w:i/>
                    <w:color w:val="000000" w:themeColor="text1"/>
                    <w:szCs w:val="24"/>
                  </w:rPr>
                </m:ctrlPr>
              </m:dPr>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e>
            </m:d>
          </m:den>
        </m:f>
      </m:oMath>
      <w:r w:rsidRPr="00536AB4">
        <w:rPr>
          <w:rFonts w:eastAsiaTheme="minorEastAsia" w:cs="Times New Roman"/>
          <w:color w:val="000000" w:themeColor="text1"/>
          <w:szCs w:val="24"/>
        </w:rPr>
        <w:tab/>
      </w:r>
      <w:r w:rsidRPr="00536AB4">
        <w:rPr>
          <w:rFonts w:eastAsiaTheme="minorEastAsia" w:cs="Times New Roman"/>
          <w:color w:val="000000" w:themeColor="text1"/>
          <w:szCs w:val="24"/>
        </w:rPr>
        <w:tab/>
      </w:r>
      <w:r w:rsidRPr="00536AB4">
        <w:rPr>
          <w:rFonts w:eastAsiaTheme="minorEastAsia" w:cs="Times New Roman"/>
          <w:color w:val="000000" w:themeColor="text1"/>
          <w:szCs w:val="24"/>
        </w:rPr>
        <w:tab/>
      </w:r>
      <w:r w:rsidRPr="00536AB4">
        <w:rPr>
          <w:rFonts w:eastAsiaTheme="minorEastAsia" w:cs="Times New Roman"/>
          <w:color w:val="000000" w:themeColor="text1"/>
          <w:szCs w:val="24"/>
        </w:rPr>
        <w:tab/>
        <w:t>(2)</w:t>
      </w:r>
    </w:p>
    <w:p w14:paraId="752DC635" w14:textId="77777777" w:rsidR="004D4390" w:rsidRPr="00536AB4" w:rsidRDefault="004D4390" w:rsidP="004D4390">
      <w:pPr>
        <w:pStyle w:val="Bodytextfirstpara"/>
        <w:spacing w:before="240"/>
      </w:pPr>
      <w:r w:rsidRPr="00536AB4">
        <w:t xml:space="preserve">where  </w:t>
      </w:r>
      <m:oMath>
        <m:sSub>
          <m:sSubPr>
            <m:ctrlPr>
              <w:rPr>
                <w:rFonts w:ascii="Cambria Math" w:hAnsi="Cambria Math"/>
                <w:i/>
              </w:rPr>
            </m:ctrlPr>
          </m:sSubPr>
          <m:e>
            <m:r>
              <w:rPr>
                <w:rFonts w:ascii="Cambria Math" w:hAnsi="Cambria Math"/>
              </w:rPr>
              <m:t>f</m:t>
            </m:r>
          </m:e>
          <m:sub>
            <m:r>
              <w:rPr>
                <w:rFonts w:ascii="Cambria Math" w:hAnsi="Cambria Math"/>
              </w:rPr>
              <m:t>0L</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r</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r</m:t>
            </m:r>
          </m:sub>
        </m:sSub>
        <m:r>
          <w:rPr>
            <w:rFonts w:ascii="Cambria Math" w:hAnsi="Cambria Math"/>
          </w:rPr>
          <m:t>+ρ)</m:t>
        </m:r>
      </m:oMath>
      <w:r w:rsidRPr="00536AB4">
        <w:t xml:space="preserve"> is the reference density function adjusted by an additive shift. This density has the shape of the reference distribution but the median of the comparison distribution. The adjustment is implemented with </w:t>
      </w:r>
      <m:oMath>
        <m:r>
          <w:rPr>
            <w:rFonts w:ascii="Cambria Math" w:hAnsi="Cambria Math"/>
          </w:rPr>
          <m:t>ρ</m:t>
        </m:r>
      </m:oMath>
      <w:r w:rsidRPr="00536AB4">
        <w:t xml:space="preserve">, which represents the difference between the medians of </w:t>
      </w:r>
      <m:oMath>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r</m:t>
            </m:r>
          </m:sub>
        </m:sSub>
        <m:r>
          <w:rPr>
            <w:rFonts w:ascii="Cambria Math" w:hAnsi="Cambria Math"/>
          </w:rPr>
          <m:t>)</m:t>
        </m:r>
      </m:oMath>
      <w:r w:rsidRPr="00536AB4">
        <w:t xml:space="preserve"> and </w:t>
      </w:r>
      <m:oMath>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r</m:t>
            </m:r>
          </m:sub>
        </m:sSub>
        <m:r>
          <w:rPr>
            <w:rFonts w:ascii="Cambria Math" w:hAnsi="Cambria Math"/>
          </w:rPr>
          <m:t>)</m:t>
        </m:r>
      </m:oMath>
      <w:r w:rsidRPr="00536AB4">
        <w:t>. The first term of Equation 2, therefore, represents the location component, while the second term represents the shape component, i.e., the relative density net of the location effect. The shape component is useful for isolating movements (re-distribution) occurring between the reference and the comparison distributions. Thus, it is possible to determine whether there is polarisation of the income distribution (increases in mass at both tails), ‘downgrading’ (increases in the lower tail), ‘upgrading’ (increases in the upper tail), or convergence of income towards the median (decreases in both tails).</w:t>
      </w:r>
    </w:p>
    <w:p w14:paraId="7819D3B0" w14:textId="77777777" w:rsidR="004D4390" w:rsidRPr="00536AB4" w:rsidRDefault="004D4390" w:rsidP="004D4390">
      <w:pPr>
        <w:pStyle w:val="Bodytextwithindent"/>
        <w:spacing w:after="240"/>
        <w:ind w:firstLine="425"/>
      </w:pPr>
      <w:r w:rsidRPr="00536AB4">
        <w:t xml:space="preserve">The information contained in the shape component of the decomposition can be quantified. The quantity is called the </w:t>
      </w:r>
      <w:r w:rsidRPr="00536AB4">
        <w:rPr>
          <w:i/>
          <w:iCs/>
        </w:rPr>
        <w:t>median relative polarisation</w:t>
      </w:r>
      <w:r w:rsidRPr="00536AB4">
        <w:t xml:space="preserve"> (MRP) index. The index is normalised so that it varies between -1 and +1, with zero representing no shape effect (uniformly </w:t>
      </w:r>
      <w:r w:rsidRPr="00536AB4">
        <w:lastRenderedPageBreak/>
        <w:t>distributed shape component). Positive values represent greater polarisation (i.e., increase in the tail(s) of the comparison distribution relative to the reference distribution) and negative values represent less polarisation (i.e., convergence towards the median). The MRP can be written as</w:t>
      </w:r>
    </w:p>
    <w:p w14:paraId="11DB11A2" w14:textId="77777777" w:rsidR="004D4390" w:rsidRPr="00536AB4" w:rsidRDefault="004D4390" w:rsidP="004D4390">
      <w:pPr>
        <w:jc w:val="right"/>
        <w:rPr>
          <w:rFonts w:eastAsiaTheme="minorEastAsia" w:cs="Times New Roman"/>
          <w:color w:val="000000" w:themeColor="text1"/>
          <w:szCs w:val="24"/>
        </w:rPr>
      </w:pPr>
      <m:oMath>
        <m:r>
          <w:rPr>
            <w:rFonts w:ascii="Cambria Math" w:eastAsiaTheme="minorEastAsia" w:hAnsi="Cambria Math" w:cs="Times New Roman"/>
            <w:color w:val="000000" w:themeColor="text1"/>
            <w:szCs w:val="24"/>
          </w:rPr>
          <m:t>MRP=</m:t>
        </m:r>
        <m:r>
          <w:rPr>
            <w:rFonts w:ascii="Cambria Math" w:eastAsiaTheme="minorEastAsia" w:hAnsi="Cambria Math" w:cs="Times New Roman"/>
            <w:szCs w:val="24"/>
          </w:rPr>
          <m:t>4</m:t>
        </m:r>
        <m:nary>
          <m:naryPr>
            <m:limLoc m:val="subSup"/>
            <m:ctrlPr>
              <w:rPr>
                <w:rFonts w:ascii="Cambria Math" w:eastAsiaTheme="minorEastAsia" w:hAnsi="Cambria Math" w:cs="Times New Roman"/>
                <w:i/>
                <w:szCs w:val="24"/>
              </w:rPr>
            </m:ctrlPr>
          </m:naryPr>
          <m:sub>
            <m:r>
              <w:rPr>
                <w:rFonts w:ascii="Cambria Math" w:eastAsiaTheme="minorEastAsia" w:hAnsi="Cambria Math" w:cs="Times New Roman"/>
                <w:szCs w:val="24"/>
              </w:rPr>
              <m:t>0</m:t>
            </m:r>
          </m:sub>
          <m:sup>
            <m:r>
              <w:rPr>
                <w:rFonts w:ascii="Cambria Math" w:eastAsiaTheme="minorEastAsia" w:hAnsi="Cambria Math" w:cs="Times New Roman"/>
                <w:szCs w:val="24"/>
              </w:rPr>
              <m:t>1</m:t>
            </m:r>
          </m:sup>
          <m:e>
            <m:d>
              <m:dPr>
                <m:begChr m:val="|"/>
                <m:endChr m:val="|"/>
                <m:ctrlPr>
                  <w:rPr>
                    <w:rFonts w:ascii="Cambria Math" w:eastAsiaTheme="minorEastAsia" w:hAnsi="Cambria Math" w:cs="Times New Roman"/>
                    <w:i/>
                    <w:szCs w:val="24"/>
                  </w:rPr>
                </m:ctrlPr>
              </m:dPr>
              <m:e>
                <m:r>
                  <w:rPr>
                    <w:rFonts w:ascii="Cambria Math" w:eastAsiaTheme="minorEastAsia" w:hAnsi="Cambria Math" w:cs="Times New Roman"/>
                    <w:szCs w:val="24"/>
                  </w:rPr>
                  <m:t>r-</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2</m:t>
                    </m:r>
                  </m:den>
                </m:f>
              </m:e>
            </m:d>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g</m:t>
                </m:r>
              </m:e>
              <m:sub>
                <m:r>
                  <w:rPr>
                    <w:rFonts w:ascii="Cambria Math" w:eastAsiaTheme="minorEastAsia" w:hAnsi="Cambria Math" w:cs="Times New Roman"/>
                    <w:szCs w:val="24"/>
                  </w:rPr>
                  <m:t>0L</m:t>
                </m:r>
              </m:sub>
            </m:sSub>
            <m:d>
              <m:dPr>
                <m:ctrlPr>
                  <w:rPr>
                    <w:rFonts w:ascii="Cambria Math" w:eastAsiaTheme="minorEastAsia" w:hAnsi="Cambria Math" w:cs="Times New Roman"/>
                    <w:i/>
                    <w:szCs w:val="24"/>
                  </w:rPr>
                </m:ctrlPr>
              </m:dPr>
              <m:e>
                <m:r>
                  <w:rPr>
                    <w:rFonts w:ascii="Cambria Math" w:eastAsiaTheme="minorEastAsia" w:hAnsi="Cambria Math" w:cs="Times New Roman"/>
                    <w:szCs w:val="24"/>
                  </w:rPr>
                  <m:t>r</m:t>
                </m:r>
              </m:e>
            </m:d>
            <m:r>
              <w:rPr>
                <w:rFonts w:ascii="Cambria Math" w:eastAsiaTheme="minorEastAsia" w:hAnsi="Cambria Math" w:cs="Times New Roman"/>
                <w:szCs w:val="24"/>
              </w:rPr>
              <m:t>dr-1</m:t>
            </m:r>
          </m:e>
        </m:nary>
      </m:oMath>
      <w:r w:rsidRPr="00536AB4">
        <w:rPr>
          <w:rFonts w:eastAsiaTheme="minorEastAsia" w:cs="Times New Roman"/>
          <w:szCs w:val="24"/>
        </w:rPr>
        <w:tab/>
      </w:r>
      <w:r w:rsidRPr="00536AB4">
        <w:rPr>
          <w:rFonts w:eastAsiaTheme="minorEastAsia" w:cs="Times New Roman"/>
          <w:szCs w:val="24"/>
        </w:rPr>
        <w:tab/>
      </w:r>
      <w:r w:rsidRPr="00536AB4">
        <w:rPr>
          <w:rFonts w:eastAsiaTheme="minorEastAsia" w:cs="Times New Roman"/>
          <w:szCs w:val="24"/>
        </w:rPr>
        <w:tab/>
      </w:r>
      <w:r w:rsidRPr="00536AB4">
        <w:rPr>
          <w:rFonts w:eastAsiaTheme="minorEastAsia" w:cs="Times New Roman"/>
          <w:szCs w:val="24"/>
        </w:rPr>
        <w:tab/>
        <w:t>(3)</w:t>
      </w:r>
    </w:p>
    <w:p w14:paraId="1C402FB9" w14:textId="77777777" w:rsidR="004D4390" w:rsidRPr="001D6E0D" w:rsidRDefault="004D4390" w:rsidP="004D4390">
      <w:pPr>
        <w:pStyle w:val="Bodytextfirstpara"/>
        <w:spacing w:before="240"/>
        <w:rPr>
          <w:rFonts w:eastAsiaTheme="minorEastAsia"/>
        </w:rPr>
      </w:pPr>
      <w:r w:rsidRPr="00536AB4">
        <w:t xml:space="preserve">Equation 3 shows that values further away from the median are given a greater weight, with weights increasing linearly with distance from the centre. </w:t>
      </w:r>
      <w:r w:rsidRPr="00536AB4">
        <w:rPr>
          <w:rFonts w:eastAsiaTheme="minorEastAsia"/>
        </w:rPr>
        <w:t xml:space="preserve">The index can be interpreted in terms of </w:t>
      </w:r>
      <w:r w:rsidRPr="001D6E0D">
        <w:rPr>
          <w:rFonts w:eastAsiaTheme="minorEastAsia"/>
        </w:rPr>
        <w:t>a proportional shift of mass in the income distribution from central to less central values.</w:t>
      </w:r>
    </w:p>
    <w:p w14:paraId="657384B3" w14:textId="77777777" w:rsidR="004D4390" w:rsidRPr="001D6E0D" w:rsidRDefault="004D4390" w:rsidP="004D4390">
      <w:pPr>
        <w:pStyle w:val="Bodytextwithindent"/>
        <w:spacing w:after="240"/>
      </w:pPr>
      <w:r w:rsidRPr="001D6E0D">
        <w:t>The polarisation index can be additively decomposed. This decomposition shows, if the polarisation represents movement of mass towards the lower or upper tail, the lower and upper relative polarisation indices (LRP and URP, respectively) are given by</w:t>
      </w:r>
    </w:p>
    <w:p w14:paraId="1BB6C595" w14:textId="77777777" w:rsidR="004D4390" w:rsidRPr="001D6E0D" w:rsidRDefault="004D4390" w:rsidP="004D4390">
      <w:pPr>
        <w:jc w:val="right"/>
        <w:rPr>
          <w:rFonts w:ascii="Times New Roman" w:eastAsiaTheme="minorEastAsia" w:hAnsi="Times New Roman" w:cs="Times New Roman"/>
          <w:sz w:val="24"/>
          <w:szCs w:val="24"/>
        </w:rPr>
      </w:pPr>
      <m:oMath>
        <m:r>
          <w:rPr>
            <w:rFonts w:ascii="Cambria Math" w:eastAsiaTheme="minorEastAsia" w:hAnsi="Cambria Math" w:cs="Times New Roman"/>
            <w:sz w:val="24"/>
            <w:szCs w:val="24"/>
          </w:rPr>
          <m:t>LRP=8</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0L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dr-1</m:t>
            </m:r>
          </m:e>
        </m:nary>
      </m:oMath>
      <w:r w:rsidRPr="001D6E0D">
        <w:rPr>
          <w:rFonts w:ascii="Times New Roman" w:eastAsiaTheme="minorEastAsia" w:hAnsi="Times New Roman" w:cs="Times New Roman"/>
          <w:sz w:val="24"/>
          <w:szCs w:val="24"/>
        </w:rPr>
        <w:tab/>
      </w:r>
      <w:r w:rsidRPr="001D6E0D">
        <w:rPr>
          <w:rFonts w:ascii="Times New Roman" w:eastAsiaTheme="minorEastAsia" w:hAnsi="Times New Roman" w:cs="Times New Roman"/>
          <w:sz w:val="24"/>
          <w:szCs w:val="24"/>
        </w:rPr>
        <w:tab/>
      </w:r>
      <w:r w:rsidRPr="001D6E0D">
        <w:rPr>
          <w:rFonts w:ascii="Times New Roman" w:eastAsiaTheme="minorEastAsia" w:hAnsi="Times New Roman" w:cs="Times New Roman"/>
          <w:sz w:val="24"/>
          <w:szCs w:val="24"/>
        </w:rPr>
        <w:tab/>
      </w:r>
      <w:r w:rsidRPr="001D6E0D">
        <w:rPr>
          <w:rFonts w:ascii="Times New Roman" w:eastAsiaTheme="minorEastAsia" w:hAnsi="Times New Roman" w:cs="Times New Roman"/>
          <w:sz w:val="24"/>
          <w:szCs w:val="24"/>
        </w:rPr>
        <w:tab/>
        <w:t>(4)</w:t>
      </w:r>
    </w:p>
    <w:p w14:paraId="4DC6B6F3" w14:textId="77777777" w:rsidR="004D4390" w:rsidRPr="001D6E0D" w:rsidRDefault="004D4390" w:rsidP="004D4390">
      <w:pPr>
        <w:jc w:val="right"/>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URP=</m:t>
        </m:r>
        <m:r>
          <w:rPr>
            <w:rFonts w:ascii="Cambria Math" w:eastAsiaTheme="minorEastAsia" w:hAnsi="Cambria Math" w:cs="Times New Roman"/>
            <w:sz w:val="24"/>
            <w:szCs w:val="24"/>
          </w:rPr>
          <m:t>8</m:t>
        </m:r>
        <m:nary>
          <m:naryPr>
            <m:limLoc m:val="subSup"/>
            <m:ctrlPr>
              <w:rPr>
                <w:rFonts w:ascii="Cambria Math" w:eastAsiaTheme="minorEastAsia" w:hAnsi="Cambria Math" w:cs="Times New Roman"/>
                <w:i/>
                <w:sz w:val="24"/>
                <w:szCs w:val="24"/>
              </w:rPr>
            </m:ctrlPr>
          </m:naryPr>
          <m: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b>
          <m:sup>
            <m:r>
              <w:rPr>
                <w:rFonts w:ascii="Cambria Math" w:eastAsiaTheme="minorEastAsia" w:hAnsi="Cambria Math" w:cs="Times New Roman"/>
                <w:sz w:val="24"/>
                <w:szCs w:val="24"/>
              </w:rPr>
              <m:t>1</m:t>
            </m:r>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0L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dr-1</m:t>
            </m:r>
          </m:e>
        </m:nary>
      </m:oMath>
      <w:r w:rsidRPr="001D6E0D">
        <w:rPr>
          <w:rFonts w:ascii="Times New Roman" w:eastAsiaTheme="minorEastAsia" w:hAnsi="Times New Roman" w:cs="Times New Roman"/>
          <w:sz w:val="24"/>
          <w:szCs w:val="24"/>
        </w:rPr>
        <w:tab/>
      </w:r>
      <w:r w:rsidRPr="001D6E0D">
        <w:rPr>
          <w:rFonts w:ascii="Times New Roman" w:eastAsiaTheme="minorEastAsia" w:hAnsi="Times New Roman" w:cs="Times New Roman"/>
          <w:sz w:val="24"/>
          <w:szCs w:val="24"/>
        </w:rPr>
        <w:tab/>
      </w:r>
      <w:r w:rsidRPr="001D6E0D">
        <w:rPr>
          <w:rFonts w:ascii="Times New Roman" w:eastAsiaTheme="minorEastAsia" w:hAnsi="Times New Roman" w:cs="Times New Roman"/>
          <w:sz w:val="24"/>
          <w:szCs w:val="24"/>
        </w:rPr>
        <w:tab/>
      </w:r>
      <w:r w:rsidRPr="001D6E0D">
        <w:rPr>
          <w:rFonts w:ascii="Times New Roman" w:eastAsiaTheme="minorEastAsia" w:hAnsi="Times New Roman" w:cs="Times New Roman"/>
          <w:sz w:val="24"/>
          <w:szCs w:val="24"/>
        </w:rPr>
        <w:tab/>
        <w:t>(5)</w:t>
      </w:r>
    </w:p>
    <w:p w14:paraId="5B656F9A" w14:textId="77777777" w:rsidR="004D4390" w:rsidRPr="001D6E0D" w:rsidRDefault="004D4390" w:rsidP="004D4390">
      <w:pPr>
        <w:jc w:val="both"/>
        <w:rPr>
          <w:rFonts w:ascii="Times New Roman" w:hAnsi="Times New Roman" w:cs="Times New Roman"/>
          <w:color w:val="000000" w:themeColor="text1"/>
          <w:sz w:val="24"/>
          <w:szCs w:val="24"/>
        </w:rPr>
      </w:pPr>
      <w:r w:rsidRPr="001D6E0D">
        <w:rPr>
          <w:rFonts w:ascii="Times New Roman" w:hAnsi="Times New Roman" w:cs="Times New Roman"/>
          <w:color w:val="000000" w:themeColor="text1"/>
          <w:sz w:val="24"/>
          <w:szCs w:val="24"/>
        </w:rPr>
        <w:t xml:space="preserve">with </w:t>
      </w:r>
      <m:oMath>
        <m:r>
          <w:rPr>
            <w:rFonts w:ascii="Cambria Math" w:hAnsi="Cambria Math" w:cs="Times New Roman"/>
            <w:color w:val="000000" w:themeColor="text1"/>
            <w:sz w:val="24"/>
            <w:szCs w:val="24"/>
          </w:rPr>
          <m:t>MRP=</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(LRP+URP)</m:t>
        </m:r>
      </m:oMath>
      <w:r w:rsidRPr="001D6E0D">
        <w:rPr>
          <w:rFonts w:ascii="Times New Roman" w:eastAsiaTheme="minorEastAsia" w:hAnsi="Times New Roman" w:cs="Times New Roman"/>
          <w:color w:val="000000" w:themeColor="text1"/>
          <w:sz w:val="24"/>
          <w:szCs w:val="24"/>
        </w:rPr>
        <w:t>, like MRP, LRP and URP ranges from -1 to +1.</w:t>
      </w:r>
      <w:r w:rsidRPr="001D6E0D">
        <w:rPr>
          <w:rFonts w:ascii="Times New Roman" w:hAnsi="Times New Roman" w:cs="Times New Roman"/>
          <w:color w:val="000000" w:themeColor="text1"/>
          <w:sz w:val="24"/>
          <w:szCs w:val="24"/>
        </w:rPr>
        <w:t xml:space="preserve"> </w:t>
      </w:r>
    </w:p>
    <w:p w14:paraId="0AECBD52" w14:textId="0FAE7757" w:rsidR="004D4390" w:rsidRDefault="004D4390" w:rsidP="004D4390">
      <w:pPr>
        <w:spacing w:line="360" w:lineRule="auto"/>
        <w:jc w:val="both"/>
        <w:rPr>
          <w:rFonts w:ascii="Times New Roman" w:hAnsi="Times New Roman" w:cs="Times New Roman"/>
          <w:sz w:val="24"/>
          <w:szCs w:val="24"/>
        </w:rPr>
      </w:pPr>
    </w:p>
    <w:p w14:paraId="0BDF2153" w14:textId="77777777" w:rsidR="001D6E0D" w:rsidRPr="00536AB4" w:rsidRDefault="001D6E0D" w:rsidP="001D6E0D">
      <w:pPr>
        <w:pStyle w:val="Heading2"/>
        <w:rPr>
          <w:rFonts w:ascii="Times New Roman" w:hAnsi="Times New Roman"/>
        </w:rPr>
      </w:pPr>
      <w:r w:rsidRPr="00536AB4">
        <w:rPr>
          <w:rFonts w:ascii="Times New Roman" w:hAnsi="Times New Roman"/>
        </w:rPr>
        <w:t>Blinder-Oaxaca type decomposition of location and shape differences</w:t>
      </w:r>
    </w:p>
    <w:p w14:paraId="0A0E16BE" w14:textId="77777777" w:rsidR="001D6E0D" w:rsidRPr="00536AB4" w:rsidRDefault="001D6E0D" w:rsidP="001D6E0D">
      <w:pPr>
        <w:pStyle w:val="Bodytextfirstpara"/>
        <w:spacing w:after="240"/>
      </w:pPr>
      <w:r w:rsidRPr="00536AB4">
        <w:t xml:space="preserve">Clementi, Molini, and Schettino (2018) introduce a methodology for analysing the effects of covariates on the observed distributional changes due to both the location and shape shifts. Their approach integrates the relative distribution approach with the approach for decomposing wage differentials (Firpo et al., 2009), which makes use of Regression Influence Function (RIF) regressions. By this method, unconditional quantile regression is used to perform an aggregate decomposition of the location and shape differences. The decomposition separates the total difference at a quantile </w:t>
      </w:r>
      <m:oMath>
        <m:r>
          <w:rPr>
            <w:rFonts w:ascii="Cambria Math" w:hAnsi="Cambria Math"/>
          </w:rPr>
          <m:t>τ</m:t>
        </m:r>
      </m:oMath>
      <w:r w:rsidRPr="00536AB4">
        <w:t xml:space="preserve"> into a component that is due to differences in observable characteristics (endowment effect) and a component that is due to differences in returns </w:t>
      </w:r>
      <w:r w:rsidRPr="00536AB4">
        <w:lastRenderedPageBreak/>
        <w:t>(coefficient effect). This is implemented using the traditional Oaxaca-Blinder decomposition Blinder, 1973: Oaxaca, 1973), which can be written as</w:t>
      </w:r>
    </w:p>
    <w:p w14:paraId="598B233B" w14:textId="77777777" w:rsidR="001D6E0D" w:rsidRPr="00536AB4" w:rsidRDefault="00000000" w:rsidP="001D6E0D">
      <w:pPr>
        <w:jc w:val="right"/>
        <w:rPr>
          <w:rFonts w:eastAsiaTheme="minorEastAsia" w:cs="Times New Roman"/>
        </w:rPr>
      </w:pPr>
      <m:oMath>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τ</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β</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I</m:t>
            </m:r>
          </m:sub>
        </m:sSub>
      </m:oMath>
      <w:r w:rsidR="001D6E0D" w:rsidRPr="00536AB4">
        <w:rPr>
          <w:rFonts w:eastAsiaTheme="minorEastAsia" w:cs="Times New Roman"/>
        </w:rPr>
        <w:tab/>
      </w:r>
      <w:r w:rsidR="001D6E0D" w:rsidRPr="00536AB4">
        <w:rPr>
          <w:rFonts w:eastAsiaTheme="minorEastAsia" w:cs="Times New Roman"/>
        </w:rPr>
        <w:tab/>
      </w:r>
      <w:r w:rsidR="001D6E0D" w:rsidRPr="00536AB4">
        <w:rPr>
          <w:rFonts w:eastAsiaTheme="minorEastAsia" w:cs="Times New Roman"/>
        </w:rPr>
        <w:tab/>
      </w:r>
      <w:r w:rsidR="001D6E0D" w:rsidRPr="00536AB4">
        <w:rPr>
          <w:rFonts w:eastAsiaTheme="minorEastAsia" w:cs="Times New Roman"/>
        </w:rPr>
        <w:tab/>
      </w:r>
      <w:r w:rsidR="001D6E0D" w:rsidRPr="00536AB4">
        <w:rPr>
          <w:rFonts w:eastAsiaTheme="minorEastAsia" w:cs="Times New Roman"/>
        </w:rPr>
        <w:tab/>
        <w:t>(6)</w:t>
      </w:r>
    </w:p>
    <w:p w14:paraId="49D36EB7" w14:textId="77777777" w:rsidR="001D6E0D" w:rsidRPr="00536AB4" w:rsidRDefault="001D6E0D" w:rsidP="001D6E0D">
      <w:pPr>
        <w:pStyle w:val="Bodytextfirstpara"/>
        <w:spacing w:before="240"/>
      </w:pPr>
      <w:r w:rsidRPr="00536AB4">
        <w:t xml:space="preserve">where </w:t>
      </w:r>
      <m:oMath>
        <m:sSub>
          <m:sSubPr>
            <m:ctrlPr>
              <w:rPr>
                <w:rFonts w:ascii="Cambria Math" w:hAnsi="Cambria Math"/>
                <w:i/>
              </w:rPr>
            </m:ctrlPr>
          </m:sSubPr>
          <m:e>
            <m:r>
              <w:rPr>
                <w:rFonts w:ascii="Cambria Math" w:hAnsi="Cambria Math"/>
              </w:rPr>
              <m:t>∆</m:t>
            </m:r>
          </m:e>
          <m:sub>
            <m:r>
              <w:rPr>
                <w:rFonts w:ascii="Cambria Math" w:hAnsi="Cambria Math"/>
              </w:rPr>
              <m:t>τ</m:t>
            </m:r>
          </m:sub>
        </m:sSub>
      </m:oMath>
      <w:r w:rsidRPr="00536AB4">
        <w:t xml:space="preserve"> represent the total difference between the distributions being compared at quantile </w:t>
      </w:r>
      <m:oMath>
        <m:r>
          <w:rPr>
            <w:rFonts w:ascii="Cambria Math" w:hAnsi="Cambria Math"/>
          </w:rPr>
          <m:t>τ</m:t>
        </m:r>
      </m:oMath>
      <w:r w:rsidRPr="00536AB4">
        <w:t xml:space="preserve">,  </w:t>
      </w:r>
      <m:oMath>
        <m:sSub>
          <m:sSubPr>
            <m:ctrlPr>
              <w:rPr>
                <w:rFonts w:ascii="Cambria Math" w:hAnsi="Cambria Math"/>
                <w:i/>
              </w:rPr>
            </m:ctrlPr>
          </m:sSubPr>
          <m:e>
            <m:r>
              <w:rPr>
                <w:rFonts w:ascii="Cambria Math" w:hAnsi="Cambria Math"/>
              </w:rPr>
              <m:t>∆</m:t>
            </m:r>
          </m:e>
          <m:sub>
            <m:r>
              <w:rPr>
                <w:rFonts w:ascii="Cambria Math" w:hAnsi="Cambria Math"/>
              </w:rPr>
              <m:t>X</m:t>
            </m:r>
          </m:sub>
        </m:sSub>
      </m:oMath>
      <w:r w:rsidRPr="00536AB4">
        <w:t xml:space="preserve"> represents the endowment effect, </w:t>
      </w:r>
      <m:oMath>
        <m:sSub>
          <m:sSubPr>
            <m:ctrlPr>
              <w:rPr>
                <w:rFonts w:ascii="Cambria Math" w:hAnsi="Cambria Math"/>
                <w:i/>
              </w:rPr>
            </m:ctrlPr>
          </m:sSubPr>
          <m:e>
            <m:r>
              <w:rPr>
                <w:rFonts w:ascii="Cambria Math" w:hAnsi="Cambria Math"/>
              </w:rPr>
              <m:t>∆</m:t>
            </m:r>
          </m:e>
          <m:sub>
            <m:r>
              <w:rPr>
                <w:rFonts w:ascii="Cambria Math" w:hAnsi="Cambria Math"/>
              </w:rPr>
              <m:t>β</m:t>
            </m:r>
          </m:sub>
        </m:sSub>
      </m:oMath>
      <w:r w:rsidRPr="00536AB4">
        <w:t xml:space="preserve"> represents the coefficient effect and </w:t>
      </w:r>
      <m:oMath>
        <m:sSub>
          <m:sSubPr>
            <m:ctrlPr>
              <w:rPr>
                <w:rFonts w:ascii="Cambria Math" w:hAnsi="Cambria Math"/>
                <w:i/>
              </w:rPr>
            </m:ctrlPr>
          </m:sSubPr>
          <m:e>
            <m:r>
              <w:rPr>
                <w:rFonts w:ascii="Cambria Math" w:hAnsi="Cambria Math"/>
              </w:rPr>
              <m:t>∆</m:t>
            </m:r>
          </m:e>
          <m:sub>
            <m:r>
              <w:rPr>
                <w:rFonts w:ascii="Cambria Math" w:hAnsi="Cambria Math"/>
              </w:rPr>
              <m:t>I</m:t>
            </m:r>
          </m:sub>
        </m:sSub>
      </m:oMath>
      <w:r w:rsidRPr="00536AB4">
        <w:t xml:space="preserve"> represents the effect due to interaction between  </w:t>
      </w:r>
      <m:oMath>
        <m:sSub>
          <m:sSubPr>
            <m:ctrlPr>
              <w:rPr>
                <w:rFonts w:ascii="Cambria Math" w:hAnsi="Cambria Math"/>
                <w:i/>
              </w:rPr>
            </m:ctrlPr>
          </m:sSubPr>
          <m:e>
            <m:r>
              <w:rPr>
                <w:rFonts w:ascii="Cambria Math" w:hAnsi="Cambria Math"/>
              </w:rPr>
              <m:t>∆</m:t>
            </m:r>
          </m:e>
          <m:sub>
            <m:r>
              <w:rPr>
                <w:rFonts w:ascii="Cambria Math" w:hAnsi="Cambria Math"/>
              </w:rPr>
              <m:t>X</m:t>
            </m:r>
          </m:sub>
        </m:sSub>
      </m:oMath>
      <w:r w:rsidRPr="00536AB4">
        <w:t xml:space="preserve"> and </w:t>
      </w:r>
      <m:oMath>
        <m:sSub>
          <m:sSubPr>
            <m:ctrlPr>
              <w:rPr>
                <w:rFonts w:ascii="Cambria Math" w:hAnsi="Cambria Math"/>
                <w:i/>
              </w:rPr>
            </m:ctrlPr>
          </m:sSubPr>
          <m:e>
            <m:r>
              <w:rPr>
                <w:rFonts w:ascii="Cambria Math" w:hAnsi="Cambria Math"/>
              </w:rPr>
              <m:t>∆</m:t>
            </m:r>
          </m:e>
          <m:sub>
            <m:r>
              <w:rPr>
                <w:rFonts w:ascii="Cambria Math" w:hAnsi="Cambria Math"/>
              </w:rPr>
              <m:t>β</m:t>
            </m:r>
          </m:sub>
        </m:sSub>
      </m:oMath>
      <w:r w:rsidRPr="00536AB4">
        <w:t xml:space="preserve">. Furthermore, once the RIF regressions of the </w:t>
      </w:r>
      <m:oMath>
        <m:sSup>
          <m:sSupPr>
            <m:ctrlPr>
              <w:rPr>
                <w:rFonts w:ascii="Cambria Math" w:hAnsi="Cambria Math"/>
                <w:i/>
              </w:rPr>
            </m:ctrlPr>
          </m:sSupPr>
          <m:e>
            <m:r>
              <w:rPr>
                <w:rFonts w:ascii="Cambria Math" w:hAnsi="Cambria Math"/>
              </w:rPr>
              <m:t>τ</m:t>
            </m:r>
          </m:e>
          <m:sup>
            <m:r>
              <w:rPr>
                <w:rFonts w:ascii="Cambria Math" w:hAnsi="Cambria Math"/>
              </w:rPr>
              <m:t>th</m:t>
            </m:r>
          </m:sup>
        </m:sSup>
      </m:oMath>
      <w:r w:rsidRPr="00536AB4">
        <w:t xml:space="preserve"> quantile of comparison and reference distributions have been run, detailed decomposition into contributions attributable to each covariate can be performed. See Clementi, Molini, and Schettino (2018) for a more detailed presentation of this methodology.</w:t>
      </w:r>
    </w:p>
    <w:p w14:paraId="582D020F" w14:textId="77777777" w:rsidR="003D5276" w:rsidRDefault="003D5276" w:rsidP="003D5276">
      <w:pPr>
        <w:pStyle w:val="Bodytextwithindent"/>
        <w:ind w:firstLine="0"/>
      </w:pPr>
    </w:p>
    <w:p w14:paraId="332505DE" w14:textId="5DEE0129" w:rsidR="001D6E0D" w:rsidRPr="003D5276" w:rsidRDefault="003D5276" w:rsidP="004D4390">
      <w:pPr>
        <w:spacing w:line="360" w:lineRule="auto"/>
        <w:jc w:val="both"/>
        <w:rPr>
          <w:rFonts w:ascii="Times New Roman" w:hAnsi="Times New Roman" w:cs="Times New Roman"/>
          <w:b/>
          <w:bCs/>
          <w:sz w:val="24"/>
          <w:szCs w:val="24"/>
        </w:rPr>
      </w:pPr>
      <w:r w:rsidRPr="004F0AC8">
        <w:rPr>
          <w:rFonts w:ascii="Times New Roman" w:hAnsi="Times New Roman" w:cs="Times New Roman"/>
          <w:b/>
          <w:bCs/>
          <w:sz w:val="24"/>
          <w:szCs w:val="24"/>
        </w:rPr>
        <w:t>Section S</w:t>
      </w:r>
      <w:r w:rsidR="00981887">
        <w:rPr>
          <w:rFonts w:ascii="Times New Roman" w:hAnsi="Times New Roman" w:cs="Times New Roman"/>
          <w:b/>
          <w:bCs/>
          <w:sz w:val="24"/>
          <w:szCs w:val="24"/>
        </w:rPr>
        <w:t>3</w:t>
      </w:r>
      <w:r w:rsidR="001D6E0D" w:rsidRPr="00536AB4">
        <w:t xml:space="preserve"> </w:t>
      </w:r>
    </w:p>
    <w:p w14:paraId="36195C1A" w14:textId="0CA52188" w:rsidR="00E661BE" w:rsidRPr="00A82F8A" w:rsidRDefault="003D5276" w:rsidP="00A82F8A">
      <w:pPr>
        <w:pStyle w:val="Bodytextwithindent"/>
      </w:pPr>
      <w:r>
        <w:t>C</w:t>
      </w:r>
      <w:r w:rsidR="00A82F8A">
        <w:t xml:space="preserve">omparing income distribution in April 2020 with the one that prevailed a year later, show that polarizing effect has dissipated but the reversal is weaker than the initial negative effect. </w:t>
      </w:r>
      <w:r w:rsidR="00E661BE">
        <w:rPr>
          <w:color w:val="FF0000"/>
        </w:rPr>
        <w:t xml:space="preserve">Our last analysis makes use of wave 5 of NIDS data and estimate the polarization indices for the shape difference between wave 1 and wave 5 (i.e., shape difference between February 2020 and May 2021). The result is shown </w:t>
      </w:r>
      <w:r w:rsidR="005B05ED">
        <w:rPr>
          <w:color w:val="FF0000"/>
        </w:rPr>
        <w:t>table S3</w:t>
      </w:r>
      <w:r w:rsidR="00E661BE">
        <w:rPr>
          <w:color w:val="FF0000"/>
        </w:rPr>
        <w:t>, compared to the previous results the polarization indices suggests that there has been a reversal of the effect. The negative polarization indices indicate that the movement towards the tails is being reversed a year later. However, we not that this size of this estimates is lower than the size of the estimates in panel 1 (that compares February and April 2020). The indication is that the reversal is not as strong as the original effect even though the original effect took a couple of months, and the reversal has been on for a year.</w:t>
      </w:r>
    </w:p>
    <w:p w14:paraId="05AFF556" w14:textId="03C36359" w:rsidR="00EA627A" w:rsidRDefault="00EA627A" w:rsidP="002A2F9C">
      <w:pPr>
        <w:spacing w:line="360" w:lineRule="auto"/>
        <w:jc w:val="both"/>
        <w:rPr>
          <w:rFonts w:ascii="Times New Roman" w:hAnsi="Times New Roman" w:cs="Times New Roman"/>
          <w:sz w:val="24"/>
          <w:szCs w:val="24"/>
          <w:lang w:val="en-GB"/>
        </w:rPr>
      </w:pPr>
    </w:p>
    <w:p w14:paraId="79C70CDE" w14:textId="2445AE3C" w:rsidR="00775B09" w:rsidRDefault="00775B09" w:rsidP="002A2F9C">
      <w:pPr>
        <w:spacing w:line="360" w:lineRule="auto"/>
        <w:jc w:val="both"/>
        <w:rPr>
          <w:rFonts w:ascii="Times New Roman" w:hAnsi="Times New Roman" w:cs="Times New Roman"/>
          <w:sz w:val="24"/>
          <w:szCs w:val="24"/>
          <w:lang w:val="en-GB"/>
        </w:rPr>
      </w:pPr>
    </w:p>
    <w:p w14:paraId="203A0CBD" w14:textId="1559CE63" w:rsidR="00EA297B" w:rsidRDefault="00EA297B" w:rsidP="002A2F9C">
      <w:pPr>
        <w:spacing w:line="360" w:lineRule="auto"/>
        <w:jc w:val="both"/>
        <w:rPr>
          <w:rFonts w:ascii="Times New Roman" w:hAnsi="Times New Roman" w:cs="Times New Roman"/>
          <w:sz w:val="24"/>
          <w:szCs w:val="24"/>
          <w:lang w:val="en-GB"/>
        </w:rPr>
      </w:pPr>
    </w:p>
    <w:p w14:paraId="314F794B" w14:textId="48A998E6" w:rsidR="005B05ED" w:rsidRPr="005B05ED" w:rsidRDefault="005B05ED" w:rsidP="005B05ED">
      <w:pPr>
        <w:keepNext/>
        <w:spacing w:after="200" w:line="240" w:lineRule="auto"/>
        <w:jc w:val="center"/>
        <w:rPr>
          <w:rFonts w:ascii="Calibri" w:eastAsia="Calibri" w:hAnsi="Calibri" w:cs="Times New Roman"/>
          <w:i/>
          <w:iCs/>
          <w:color w:val="44546A"/>
          <w:szCs w:val="24"/>
        </w:rPr>
      </w:pPr>
      <w:r w:rsidRPr="00887CD1">
        <w:rPr>
          <w:rFonts w:ascii="Calibri" w:eastAsia="Calibri" w:hAnsi="Calibri" w:cs="Times New Roman"/>
          <w:i/>
          <w:iCs/>
          <w:color w:val="44546A"/>
          <w:szCs w:val="24"/>
        </w:rPr>
        <w:lastRenderedPageBreak/>
        <w:t xml:space="preserve">Table </w:t>
      </w:r>
      <w:r>
        <w:rPr>
          <w:rFonts w:ascii="Calibri" w:eastAsia="Calibri" w:hAnsi="Calibri" w:cs="Times New Roman"/>
          <w:i/>
          <w:iCs/>
          <w:color w:val="44546A"/>
          <w:szCs w:val="24"/>
        </w:rPr>
        <w:t>S</w:t>
      </w:r>
      <w:r>
        <w:rPr>
          <w:rFonts w:ascii="Calibri" w:eastAsia="Calibri" w:hAnsi="Calibri" w:cs="Times New Roman"/>
          <w:i/>
          <w:iCs/>
          <w:color w:val="44546A"/>
          <w:szCs w:val="24"/>
        </w:rPr>
        <w:t>3</w:t>
      </w:r>
      <w:r w:rsidRPr="00887CD1">
        <w:rPr>
          <w:rFonts w:ascii="Calibri" w:eastAsia="Calibri" w:hAnsi="Calibri" w:cs="Times New Roman"/>
          <w:i/>
          <w:iCs/>
          <w:color w:val="44546A"/>
          <w:szCs w:val="24"/>
        </w:rPr>
        <w:t>: Polarization Indices (</w:t>
      </w:r>
      <w:r>
        <w:rPr>
          <w:rFonts w:ascii="Calibri" w:eastAsia="Calibri" w:hAnsi="Calibri" w:cs="Times New Roman"/>
          <w:i/>
          <w:iCs/>
          <w:color w:val="44546A"/>
          <w:szCs w:val="24"/>
        </w:rPr>
        <w:t>comparing waves 1 &amp; 5 of NIDS-CRAM</w:t>
      </w:r>
      <w:r w:rsidRPr="00887CD1">
        <w:rPr>
          <w:rFonts w:ascii="Calibri" w:eastAsia="Calibri" w:hAnsi="Calibri" w:cs="Times New Roman"/>
          <w:i/>
          <w:iCs/>
          <w:color w:val="44546A"/>
          <w:szCs w:val="24"/>
        </w:rPr>
        <w:t>)</w:t>
      </w:r>
    </w:p>
    <w:tbl>
      <w:tblPr>
        <w:tblStyle w:val="PlainTable21"/>
        <w:tblW w:w="6083" w:type="dxa"/>
        <w:jc w:val="center"/>
        <w:tblLook w:val="04A0" w:firstRow="1" w:lastRow="0" w:firstColumn="1" w:lastColumn="0" w:noHBand="0" w:noVBand="1"/>
      </w:tblPr>
      <w:tblGrid>
        <w:gridCol w:w="650"/>
        <w:gridCol w:w="682"/>
        <w:gridCol w:w="8"/>
        <w:gridCol w:w="1020"/>
        <w:gridCol w:w="34"/>
        <w:gridCol w:w="684"/>
        <w:gridCol w:w="34"/>
        <w:gridCol w:w="684"/>
        <w:gridCol w:w="34"/>
        <w:gridCol w:w="1222"/>
        <w:gridCol w:w="34"/>
        <w:gridCol w:w="951"/>
        <w:gridCol w:w="46"/>
      </w:tblGrid>
      <w:tr w:rsidR="00EA297B" w:rsidRPr="00887CD1" w14:paraId="606D226C" w14:textId="77777777" w:rsidTr="00EA297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50" w:type="dxa"/>
            <w:noWrap/>
            <w:hideMark/>
          </w:tcPr>
          <w:p w14:paraId="778AD966" w14:textId="77777777" w:rsidR="00EA297B" w:rsidRPr="00887CD1" w:rsidRDefault="00EA297B" w:rsidP="00D46093">
            <w:pPr>
              <w:jc w:val="center"/>
              <w:rPr>
                <w:rFonts w:ascii="Calibri" w:eastAsia="Times New Roman" w:hAnsi="Calibri" w:cs="Times New Roman"/>
                <w:color w:val="000000"/>
                <w:lang w:eastAsia="en-ZA"/>
              </w:rPr>
            </w:pPr>
          </w:p>
        </w:tc>
        <w:tc>
          <w:tcPr>
            <w:tcW w:w="690" w:type="dxa"/>
            <w:gridSpan w:val="2"/>
            <w:noWrap/>
            <w:hideMark/>
          </w:tcPr>
          <w:p w14:paraId="24C31A70" w14:textId="77777777" w:rsidR="00EA297B" w:rsidRPr="00887CD1" w:rsidRDefault="00EA297B" w:rsidP="00D4609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Times New Roman"/>
                <w:color w:val="000000"/>
                <w:lang w:eastAsia="en-ZA"/>
              </w:rPr>
              <w:t>Coef.</w:t>
            </w:r>
          </w:p>
        </w:tc>
        <w:tc>
          <w:tcPr>
            <w:tcW w:w="1054" w:type="dxa"/>
            <w:gridSpan w:val="2"/>
            <w:noWrap/>
            <w:hideMark/>
          </w:tcPr>
          <w:p w14:paraId="6BDA023E" w14:textId="77777777" w:rsidR="00EA297B" w:rsidRPr="00887CD1" w:rsidRDefault="00EA297B" w:rsidP="00D4609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Times New Roman"/>
                <w:color w:val="000000"/>
                <w:lang w:eastAsia="en-ZA"/>
              </w:rPr>
              <w:t>Jackknife</w:t>
            </w:r>
          </w:p>
          <w:p w14:paraId="2594F046" w14:textId="77777777" w:rsidR="00EA297B" w:rsidRPr="00887CD1" w:rsidRDefault="00EA297B" w:rsidP="00D4609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Times New Roman"/>
                <w:color w:val="000000"/>
                <w:lang w:eastAsia="en-ZA"/>
              </w:rPr>
              <w:t>Std. Err.</w:t>
            </w:r>
          </w:p>
        </w:tc>
        <w:tc>
          <w:tcPr>
            <w:tcW w:w="718" w:type="dxa"/>
            <w:gridSpan w:val="2"/>
            <w:noWrap/>
            <w:hideMark/>
          </w:tcPr>
          <w:p w14:paraId="5DD268B2" w14:textId="77777777" w:rsidR="00EA297B" w:rsidRPr="00887CD1" w:rsidRDefault="00EA297B" w:rsidP="00D4609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Times New Roman"/>
                <w:color w:val="000000"/>
                <w:lang w:eastAsia="en-ZA"/>
              </w:rPr>
              <w:t>t</w:t>
            </w:r>
          </w:p>
        </w:tc>
        <w:tc>
          <w:tcPr>
            <w:tcW w:w="718" w:type="dxa"/>
            <w:gridSpan w:val="2"/>
            <w:noWrap/>
            <w:hideMark/>
          </w:tcPr>
          <w:p w14:paraId="6C076880" w14:textId="77777777" w:rsidR="00EA297B" w:rsidRPr="00887CD1" w:rsidRDefault="00EA297B" w:rsidP="00D4609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Times New Roman"/>
                <w:color w:val="000000"/>
                <w:lang w:eastAsia="en-ZA"/>
              </w:rPr>
              <w:t>P&gt;t</w:t>
            </w:r>
          </w:p>
        </w:tc>
        <w:tc>
          <w:tcPr>
            <w:tcW w:w="1256" w:type="dxa"/>
            <w:gridSpan w:val="2"/>
            <w:noWrap/>
            <w:hideMark/>
          </w:tcPr>
          <w:p w14:paraId="7340EFA8" w14:textId="77777777" w:rsidR="00EA297B" w:rsidRPr="00887CD1" w:rsidRDefault="00EA297B" w:rsidP="00D4609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Times New Roman"/>
                <w:color w:val="000000"/>
                <w:lang w:eastAsia="en-ZA"/>
              </w:rPr>
              <w:t>[95% Conf.</w:t>
            </w:r>
          </w:p>
        </w:tc>
        <w:tc>
          <w:tcPr>
            <w:tcW w:w="997" w:type="dxa"/>
            <w:gridSpan w:val="2"/>
            <w:noWrap/>
            <w:hideMark/>
          </w:tcPr>
          <w:p w14:paraId="1D36F54C" w14:textId="77777777" w:rsidR="00EA297B" w:rsidRPr="00887CD1" w:rsidRDefault="00EA297B" w:rsidP="00D4609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ZA"/>
              </w:rPr>
            </w:pPr>
            <w:r w:rsidRPr="00887CD1">
              <w:rPr>
                <w:rFonts w:ascii="Calibri" w:eastAsia="Times New Roman" w:hAnsi="Calibri" w:cs="Times New Roman"/>
                <w:color w:val="000000"/>
                <w:lang w:eastAsia="en-ZA"/>
              </w:rPr>
              <w:t>Interval]</w:t>
            </w:r>
          </w:p>
        </w:tc>
      </w:tr>
      <w:tr w:rsidR="00775B09" w:rsidRPr="00887CD1" w14:paraId="10347CE0" w14:textId="77777777" w:rsidTr="00EA297B">
        <w:trPr>
          <w:gridAfter w:val="1"/>
          <w:cnfStyle w:val="000000100000" w:firstRow="0" w:lastRow="0" w:firstColumn="0" w:lastColumn="0" w:oddVBand="0" w:evenVBand="0" w:oddHBand="1" w:evenHBand="0" w:firstRowFirstColumn="0" w:firstRowLastColumn="0" w:lastRowFirstColumn="0" w:lastRowLastColumn="0"/>
          <w:wAfter w:w="46" w:type="dxa"/>
          <w:trHeight w:val="300"/>
          <w:jc w:val="center"/>
        </w:trPr>
        <w:tc>
          <w:tcPr>
            <w:cnfStyle w:val="001000000000" w:firstRow="0" w:lastRow="0" w:firstColumn="1" w:lastColumn="0" w:oddVBand="0" w:evenVBand="0" w:oddHBand="0" w:evenHBand="0" w:firstRowFirstColumn="0" w:firstRowLastColumn="0" w:lastRowFirstColumn="0" w:lastRowLastColumn="0"/>
            <w:tcW w:w="650" w:type="dxa"/>
            <w:noWrap/>
          </w:tcPr>
          <w:p w14:paraId="686DD54C" w14:textId="77777777" w:rsidR="00775B09" w:rsidRPr="00887CD1" w:rsidRDefault="00775B09" w:rsidP="00D46093">
            <w:pPr>
              <w:rPr>
                <w:rFonts w:ascii="Calibri" w:eastAsia="Times New Roman" w:hAnsi="Calibri" w:cs="Times New Roman"/>
                <w:b w:val="0"/>
                <w:bCs w:val="0"/>
                <w:color w:val="000000"/>
                <w:lang w:eastAsia="en-ZA"/>
              </w:rPr>
            </w:pPr>
          </w:p>
        </w:tc>
        <w:tc>
          <w:tcPr>
            <w:tcW w:w="5387" w:type="dxa"/>
            <w:gridSpan w:val="11"/>
            <w:tcBorders>
              <w:bottom w:val="single" w:sz="4" w:space="0" w:color="auto"/>
            </w:tcBorders>
            <w:noWrap/>
          </w:tcPr>
          <w:p w14:paraId="589CBE11" w14:textId="77777777" w:rsidR="00775B09" w:rsidRPr="00887CD1" w:rsidRDefault="00775B09" w:rsidP="00D460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eastAsia="Times New Roman" w:cs="Times New Roman"/>
                <w:b/>
                <w:bCs/>
                <w:sz w:val="20"/>
                <w:szCs w:val="20"/>
                <w:lang w:eastAsia="en-ZA"/>
              </w:rPr>
              <w:t>Polarization comparing wave 1 &amp; 5</w:t>
            </w:r>
            <w:r w:rsidRPr="00887CD1">
              <w:rPr>
                <w:rFonts w:eastAsia="Times New Roman" w:cs="Times New Roman"/>
                <w:b/>
                <w:bCs/>
                <w:sz w:val="20"/>
                <w:szCs w:val="20"/>
                <w:lang w:eastAsia="en-ZA"/>
              </w:rPr>
              <w:t xml:space="preserve"> (panel </w:t>
            </w:r>
            <w:r>
              <w:rPr>
                <w:rFonts w:eastAsia="Times New Roman" w:cs="Times New Roman"/>
                <w:b/>
                <w:bCs/>
                <w:sz w:val="20"/>
                <w:szCs w:val="20"/>
                <w:lang w:eastAsia="en-ZA"/>
              </w:rPr>
              <w:t>5</w:t>
            </w:r>
            <w:r w:rsidRPr="00887CD1">
              <w:rPr>
                <w:rFonts w:eastAsia="Times New Roman" w:cs="Times New Roman"/>
                <w:b/>
                <w:bCs/>
                <w:sz w:val="20"/>
                <w:szCs w:val="20"/>
                <w:lang w:eastAsia="en-ZA"/>
              </w:rPr>
              <w:t>)</w:t>
            </w:r>
          </w:p>
        </w:tc>
      </w:tr>
      <w:tr w:rsidR="00775B09" w:rsidRPr="00887CD1" w14:paraId="4D35CB31" w14:textId="77777777" w:rsidTr="00EA297B">
        <w:trPr>
          <w:gridAfter w:val="1"/>
          <w:wAfter w:w="46" w:type="dxa"/>
          <w:trHeight w:val="300"/>
          <w:jc w:val="center"/>
        </w:trPr>
        <w:tc>
          <w:tcPr>
            <w:cnfStyle w:val="001000000000" w:firstRow="0" w:lastRow="0" w:firstColumn="1" w:lastColumn="0" w:oddVBand="0" w:evenVBand="0" w:oddHBand="0" w:evenHBand="0" w:firstRowFirstColumn="0" w:firstRowLastColumn="0" w:lastRowFirstColumn="0" w:lastRowLastColumn="0"/>
            <w:tcW w:w="650" w:type="dxa"/>
            <w:noWrap/>
          </w:tcPr>
          <w:p w14:paraId="48A76A07" w14:textId="77777777" w:rsidR="00775B09" w:rsidRPr="00887CD1" w:rsidRDefault="00775B09" w:rsidP="00D46093">
            <w:pPr>
              <w:rPr>
                <w:rFonts w:ascii="Calibri" w:eastAsia="Times New Roman" w:hAnsi="Calibri" w:cs="Times New Roman"/>
                <w:b w:val="0"/>
                <w:bCs w:val="0"/>
                <w:color w:val="000000"/>
                <w:lang w:eastAsia="en-ZA"/>
              </w:rPr>
            </w:pPr>
            <w:r w:rsidRPr="00887CD1">
              <w:rPr>
                <w:rFonts w:ascii="Calibri" w:eastAsia="Times New Roman" w:hAnsi="Calibri" w:cs="Times New Roman"/>
                <w:color w:val="000000"/>
                <w:lang w:eastAsia="en-ZA"/>
              </w:rPr>
              <w:t>MRP</w:t>
            </w:r>
          </w:p>
        </w:tc>
        <w:tc>
          <w:tcPr>
            <w:tcW w:w="682" w:type="dxa"/>
            <w:tcBorders>
              <w:top w:val="single" w:sz="4" w:space="0" w:color="auto"/>
              <w:left w:val="nil"/>
              <w:bottom w:val="single" w:sz="4" w:space="0" w:color="auto"/>
              <w:right w:val="nil"/>
            </w:tcBorders>
            <w:shd w:val="clear" w:color="auto" w:fill="auto"/>
            <w:noWrap/>
            <w:vAlign w:val="bottom"/>
          </w:tcPr>
          <w:p w14:paraId="599B616A" w14:textId="77777777" w:rsidR="00775B09" w:rsidRPr="00887CD1" w:rsidRDefault="00775B09" w:rsidP="00D4609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hAnsi="Calibri" w:cs="Calibri"/>
                <w:color w:val="000000"/>
              </w:rPr>
              <w:t>-0.07</w:t>
            </w:r>
          </w:p>
        </w:tc>
        <w:tc>
          <w:tcPr>
            <w:tcW w:w="1028" w:type="dxa"/>
            <w:gridSpan w:val="2"/>
            <w:tcBorders>
              <w:top w:val="single" w:sz="4" w:space="0" w:color="auto"/>
              <w:left w:val="nil"/>
              <w:bottom w:val="single" w:sz="4" w:space="0" w:color="auto"/>
              <w:right w:val="nil"/>
            </w:tcBorders>
            <w:shd w:val="clear" w:color="auto" w:fill="auto"/>
            <w:noWrap/>
            <w:vAlign w:val="bottom"/>
          </w:tcPr>
          <w:p w14:paraId="38F4F54D" w14:textId="77777777" w:rsidR="00775B09" w:rsidRPr="00887CD1" w:rsidRDefault="00775B09" w:rsidP="00D4609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hAnsi="Calibri" w:cs="Calibri"/>
                <w:color w:val="000000"/>
              </w:rPr>
              <w:t>0.03</w:t>
            </w:r>
          </w:p>
        </w:tc>
        <w:tc>
          <w:tcPr>
            <w:tcW w:w="718" w:type="dxa"/>
            <w:gridSpan w:val="2"/>
            <w:tcBorders>
              <w:top w:val="single" w:sz="4" w:space="0" w:color="auto"/>
              <w:left w:val="nil"/>
              <w:bottom w:val="single" w:sz="4" w:space="0" w:color="auto"/>
              <w:right w:val="nil"/>
            </w:tcBorders>
            <w:shd w:val="clear" w:color="auto" w:fill="auto"/>
            <w:noWrap/>
            <w:vAlign w:val="bottom"/>
          </w:tcPr>
          <w:p w14:paraId="287363FD" w14:textId="77777777" w:rsidR="00775B09" w:rsidRPr="00887CD1" w:rsidRDefault="00775B09" w:rsidP="00D4609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hAnsi="Calibri" w:cs="Calibri"/>
                <w:color w:val="000000"/>
              </w:rPr>
              <w:t>-2.76</w:t>
            </w:r>
          </w:p>
        </w:tc>
        <w:tc>
          <w:tcPr>
            <w:tcW w:w="718" w:type="dxa"/>
            <w:gridSpan w:val="2"/>
            <w:tcBorders>
              <w:top w:val="single" w:sz="4" w:space="0" w:color="auto"/>
              <w:left w:val="nil"/>
              <w:bottom w:val="single" w:sz="4" w:space="0" w:color="auto"/>
              <w:right w:val="nil"/>
            </w:tcBorders>
            <w:shd w:val="clear" w:color="auto" w:fill="auto"/>
            <w:noWrap/>
            <w:vAlign w:val="bottom"/>
          </w:tcPr>
          <w:p w14:paraId="6DCFB2A8" w14:textId="77777777" w:rsidR="00775B09" w:rsidRPr="00887CD1" w:rsidRDefault="00775B09" w:rsidP="00D4609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hAnsi="Calibri" w:cs="Calibri"/>
                <w:color w:val="000000"/>
              </w:rPr>
              <w:t>0.01</w:t>
            </w:r>
          </w:p>
        </w:tc>
        <w:tc>
          <w:tcPr>
            <w:tcW w:w="1256" w:type="dxa"/>
            <w:gridSpan w:val="2"/>
            <w:tcBorders>
              <w:top w:val="single" w:sz="4" w:space="0" w:color="auto"/>
              <w:left w:val="nil"/>
              <w:bottom w:val="single" w:sz="4" w:space="0" w:color="auto"/>
              <w:right w:val="nil"/>
            </w:tcBorders>
            <w:shd w:val="clear" w:color="auto" w:fill="auto"/>
            <w:noWrap/>
            <w:vAlign w:val="bottom"/>
          </w:tcPr>
          <w:p w14:paraId="5405B763" w14:textId="77777777" w:rsidR="00775B09" w:rsidRPr="00887CD1" w:rsidRDefault="00775B09" w:rsidP="00D4609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hAnsi="Calibri" w:cs="Calibri"/>
                <w:color w:val="000000"/>
              </w:rPr>
              <w:t>-0.13</w:t>
            </w:r>
          </w:p>
        </w:tc>
        <w:tc>
          <w:tcPr>
            <w:tcW w:w="985" w:type="dxa"/>
            <w:gridSpan w:val="2"/>
            <w:tcBorders>
              <w:top w:val="single" w:sz="4" w:space="0" w:color="auto"/>
              <w:left w:val="nil"/>
              <w:bottom w:val="single" w:sz="4" w:space="0" w:color="auto"/>
              <w:right w:val="nil"/>
            </w:tcBorders>
            <w:shd w:val="clear" w:color="auto" w:fill="auto"/>
            <w:noWrap/>
            <w:vAlign w:val="bottom"/>
          </w:tcPr>
          <w:p w14:paraId="7A594194" w14:textId="77777777" w:rsidR="00775B09" w:rsidRPr="00887CD1" w:rsidRDefault="00775B09" w:rsidP="00D4609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hAnsi="Calibri" w:cs="Calibri"/>
                <w:color w:val="000000"/>
              </w:rPr>
              <w:t>-0.02</w:t>
            </w:r>
          </w:p>
        </w:tc>
      </w:tr>
      <w:tr w:rsidR="00775B09" w:rsidRPr="00887CD1" w14:paraId="578EB5B5" w14:textId="77777777" w:rsidTr="00EA297B">
        <w:trPr>
          <w:gridAfter w:val="1"/>
          <w:cnfStyle w:val="000000100000" w:firstRow="0" w:lastRow="0" w:firstColumn="0" w:lastColumn="0" w:oddVBand="0" w:evenVBand="0" w:oddHBand="1" w:evenHBand="0" w:firstRowFirstColumn="0" w:firstRowLastColumn="0" w:lastRowFirstColumn="0" w:lastRowLastColumn="0"/>
          <w:wAfter w:w="46" w:type="dxa"/>
          <w:trHeight w:val="300"/>
          <w:jc w:val="center"/>
        </w:trPr>
        <w:tc>
          <w:tcPr>
            <w:cnfStyle w:val="001000000000" w:firstRow="0" w:lastRow="0" w:firstColumn="1" w:lastColumn="0" w:oddVBand="0" w:evenVBand="0" w:oddHBand="0" w:evenHBand="0" w:firstRowFirstColumn="0" w:firstRowLastColumn="0" w:lastRowFirstColumn="0" w:lastRowLastColumn="0"/>
            <w:tcW w:w="650" w:type="dxa"/>
            <w:noWrap/>
          </w:tcPr>
          <w:p w14:paraId="23C0FD88" w14:textId="77777777" w:rsidR="00775B09" w:rsidRPr="00887CD1" w:rsidRDefault="00775B09" w:rsidP="00D46093">
            <w:pPr>
              <w:rPr>
                <w:rFonts w:ascii="Calibri" w:eastAsia="Times New Roman" w:hAnsi="Calibri" w:cs="Times New Roman"/>
                <w:b w:val="0"/>
                <w:bCs w:val="0"/>
                <w:color w:val="000000"/>
                <w:lang w:eastAsia="en-ZA"/>
              </w:rPr>
            </w:pPr>
            <w:r w:rsidRPr="00887CD1">
              <w:rPr>
                <w:rFonts w:ascii="Calibri" w:eastAsia="Times New Roman" w:hAnsi="Calibri" w:cs="Times New Roman"/>
                <w:color w:val="000000"/>
                <w:lang w:eastAsia="en-ZA"/>
              </w:rPr>
              <w:t>LRP</w:t>
            </w:r>
          </w:p>
        </w:tc>
        <w:tc>
          <w:tcPr>
            <w:tcW w:w="682" w:type="dxa"/>
            <w:tcBorders>
              <w:top w:val="single" w:sz="4" w:space="0" w:color="auto"/>
              <w:left w:val="nil"/>
              <w:bottom w:val="single" w:sz="4" w:space="0" w:color="auto"/>
              <w:right w:val="nil"/>
            </w:tcBorders>
            <w:shd w:val="clear" w:color="auto" w:fill="auto"/>
            <w:noWrap/>
            <w:vAlign w:val="bottom"/>
          </w:tcPr>
          <w:p w14:paraId="3DCAFF02" w14:textId="77777777" w:rsidR="00775B09" w:rsidRPr="00887CD1" w:rsidRDefault="00775B09" w:rsidP="00D4609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hAnsi="Calibri" w:cs="Calibri"/>
                <w:color w:val="000000"/>
              </w:rPr>
              <w:t>-0.12</w:t>
            </w:r>
          </w:p>
        </w:tc>
        <w:tc>
          <w:tcPr>
            <w:tcW w:w="1028" w:type="dxa"/>
            <w:gridSpan w:val="2"/>
            <w:tcBorders>
              <w:top w:val="single" w:sz="4" w:space="0" w:color="auto"/>
              <w:left w:val="nil"/>
              <w:bottom w:val="single" w:sz="4" w:space="0" w:color="auto"/>
              <w:right w:val="nil"/>
            </w:tcBorders>
            <w:shd w:val="clear" w:color="auto" w:fill="auto"/>
            <w:noWrap/>
            <w:vAlign w:val="bottom"/>
          </w:tcPr>
          <w:p w14:paraId="2FA5B6D6" w14:textId="77777777" w:rsidR="00775B09" w:rsidRPr="00887CD1" w:rsidRDefault="00775B09" w:rsidP="00D4609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hAnsi="Calibri" w:cs="Calibri"/>
                <w:color w:val="000000"/>
              </w:rPr>
              <w:t>0.05</w:t>
            </w:r>
          </w:p>
        </w:tc>
        <w:tc>
          <w:tcPr>
            <w:tcW w:w="718" w:type="dxa"/>
            <w:gridSpan w:val="2"/>
            <w:tcBorders>
              <w:top w:val="single" w:sz="4" w:space="0" w:color="auto"/>
              <w:left w:val="nil"/>
              <w:bottom w:val="single" w:sz="4" w:space="0" w:color="auto"/>
              <w:right w:val="nil"/>
            </w:tcBorders>
            <w:shd w:val="clear" w:color="auto" w:fill="auto"/>
            <w:noWrap/>
            <w:vAlign w:val="bottom"/>
          </w:tcPr>
          <w:p w14:paraId="0363F1AF" w14:textId="77777777" w:rsidR="00775B09" w:rsidRPr="00887CD1" w:rsidRDefault="00775B09" w:rsidP="00D4609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hAnsi="Calibri" w:cs="Calibri"/>
                <w:color w:val="000000"/>
              </w:rPr>
              <w:t>-2.66</w:t>
            </w:r>
          </w:p>
        </w:tc>
        <w:tc>
          <w:tcPr>
            <w:tcW w:w="718" w:type="dxa"/>
            <w:gridSpan w:val="2"/>
            <w:tcBorders>
              <w:top w:val="single" w:sz="4" w:space="0" w:color="auto"/>
              <w:left w:val="nil"/>
              <w:bottom w:val="single" w:sz="4" w:space="0" w:color="auto"/>
              <w:right w:val="nil"/>
            </w:tcBorders>
            <w:shd w:val="clear" w:color="auto" w:fill="auto"/>
            <w:noWrap/>
            <w:vAlign w:val="bottom"/>
          </w:tcPr>
          <w:p w14:paraId="2C3B740F" w14:textId="77777777" w:rsidR="00775B09" w:rsidRPr="00887CD1" w:rsidRDefault="00775B09" w:rsidP="00D4609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hAnsi="Calibri" w:cs="Calibri"/>
                <w:color w:val="000000"/>
              </w:rPr>
              <w:t>0.01</w:t>
            </w:r>
          </w:p>
        </w:tc>
        <w:tc>
          <w:tcPr>
            <w:tcW w:w="1256" w:type="dxa"/>
            <w:gridSpan w:val="2"/>
            <w:tcBorders>
              <w:top w:val="single" w:sz="4" w:space="0" w:color="auto"/>
              <w:left w:val="nil"/>
              <w:bottom w:val="single" w:sz="4" w:space="0" w:color="auto"/>
              <w:right w:val="nil"/>
            </w:tcBorders>
            <w:shd w:val="clear" w:color="auto" w:fill="auto"/>
            <w:noWrap/>
            <w:vAlign w:val="bottom"/>
          </w:tcPr>
          <w:p w14:paraId="7FE020BD" w14:textId="77777777" w:rsidR="00775B09" w:rsidRPr="00887CD1" w:rsidRDefault="00775B09" w:rsidP="00D4609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hAnsi="Calibri" w:cs="Calibri"/>
                <w:color w:val="000000"/>
              </w:rPr>
              <w:t>-0.21</w:t>
            </w:r>
          </w:p>
        </w:tc>
        <w:tc>
          <w:tcPr>
            <w:tcW w:w="985" w:type="dxa"/>
            <w:gridSpan w:val="2"/>
            <w:tcBorders>
              <w:top w:val="single" w:sz="4" w:space="0" w:color="auto"/>
              <w:left w:val="nil"/>
              <w:bottom w:val="single" w:sz="4" w:space="0" w:color="auto"/>
              <w:right w:val="nil"/>
            </w:tcBorders>
            <w:shd w:val="clear" w:color="auto" w:fill="auto"/>
            <w:noWrap/>
            <w:vAlign w:val="bottom"/>
          </w:tcPr>
          <w:p w14:paraId="5454E2D4" w14:textId="77777777" w:rsidR="00775B09" w:rsidRPr="00887CD1" w:rsidRDefault="00775B09" w:rsidP="00D4609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hAnsi="Calibri" w:cs="Calibri"/>
                <w:color w:val="000000"/>
              </w:rPr>
              <w:t>-0.03</w:t>
            </w:r>
          </w:p>
        </w:tc>
      </w:tr>
      <w:tr w:rsidR="00775B09" w:rsidRPr="00887CD1" w14:paraId="381D92F2" w14:textId="77777777" w:rsidTr="00EA297B">
        <w:trPr>
          <w:gridAfter w:val="1"/>
          <w:wAfter w:w="46" w:type="dxa"/>
          <w:trHeight w:val="300"/>
          <w:jc w:val="center"/>
        </w:trPr>
        <w:tc>
          <w:tcPr>
            <w:cnfStyle w:val="001000000000" w:firstRow="0" w:lastRow="0" w:firstColumn="1" w:lastColumn="0" w:oddVBand="0" w:evenVBand="0" w:oddHBand="0" w:evenHBand="0" w:firstRowFirstColumn="0" w:firstRowLastColumn="0" w:lastRowFirstColumn="0" w:lastRowLastColumn="0"/>
            <w:tcW w:w="650" w:type="dxa"/>
            <w:noWrap/>
            <w:hideMark/>
          </w:tcPr>
          <w:p w14:paraId="18DDC0AA" w14:textId="77777777" w:rsidR="00775B09" w:rsidRPr="00887CD1" w:rsidRDefault="00775B09" w:rsidP="00D46093">
            <w:pPr>
              <w:jc w:val="right"/>
              <w:rPr>
                <w:rFonts w:ascii="Calibri" w:eastAsia="Times New Roman" w:hAnsi="Calibri" w:cs="Times New Roman"/>
                <w:color w:val="000000"/>
                <w:lang w:eastAsia="en-ZA"/>
              </w:rPr>
            </w:pPr>
            <w:r w:rsidRPr="00887CD1">
              <w:rPr>
                <w:rFonts w:ascii="Calibri" w:eastAsia="Times New Roman" w:hAnsi="Calibri" w:cs="Times New Roman"/>
                <w:color w:val="000000"/>
                <w:lang w:eastAsia="en-ZA"/>
              </w:rPr>
              <w:t>URP</w:t>
            </w:r>
          </w:p>
        </w:tc>
        <w:tc>
          <w:tcPr>
            <w:tcW w:w="682" w:type="dxa"/>
            <w:tcBorders>
              <w:top w:val="single" w:sz="4" w:space="0" w:color="auto"/>
              <w:left w:val="nil"/>
              <w:bottom w:val="single" w:sz="4" w:space="0" w:color="auto"/>
              <w:right w:val="nil"/>
            </w:tcBorders>
            <w:shd w:val="clear" w:color="auto" w:fill="auto"/>
            <w:noWrap/>
            <w:vAlign w:val="bottom"/>
            <w:hideMark/>
          </w:tcPr>
          <w:p w14:paraId="0E35006B" w14:textId="77777777" w:rsidR="00775B09" w:rsidRPr="00887CD1" w:rsidRDefault="00775B09" w:rsidP="00D4609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ZA"/>
              </w:rPr>
            </w:pPr>
            <w:r>
              <w:rPr>
                <w:rFonts w:ascii="Calibri" w:hAnsi="Calibri" w:cs="Calibri"/>
                <w:color w:val="000000"/>
              </w:rPr>
              <w:t>-0.03</w:t>
            </w:r>
          </w:p>
        </w:tc>
        <w:tc>
          <w:tcPr>
            <w:tcW w:w="1028" w:type="dxa"/>
            <w:gridSpan w:val="2"/>
            <w:tcBorders>
              <w:top w:val="single" w:sz="4" w:space="0" w:color="auto"/>
              <w:left w:val="nil"/>
              <w:bottom w:val="single" w:sz="4" w:space="0" w:color="auto"/>
              <w:right w:val="nil"/>
            </w:tcBorders>
            <w:shd w:val="clear" w:color="auto" w:fill="auto"/>
            <w:noWrap/>
            <w:vAlign w:val="bottom"/>
            <w:hideMark/>
          </w:tcPr>
          <w:p w14:paraId="225DC75D" w14:textId="77777777" w:rsidR="00775B09" w:rsidRPr="00887CD1" w:rsidRDefault="00775B09" w:rsidP="00D4609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ZA"/>
              </w:rPr>
            </w:pPr>
            <w:r>
              <w:rPr>
                <w:rFonts w:ascii="Calibri" w:hAnsi="Calibri" w:cs="Calibri"/>
                <w:color w:val="000000"/>
              </w:rPr>
              <w:t>0.05</w:t>
            </w:r>
          </w:p>
        </w:tc>
        <w:tc>
          <w:tcPr>
            <w:tcW w:w="718" w:type="dxa"/>
            <w:gridSpan w:val="2"/>
            <w:tcBorders>
              <w:top w:val="single" w:sz="4" w:space="0" w:color="auto"/>
              <w:left w:val="nil"/>
              <w:bottom w:val="single" w:sz="4" w:space="0" w:color="auto"/>
              <w:right w:val="nil"/>
            </w:tcBorders>
            <w:shd w:val="clear" w:color="auto" w:fill="auto"/>
            <w:noWrap/>
            <w:vAlign w:val="bottom"/>
            <w:hideMark/>
          </w:tcPr>
          <w:p w14:paraId="02B600FF" w14:textId="77777777" w:rsidR="00775B09" w:rsidRPr="00887CD1" w:rsidRDefault="00775B09" w:rsidP="00D4609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ZA"/>
              </w:rPr>
            </w:pPr>
            <w:r>
              <w:rPr>
                <w:rFonts w:ascii="Calibri" w:hAnsi="Calibri" w:cs="Calibri"/>
                <w:color w:val="000000"/>
              </w:rPr>
              <w:t>-0.47</w:t>
            </w:r>
          </w:p>
        </w:tc>
        <w:tc>
          <w:tcPr>
            <w:tcW w:w="718" w:type="dxa"/>
            <w:gridSpan w:val="2"/>
            <w:tcBorders>
              <w:top w:val="single" w:sz="4" w:space="0" w:color="auto"/>
              <w:left w:val="nil"/>
              <w:bottom w:val="single" w:sz="4" w:space="0" w:color="auto"/>
              <w:right w:val="nil"/>
            </w:tcBorders>
            <w:shd w:val="clear" w:color="auto" w:fill="auto"/>
            <w:noWrap/>
            <w:vAlign w:val="bottom"/>
            <w:hideMark/>
          </w:tcPr>
          <w:p w14:paraId="1B50F1AF" w14:textId="77777777" w:rsidR="00775B09" w:rsidRPr="00887CD1" w:rsidRDefault="00775B09" w:rsidP="00D4609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ZA"/>
              </w:rPr>
            </w:pPr>
            <w:r>
              <w:rPr>
                <w:rFonts w:ascii="Calibri" w:hAnsi="Calibri" w:cs="Calibri"/>
                <w:color w:val="000000"/>
              </w:rPr>
              <w:t>0.64</w:t>
            </w:r>
          </w:p>
        </w:tc>
        <w:tc>
          <w:tcPr>
            <w:tcW w:w="1256" w:type="dxa"/>
            <w:gridSpan w:val="2"/>
            <w:tcBorders>
              <w:top w:val="single" w:sz="4" w:space="0" w:color="auto"/>
              <w:left w:val="nil"/>
              <w:bottom w:val="single" w:sz="4" w:space="0" w:color="auto"/>
              <w:right w:val="nil"/>
            </w:tcBorders>
            <w:shd w:val="clear" w:color="auto" w:fill="auto"/>
            <w:noWrap/>
            <w:vAlign w:val="bottom"/>
            <w:hideMark/>
          </w:tcPr>
          <w:p w14:paraId="0B547F27" w14:textId="77777777" w:rsidR="00775B09" w:rsidRPr="00887CD1" w:rsidRDefault="00775B09" w:rsidP="00D4609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ZA"/>
              </w:rPr>
            </w:pPr>
            <w:r>
              <w:rPr>
                <w:rFonts w:ascii="Calibri" w:hAnsi="Calibri" w:cs="Calibri"/>
                <w:color w:val="000000"/>
              </w:rPr>
              <w:t>-0.13</w:t>
            </w:r>
          </w:p>
        </w:tc>
        <w:tc>
          <w:tcPr>
            <w:tcW w:w="985" w:type="dxa"/>
            <w:gridSpan w:val="2"/>
            <w:tcBorders>
              <w:top w:val="single" w:sz="4" w:space="0" w:color="auto"/>
              <w:left w:val="nil"/>
              <w:bottom w:val="single" w:sz="4" w:space="0" w:color="auto"/>
              <w:right w:val="nil"/>
            </w:tcBorders>
            <w:shd w:val="clear" w:color="auto" w:fill="auto"/>
            <w:noWrap/>
            <w:vAlign w:val="bottom"/>
            <w:hideMark/>
          </w:tcPr>
          <w:p w14:paraId="439EA49A" w14:textId="77777777" w:rsidR="00775B09" w:rsidRPr="00887CD1" w:rsidRDefault="00775B09" w:rsidP="00D4609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ZA"/>
              </w:rPr>
            </w:pPr>
            <w:r>
              <w:rPr>
                <w:rFonts w:ascii="Calibri" w:hAnsi="Calibri" w:cs="Calibri"/>
                <w:color w:val="000000"/>
              </w:rPr>
              <w:t>0.08</w:t>
            </w:r>
          </w:p>
        </w:tc>
      </w:tr>
    </w:tbl>
    <w:p w14:paraId="5E669ADF" w14:textId="77777777" w:rsidR="00775B09" w:rsidRPr="0040728D" w:rsidRDefault="00775B09" w:rsidP="00775B09">
      <w:pPr>
        <w:spacing w:after="240"/>
        <w:jc w:val="center"/>
        <w:rPr>
          <w:rFonts w:ascii="Calibri" w:eastAsia="Calibri" w:hAnsi="Calibri" w:cs="Times New Roman"/>
          <w:color w:val="000000"/>
          <w:sz w:val="20"/>
          <w:szCs w:val="20"/>
        </w:rPr>
      </w:pPr>
      <w:r w:rsidRPr="00887CD1">
        <w:rPr>
          <w:rFonts w:ascii="Calibri" w:eastAsia="Calibri" w:hAnsi="Calibri" w:cs="Times New Roman"/>
          <w:color w:val="000000"/>
          <w:sz w:val="20"/>
          <w:szCs w:val="20"/>
        </w:rPr>
        <w:t>MPR median polarization index; LRP lower polarization index; URP upper polarization index</w:t>
      </w:r>
    </w:p>
    <w:p w14:paraId="733B21C8" w14:textId="77777777" w:rsidR="002A2F9C" w:rsidRPr="004D4390" w:rsidRDefault="002A2F9C" w:rsidP="004D4390">
      <w:pPr>
        <w:spacing w:line="360" w:lineRule="auto"/>
        <w:jc w:val="both"/>
        <w:rPr>
          <w:rFonts w:ascii="Times New Roman" w:hAnsi="Times New Roman" w:cs="Times New Roman"/>
          <w:sz w:val="24"/>
          <w:szCs w:val="24"/>
        </w:rPr>
      </w:pPr>
    </w:p>
    <w:sectPr w:rsidR="002A2F9C" w:rsidRPr="004D43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95A0" w14:textId="77777777" w:rsidR="003245FE" w:rsidRDefault="003245FE" w:rsidP="004D4390">
      <w:pPr>
        <w:spacing w:after="0" w:line="240" w:lineRule="auto"/>
      </w:pPr>
      <w:r>
        <w:separator/>
      </w:r>
    </w:p>
  </w:endnote>
  <w:endnote w:type="continuationSeparator" w:id="0">
    <w:p w14:paraId="537C7B5C" w14:textId="77777777" w:rsidR="003245FE" w:rsidRDefault="003245FE" w:rsidP="004D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94E3" w14:textId="77777777" w:rsidR="003245FE" w:rsidRDefault="003245FE" w:rsidP="004D4390">
      <w:pPr>
        <w:spacing w:after="0" w:line="240" w:lineRule="auto"/>
      </w:pPr>
      <w:r>
        <w:separator/>
      </w:r>
    </w:p>
  </w:footnote>
  <w:footnote w:type="continuationSeparator" w:id="0">
    <w:p w14:paraId="43240934" w14:textId="77777777" w:rsidR="003245FE" w:rsidRDefault="003245FE" w:rsidP="004D4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07638"/>
    <w:multiLevelType w:val="hybridMultilevel"/>
    <w:tmpl w:val="EE5C03E8"/>
    <w:lvl w:ilvl="0" w:tplc="36F4B1B4">
      <w:start w:val="1"/>
      <w:numFmt w:val="decimal"/>
      <w:pStyle w:val="Listbulle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132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1sDQyMTMzMDMxNTRR0lEKTi0uzszPAykwqwUAeARwdSwAAAA="/>
  </w:docVars>
  <w:rsids>
    <w:rsidRoot w:val="00516F09"/>
    <w:rsid w:val="001D6E0D"/>
    <w:rsid w:val="00272D7B"/>
    <w:rsid w:val="00295A8A"/>
    <w:rsid w:val="002A2F9C"/>
    <w:rsid w:val="003245FE"/>
    <w:rsid w:val="00394ABB"/>
    <w:rsid w:val="003D5276"/>
    <w:rsid w:val="004D113B"/>
    <w:rsid w:val="004D37B9"/>
    <w:rsid w:val="004D4390"/>
    <w:rsid w:val="004F0AC8"/>
    <w:rsid w:val="00516F09"/>
    <w:rsid w:val="005449AC"/>
    <w:rsid w:val="005B05ED"/>
    <w:rsid w:val="007007C8"/>
    <w:rsid w:val="00775B09"/>
    <w:rsid w:val="00780BC6"/>
    <w:rsid w:val="007907F5"/>
    <w:rsid w:val="00811EDD"/>
    <w:rsid w:val="008A7D97"/>
    <w:rsid w:val="008B20D7"/>
    <w:rsid w:val="008F4896"/>
    <w:rsid w:val="00981887"/>
    <w:rsid w:val="00A82F8A"/>
    <w:rsid w:val="00BE18B5"/>
    <w:rsid w:val="00E656EE"/>
    <w:rsid w:val="00E661BE"/>
    <w:rsid w:val="00EA297B"/>
    <w:rsid w:val="00EA60D1"/>
    <w:rsid w:val="00EA62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220A"/>
  <w15:chartTrackingRefBased/>
  <w15:docId w15:val="{938E4374-F6AE-477E-BF1E-ECFD7EBA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5ED"/>
  </w:style>
  <w:style w:type="paragraph" w:styleId="Heading2">
    <w:name w:val="heading 2"/>
    <w:basedOn w:val="Normal"/>
    <w:next w:val="Normal"/>
    <w:link w:val="Heading2Char"/>
    <w:uiPriority w:val="9"/>
    <w:semiHidden/>
    <w:unhideWhenUsed/>
    <w:qFormat/>
    <w:rsid w:val="004D4390"/>
    <w:pPr>
      <w:keepNext/>
      <w:keepLines/>
      <w:spacing w:before="40" w:after="0" w:line="480" w:lineRule="auto"/>
      <w:ind w:firstLine="72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D43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4390"/>
    <w:rPr>
      <w:sz w:val="20"/>
      <w:szCs w:val="20"/>
    </w:rPr>
  </w:style>
  <w:style w:type="character" w:styleId="CommentReference">
    <w:name w:val="annotation reference"/>
    <w:basedOn w:val="DefaultParagraphFont"/>
    <w:uiPriority w:val="99"/>
    <w:semiHidden/>
    <w:unhideWhenUsed/>
    <w:rsid w:val="004D4390"/>
    <w:rPr>
      <w:sz w:val="16"/>
      <w:szCs w:val="16"/>
    </w:rPr>
  </w:style>
  <w:style w:type="paragraph" w:styleId="CommentText">
    <w:name w:val="annotation text"/>
    <w:basedOn w:val="Normal"/>
    <w:link w:val="CommentTextChar"/>
    <w:uiPriority w:val="99"/>
    <w:unhideWhenUsed/>
    <w:rsid w:val="004D4390"/>
    <w:pPr>
      <w:spacing w:after="0" w:line="240" w:lineRule="auto"/>
      <w:ind w:firstLine="720"/>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4D4390"/>
    <w:rPr>
      <w:rFonts w:ascii="Times New Roman" w:hAnsi="Times New Roman"/>
      <w:sz w:val="20"/>
      <w:szCs w:val="20"/>
      <w:lang w:val="en-GB"/>
    </w:rPr>
  </w:style>
  <w:style w:type="character" w:styleId="EndnoteReference">
    <w:name w:val="endnote reference"/>
    <w:basedOn w:val="DefaultParagraphFont"/>
    <w:uiPriority w:val="99"/>
    <w:semiHidden/>
    <w:unhideWhenUsed/>
    <w:rsid w:val="004D4390"/>
    <w:rPr>
      <w:vertAlign w:val="superscript"/>
    </w:rPr>
  </w:style>
  <w:style w:type="character" w:customStyle="1" w:styleId="Heading2Char">
    <w:name w:val="Heading 2 Char"/>
    <w:basedOn w:val="DefaultParagraphFont"/>
    <w:link w:val="Heading2"/>
    <w:uiPriority w:val="9"/>
    <w:semiHidden/>
    <w:rsid w:val="004D4390"/>
    <w:rPr>
      <w:rFonts w:asciiTheme="majorHAnsi" w:eastAsiaTheme="majorEastAsia" w:hAnsiTheme="majorHAnsi" w:cstheme="majorBidi"/>
      <w:color w:val="2F5496" w:themeColor="accent1" w:themeShade="BF"/>
      <w:sz w:val="26"/>
      <w:szCs w:val="26"/>
      <w:lang w:val="en-GB"/>
    </w:rPr>
  </w:style>
  <w:style w:type="paragraph" w:customStyle="1" w:styleId="Bodytextfirstpara">
    <w:name w:val="Body text first para"/>
    <w:basedOn w:val="Normal"/>
    <w:next w:val="Bodytextwithindent"/>
    <w:link w:val="BodytextfirstparaChar"/>
    <w:qFormat/>
    <w:rsid w:val="004D4390"/>
    <w:pPr>
      <w:tabs>
        <w:tab w:val="left" w:pos="9072"/>
      </w:tabs>
      <w:spacing w:after="0" w:line="480" w:lineRule="auto"/>
      <w:jc w:val="both"/>
    </w:pPr>
    <w:rPr>
      <w:rFonts w:ascii="Times New Roman" w:hAnsi="Times New Roman" w:cs="Times New Roman"/>
      <w:sz w:val="24"/>
      <w:szCs w:val="24"/>
      <w:lang w:val="en-GB"/>
    </w:rPr>
  </w:style>
  <w:style w:type="paragraph" w:customStyle="1" w:styleId="Bodytextwithindent">
    <w:name w:val="Body text with indent"/>
    <w:basedOn w:val="Bodytextfirstpara"/>
    <w:qFormat/>
    <w:rsid w:val="004D4390"/>
    <w:pPr>
      <w:ind w:firstLine="426"/>
    </w:pPr>
  </w:style>
  <w:style w:type="character" w:customStyle="1" w:styleId="BodytextfirstparaChar">
    <w:name w:val="Body text first para Char"/>
    <w:basedOn w:val="DefaultParagraphFont"/>
    <w:link w:val="Bodytextfirstpara"/>
    <w:rsid w:val="004D4390"/>
    <w:rPr>
      <w:rFonts w:ascii="Times New Roman" w:hAnsi="Times New Roman" w:cs="Times New Roman"/>
      <w:sz w:val="24"/>
      <w:szCs w:val="24"/>
      <w:lang w:val="en-GB"/>
    </w:rPr>
  </w:style>
  <w:style w:type="table" w:customStyle="1" w:styleId="PlainTable21">
    <w:name w:val="Plain Table 21"/>
    <w:basedOn w:val="TableNormal"/>
    <w:next w:val="PlainTable2"/>
    <w:uiPriority w:val="42"/>
    <w:rsid w:val="00295A8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295A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bulletnumbered">
    <w:name w:val="List bullet numbered"/>
    <w:basedOn w:val="Bodytextfirstpara"/>
    <w:qFormat/>
    <w:rsid w:val="001D6E0D"/>
    <w:pPr>
      <w:numPr>
        <w:numId w:val="1"/>
      </w:numPr>
      <w:tabs>
        <w:tab w:val="num" w:pos="360"/>
      </w:tabs>
      <w:ind w:left="113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Adeola Oyenubi</dc:creator>
  <cp:keywords/>
  <dc:description/>
  <cp:lastModifiedBy>Adeola Oyenubi</cp:lastModifiedBy>
  <cp:revision>9</cp:revision>
  <dcterms:created xsi:type="dcterms:W3CDTF">2022-11-10T18:18:00Z</dcterms:created>
  <dcterms:modified xsi:type="dcterms:W3CDTF">2022-11-19T15:51:00Z</dcterms:modified>
</cp:coreProperties>
</file>