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2D" w:rsidRPr="0096192D" w:rsidRDefault="0096192D" w:rsidP="0018371F">
      <w:pPr>
        <w:spacing w:line="480" w:lineRule="auto"/>
        <w:rPr>
          <w:rFonts w:ascii="Times New Roman" w:hAnsi="Times New Roman" w:cs="Times New Roman"/>
        </w:rPr>
      </w:pPr>
      <w:r>
        <w:rPr>
          <w:rFonts w:ascii="Times New Roman" w:hAnsi="Times New Roman" w:cs="Times New Roman"/>
        </w:rPr>
        <w:t>Construction of the series</w:t>
      </w:r>
    </w:p>
    <w:p w:rsidR="0018371F" w:rsidRPr="0096192D" w:rsidRDefault="0096192D" w:rsidP="0018371F">
      <w:pPr>
        <w:spacing w:line="480" w:lineRule="auto"/>
        <w:rPr>
          <w:rFonts w:ascii="Times New Roman" w:hAnsi="Times New Roman" w:cs="Times New Roman"/>
        </w:rPr>
      </w:pPr>
      <w:r w:rsidRPr="006F2318">
        <w:rPr>
          <w:rFonts w:ascii="Times New Roman" w:hAnsi="Times New Roman" w:cs="Times New Roman"/>
        </w:rPr>
        <w:t>The accounting records of the Bank</w:t>
      </w:r>
      <w:r>
        <w:rPr>
          <w:rFonts w:ascii="Times New Roman" w:hAnsi="Times New Roman" w:cs="Times New Roman"/>
        </w:rPr>
        <w:t xml:space="preserve"> of England</w:t>
      </w:r>
      <w:r w:rsidRPr="006F2318">
        <w:rPr>
          <w:rFonts w:ascii="Times New Roman" w:hAnsi="Times New Roman" w:cs="Times New Roman"/>
        </w:rPr>
        <w:t xml:space="preserve"> go back to </w:t>
      </w:r>
      <w:r>
        <w:rPr>
          <w:rFonts w:ascii="Times New Roman" w:hAnsi="Times New Roman" w:cs="Times New Roman"/>
        </w:rPr>
        <w:t xml:space="preserve">its foundation in </w:t>
      </w:r>
      <w:r w:rsidRPr="006F2318">
        <w:rPr>
          <w:rFonts w:ascii="Times New Roman" w:hAnsi="Times New Roman" w:cs="Times New Roman"/>
        </w:rPr>
        <w:t>1694 and appear to be very complete, but as far as we are aware these have not been discussed in the accounting history literature.</w:t>
      </w:r>
      <w:r>
        <w:rPr>
          <w:rFonts w:ascii="Times New Roman" w:hAnsi="Times New Roman" w:cs="Times New Roman"/>
        </w:rPr>
        <w:t xml:space="preserve"> T</w:t>
      </w:r>
      <w:r w:rsidR="0018371F" w:rsidRPr="0096192D">
        <w:rPr>
          <w:rFonts w:ascii="Times New Roman" w:hAnsi="Times New Roman" w:cs="Times New Roman"/>
        </w:rPr>
        <w:t xml:space="preserve">he primary source used </w:t>
      </w:r>
      <w:r>
        <w:rPr>
          <w:rFonts w:ascii="Times New Roman" w:hAnsi="Times New Roman" w:cs="Times New Roman"/>
        </w:rPr>
        <w:t xml:space="preserve">for this series </w:t>
      </w:r>
      <w:r w:rsidR="0018371F" w:rsidRPr="0096192D">
        <w:rPr>
          <w:rFonts w:ascii="Times New Roman" w:hAnsi="Times New Roman" w:cs="Times New Roman"/>
        </w:rPr>
        <w:t>is the Bank’s unpublished profit and loss account. This can found in the Bank’s General Ledger, and in more convenient form in yearly and half-yearly accounts (see notes to table 1 for details). From 1971 we have used the published accounts, adjusted to tak</w:t>
      </w:r>
      <w:r w:rsidR="00351EE9">
        <w:rPr>
          <w:rFonts w:ascii="Times New Roman" w:hAnsi="Times New Roman" w:cs="Times New Roman"/>
        </w:rPr>
        <w:t xml:space="preserve">e account of various contemporaneous </w:t>
      </w:r>
      <w:r w:rsidR="0018371F" w:rsidRPr="0096192D">
        <w:rPr>
          <w:rFonts w:ascii="Times New Roman" w:hAnsi="Times New Roman" w:cs="Times New Roman"/>
        </w:rPr>
        <w:t xml:space="preserve">internal sources, </w:t>
      </w:r>
      <w:r w:rsidR="00681E85">
        <w:rPr>
          <w:rFonts w:ascii="Times New Roman" w:hAnsi="Times New Roman" w:cs="Times New Roman"/>
        </w:rPr>
        <w:t xml:space="preserve">notably </w:t>
      </w:r>
      <w:r w:rsidR="0018371F" w:rsidRPr="0096192D">
        <w:rPr>
          <w:rFonts w:ascii="Times New Roman" w:hAnsi="Times New Roman" w:cs="Times New Roman"/>
        </w:rPr>
        <w:t>one by John Rumins (Rumins 1995). While some long-run profits series were compiled internally, coverage is not complete and there is nothing covering the period prior to the 1840s. Our series, for the first time, does this.</w:t>
      </w:r>
      <w:r w:rsidRPr="0096192D">
        <w:rPr>
          <w:rFonts w:ascii="Times New Roman" w:hAnsi="Times New Roman" w:cs="Times New Roman"/>
        </w:rPr>
        <w:t xml:space="preserve"> </w:t>
      </w:r>
    </w:p>
    <w:p w:rsidR="0018371F" w:rsidRPr="0096192D" w:rsidRDefault="0018371F" w:rsidP="0018371F">
      <w:pPr>
        <w:spacing w:line="480" w:lineRule="auto"/>
        <w:rPr>
          <w:rFonts w:ascii="Times New Roman" w:hAnsi="Times New Roman" w:cs="Times New Roman"/>
        </w:rPr>
      </w:pPr>
    </w:p>
    <w:p w:rsidR="0018371F" w:rsidRPr="0096192D" w:rsidRDefault="0018371F" w:rsidP="0018371F">
      <w:pPr>
        <w:spacing w:line="480" w:lineRule="auto"/>
        <w:rPr>
          <w:rFonts w:ascii="Times New Roman" w:hAnsi="Times New Roman" w:cs="Times New Roman"/>
        </w:rPr>
      </w:pPr>
      <w:r w:rsidRPr="0096192D">
        <w:rPr>
          <w:rFonts w:ascii="Times New Roman" w:hAnsi="Times New Roman" w:cs="Times New Roman"/>
        </w:rPr>
        <w:t>As well as providing complete coverage in terms of time period, the series also offers data which are, as far as practicable, consistent. Unsurprisingly, over a period of 325 years, there have been numerous changes in the presentation of the accounts and our series reflects this. For example, the length and end date of the accounting period changed several times, while the treatment of the dividend, tax, and exceptional items also varied. In the early years the profit and loss account was struck at various times before settling on a 12-month period ending 31 August. This continued until 1764, after which there was a move to a six-month accounting period ending in February and August. This pattern remained in place until the annual accounts were first published in 1971 with a 12-month period ending 28/9 February. This remains the case today. We have adopted the February financial year-end and aggregated the six-monthly data back to 1765, retaining the August year-end before that.</w:t>
      </w:r>
    </w:p>
    <w:p w:rsidR="0018371F" w:rsidRPr="0096192D" w:rsidRDefault="0018371F" w:rsidP="0018371F">
      <w:pPr>
        <w:spacing w:line="480" w:lineRule="auto"/>
        <w:rPr>
          <w:rFonts w:ascii="Times New Roman" w:hAnsi="Times New Roman" w:cs="Times New Roman"/>
        </w:rPr>
      </w:pPr>
    </w:p>
    <w:p w:rsidR="0018371F" w:rsidRPr="0096192D" w:rsidRDefault="0018371F" w:rsidP="0018371F">
      <w:pPr>
        <w:spacing w:line="480" w:lineRule="auto"/>
        <w:rPr>
          <w:rFonts w:ascii="Times New Roman" w:hAnsi="Times New Roman" w:cs="Times New Roman"/>
          <w:b/>
        </w:rPr>
      </w:pPr>
      <w:r w:rsidRPr="0096192D">
        <w:rPr>
          <w:rFonts w:ascii="Times New Roman" w:hAnsi="Times New Roman" w:cs="Times New Roman"/>
        </w:rPr>
        <w:t xml:space="preserve">For much of the Bank’s existence, taxation was not an issue. Income Tax payments were made briefly from 1804, and started again in 1842, although these were not separately </w:t>
      </w:r>
      <w:r w:rsidRPr="0096192D">
        <w:rPr>
          <w:rFonts w:ascii="Times New Roman" w:hAnsi="Times New Roman" w:cs="Times New Roman"/>
        </w:rPr>
        <w:lastRenderedPageBreak/>
        <w:t>recorded in</w:t>
      </w:r>
      <w:r w:rsidR="00555670">
        <w:rPr>
          <w:rFonts w:ascii="Times New Roman" w:hAnsi="Times New Roman" w:cs="Times New Roman"/>
        </w:rPr>
        <w:t xml:space="preserve"> the General Ledger until 1886.</w:t>
      </w:r>
      <w:r w:rsidR="00465ED2">
        <w:rPr>
          <w:rFonts w:ascii="Times New Roman" w:hAnsi="Times New Roman" w:cs="Times New Roman"/>
        </w:rPr>
        <w:t xml:space="preserve"> Excess Profits </w:t>
      </w:r>
      <w:r w:rsidR="00607302">
        <w:rPr>
          <w:rFonts w:ascii="Times New Roman" w:hAnsi="Times New Roman" w:cs="Times New Roman"/>
        </w:rPr>
        <w:t>Duty w</w:t>
      </w:r>
      <w:r w:rsidR="00465ED2">
        <w:rPr>
          <w:rFonts w:ascii="Times New Roman" w:hAnsi="Times New Roman" w:cs="Times New Roman"/>
        </w:rPr>
        <w:t xml:space="preserve">as paid during the First World War and this has been added to general taxation in our data. </w:t>
      </w:r>
      <w:r w:rsidRPr="0096192D">
        <w:rPr>
          <w:rFonts w:ascii="Times New Roman" w:hAnsi="Times New Roman" w:cs="Times New Roman"/>
        </w:rPr>
        <w:t xml:space="preserve">Before 1970, tax was included with other expenditure items in the accounts.  It seems that the Bank only started to use a pre-tax profit figure with the advent of published accounts in 1971. Our pre-tax series has been constructed by adding the tax back in, and this means that we are unable to corroborate these figures with other internal sources. </w:t>
      </w:r>
    </w:p>
    <w:p w:rsidR="0018371F" w:rsidRPr="0096192D" w:rsidRDefault="0018371F" w:rsidP="0018371F">
      <w:pPr>
        <w:spacing w:line="480" w:lineRule="auto"/>
        <w:rPr>
          <w:rFonts w:ascii="Times New Roman" w:hAnsi="Times New Roman" w:cs="Times New Roman"/>
        </w:rPr>
      </w:pPr>
    </w:p>
    <w:p w:rsidR="0018371F" w:rsidRPr="0096192D" w:rsidRDefault="0018371F" w:rsidP="0018371F">
      <w:pPr>
        <w:spacing w:line="480" w:lineRule="auto"/>
        <w:rPr>
          <w:rFonts w:ascii="Times New Roman" w:hAnsi="Times New Roman" w:cs="Times New Roman"/>
        </w:rPr>
      </w:pPr>
      <w:r w:rsidRPr="0096192D">
        <w:rPr>
          <w:rFonts w:ascii="Times New Roman" w:hAnsi="Times New Roman" w:cs="Times New Roman"/>
        </w:rPr>
        <w:t>Dividends on Bank Stock were paid six-monthly. Up to 1854 these payments are shown as normal items of expenditure in the profit and loss account.</w:t>
      </w:r>
      <w:r w:rsidR="0096192D">
        <w:rPr>
          <w:rFonts w:ascii="Times New Roman" w:hAnsi="Times New Roman" w:cs="Times New Roman"/>
        </w:rPr>
        <w:t xml:space="preserve"> </w:t>
      </w:r>
      <w:r w:rsidR="0096192D" w:rsidRPr="006F2318">
        <w:rPr>
          <w:rFonts w:ascii="Times New Roman" w:hAnsi="Times New Roman" w:cs="Times New Roman"/>
        </w:rPr>
        <w:t>We can find no evidence as to why dividends were treated as expenditure, or why the change was made in 1854, but in any case a pre-dividend profit figure is more relevant to us and of course in line with current accounting conventions.</w:t>
      </w:r>
      <w:r w:rsidR="0096192D">
        <w:rPr>
          <w:rFonts w:ascii="Times New Roman" w:hAnsi="Times New Roman" w:cs="Times New Roman"/>
        </w:rPr>
        <w:t xml:space="preserve"> </w:t>
      </w:r>
      <w:r w:rsidRPr="0096192D">
        <w:rPr>
          <w:rFonts w:ascii="Times New Roman" w:hAnsi="Times New Roman" w:cs="Times New Roman"/>
        </w:rPr>
        <w:t>In order to derive a pre-dividend profits series, we have removed these payments which has the effect of reducing normal expenditure and increasing the stated profit. We have also made similar adjustments for the various ‘bonus’ payments to shareholders during the Napoleonic Wars and after. From 1854 the dividends were paid direct from a reserve account called ‘The Rest’ which was topped-up at the end of each accounting period by transfers from the profit and loss account. It should also be noted that income tax was deducted at source on dividend payments and this explains the fact that the cash sums reduce while the dividend percentage was unchanged, notably from the 1920s. After taking account of these items, we have a consistent post-tax, post-dividend profit series, effectively the retained profit.</w:t>
      </w:r>
    </w:p>
    <w:p w:rsidR="0018371F" w:rsidRPr="0096192D" w:rsidRDefault="0018371F" w:rsidP="0018371F">
      <w:pPr>
        <w:spacing w:line="480" w:lineRule="auto"/>
        <w:rPr>
          <w:rFonts w:ascii="Times New Roman" w:hAnsi="Times New Roman" w:cs="Times New Roman"/>
        </w:rPr>
      </w:pPr>
    </w:p>
    <w:p w:rsidR="0018371F" w:rsidRPr="0096192D" w:rsidRDefault="0018371F" w:rsidP="0018371F">
      <w:pPr>
        <w:spacing w:line="480" w:lineRule="auto"/>
        <w:rPr>
          <w:rFonts w:ascii="Times New Roman" w:hAnsi="Times New Roman" w:cs="Times New Roman"/>
        </w:rPr>
      </w:pPr>
      <w:r w:rsidRPr="0096192D">
        <w:rPr>
          <w:rFonts w:ascii="Times New Roman" w:hAnsi="Times New Roman" w:cs="Times New Roman"/>
        </w:rPr>
        <w:t>The main differences in the available figures occur as a result of how retained profit is allocated. At various times the Bank’s accounts include write-downs against the value of securities held on its books, mainly British and other government issues.</w:t>
      </w:r>
      <w:r w:rsidR="00465ED2">
        <w:rPr>
          <w:rFonts w:ascii="Times New Roman" w:hAnsi="Times New Roman" w:cs="Times New Roman"/>
        </w:rPr>
        <w:t xml:space="preserve"> </w:t>
      </w:r>
      <w:r w:rsidR="0096192D" w:rsidRPr="006F2318">
        <w:rPr>
          <w:rFonts w:ascii="Times New Roman" w:hAnsi="Times New Roman" w:cs="Times New Roman"/>
        </w:rPr>
        <w:t xml:space="preserve">These write-downs </w:t>
      </w:r>
      <w:r w:rsidR="0096192D">
        <w:rPr>
          <w:rFonts w:ascii="Times New Roman" w:hAnsi="Times New Roman" w:cs="Times New Roman"/>
        </w:rPr>
        <w:lastRenderedPageBreak/>
        <w:t xml:space="preserve">could be </w:t>
      </w:r>
      <w:r w:rsidR="0096192D" w:rsidRPr="006F2318">
        <w:rPr>
          <w:rFonts w:ascii="Times New Roman" w:hAnsi="Times New Roman" w:cs="Times New Roman"/>
        </w:rPr>
        <w:t>large</w:t>
      </w:r>
      <w:r w:rsidR="0096192D">
        <w:rPr>
          <w:rFonts w:ascii="Times New Roman" w:hAnsi="Times New Roman" w:cs="Times New Roman"/>
        </w:rPr>
        <w:t xml:space="preserve">: </w:t>
      </w:r>
      <w:r w:rsidR="0096192D" w:rsidRPr="006F2318">
        <w:rPr>
          <w:rFonts w:ascii="Times New Roman" w:hAnsi="Times New Roman" w:cs="Times New Roman"/>
        </w:rPr>
        <w:t>something in the order of £25</w:t>
      </w:r>
      <w:r w:rsidR="0096192D">
        <w:rPr>
          <w:rFonts w:ascii="Times New Roman" w:hAnsi="Times New Roman" w:cs="Times New Roman"/>
        </w:rPr>
        <w:t xml:space="preserve"> million in the inter-war years</w:t>
      </w:r>
      <w:r w:rsidR="0096192D" w:rsidRPr="006F2318">
        <w:rPr>
          <w:rFonts w:ascii="Times New Roman" w:hAnsi="Times New Roman" w:cs="Times New Roman"/>
        </w:rPr>
        <w:t xml:space="preserve"> at a time when total market valuation was £115 million and the book value was £100 million (Feb</w:t>
      </w:r>
      <w:r w:rsidR="00EA3E10">
        <w:rPr>
          <w:rFonts w:ascii="Times New Roman" w:hAnsi="Times New Roman" w:cs="Times New Roman"/>
        </w:rPr>
        <w:t xml:space="preserve">ruary </w:t>
      </w:r>
      <w:r w:rsidR="0096192D" w:rsidRPr="006F2318">
        <w:rPr>
          <w:rFonts w:ascii="Times New Roman" w:hAnsi="Times New Roman" w:cs="Times New Roman"/>
        </w:rPr>
        <w:t>1939).</w:t>
      </w:r>
      <w:r w:rsidR="00EA3E10">
        <w:rPr>
          <w:rFonts w:ascii="Times New Roman" w:hAnsi="Times New Roman" w:cs="Times New Roman"/>
        </w:rPr>
        <w:t xml:space="preserve"> </w:t>
      </w:r>
      <w:r w:rsidRPr="0096192D">
        <w:rPr>
          <w:rFonts w:ascii="Times New Roman" w:hAnsi="Times New Roman" w:cs="Times New Roman"/>
        </w:rPr>
        <w:t>Although the precise term was not used in the earlier accounts, write-offs also appear, either for capital expenditure on premises</w:t>
      </w:r>
      <w:r w:rsidR="003C00B4">
        <w:rPr>
          <w:rFonts w:ascii="Times New Roman" w:hAnsi="Times New Roman" w:cs="Times New Roman"/>
        </w:rPr>
        <w:t xml:space="preserve"> (for instance</w:t>
      </w:r>
      <w:r w:rsidR="00250DAC">
        <w:rPr>
          <w:rFonts w:ascii="Times New Roman" w:hAnsi="Times New Roman" w:cs="Times New Roman"/>
        </w:rPr>
        <w:t xml:space="preserve"> </w:t>
      </w:r>
      <w:r w:rsidR="003C00B4">
        <w:rPr>
          <w:rFonts w:ascii="Times New Roman" w:hAnsi="Times New Roman" w:cs="Times New Roman"/>
        </w:rPr>
        <w:t>new branches around England),</w:t>
      </w:r>
      <w:r w:rsidRPr="0096192D">
        <w:rPr>
          <w:rFonts w:ascii="Times New Roman" w:hAnsi="Times New Roman" w:cs="Times New Roman"/>
        </w:rPr>
        <w:t xml:space="preserve"> and equipment, or for losses on bad debts, missing cheques, and miscell</w:t>
      </w:r>
      <w:r w:rsidR="00CC31F2">
        <w:rPr>
          <w:rFonts w:ascii="Times New Roman" w:hAnsi="Times New Roman" w:cs="Times New Roman"/>
        </w:rPr>
        <w:t>aneous claims against the Bank.</w:t>
      </w:r>
      <w:r w:rsidR="003C00B4">
        <w:rPr>
          <w:rFonts w:ascii="Times New Roman" w:hAnsi="Times New Roman" w:cs="Times New Roman"/>
        </w:rPr>
        <w:t xml:space="preserve"> </w:t>
      </w:r>
      <w:r w:rsidR="003C00B4" w:rsidRPr="0096192D">
        <w:rPr>
          <w:rFonts w:ascii="Times New Roman" w:hAnsi="Times New Roman" w:cs="Times New Roman"/>
        </w:rPr>
        <w:t>The internal sources allow us to present a consistent series on the use of retained profit for write-offs, write-downs, and allocation to reserves from 1890 to 1970.</w:t>
      </w:r>
      <w:r w:rsidR="003C00B4">
        <w:rPr>
          <w:rFonts w:ascii="Times New Roman" w:hAnsi="Times New Roman" w:cs="Times New Roman"/>
        </w:rPr>
        <w:t xml:space="preserve"> </w:t>
      </w:r>
      <w:r w:rsidR="00CC31F2" w:rsidRPr="006F2318">
        <w:rPr>
          <w:rFonts w:ascii="Times New Roman" w:hAnsi="Times New Roman" w:cs="Times New Roman"/>
        </w:rPr>
        <w:t>The largest sum written-off was nearly £1.8 million in 1930 including £1.7 million due to the Bank’s reconstruction of the engineering company Armstrong Whitworth</w:t>
      </w:r>
      <w:r w:rsidR="00CC31F2">
        <w:rPr>
          <w:rFonts w:ascii="Times New Roman" w:hAnsi="Times New Roman" w:cs="Times New Roman"/>
        </w:rPr>
        <w:t xml:space="preserve"> and</w:t>
      </w:r>
      <w:r w:rsidR="00CC31F2" w:rsidRPr="006F2318">
        <w:rPr>
          <w:rFonts w:ascii="Times New Roman" w:hAnsi="Times New Roman" w:cs="Times New Roman"/>
        </w:rPr>
        <w:t xml:space="preserve"> £25,000 attributable to the Hatry Scandal</w:t>
      </w:r>
      <w:r w:rsidR="00CC31F2">
        <w:rPr>
          <w:rFonts w:ascii="Times New Roman" w:hAnsi="Times New Roman" w:cs="Times New Roman"/>
        </w:rPr>
        <w:t xml:space="preserve">. </w:t>
      </w:r>
      <w:r w:rsidR="00CC31F2" w:rsidRPr="006F2318">
        <w:rPr>
          <w:rFonts w:ascii="Times New Roman" w:hAnsi="Times New Roman" w:cs="Times New Roman"/>
          <w:lang w:val="en-US"/>
        </w:rPr>
        <w:t>Clarence Hatry was a City financier who received a 14 year jail sentence for fraud and forgery in 1929</w:t>
      </w:r>
      <w:r w:rsidR="00CC31F2">
        <w:rPr>
          <w:rFonts w:ascii="Times New Roman" w:hAnsi="Times New Roman" w:cs="Times New Roman"/>
          <w:lang w:val="en-US"/>
        </w:rPr>
        <w:t xml:space="preserve"> (</w:t>
      </w:r>
      <w:r w:rsidR="00CC31F2" w:rsidRPr="006F2318">
        <w:rPr>
          <w:rFonts w:ascii="Times New Roman" w:hAnsi="Times New Roman" w:cs="Times New Roman"/>
          <w:lang w:val="en-US"/>
        </w:rPr>
        <w:t>Swinson</w:t>
      </w:r>
      <w:r w:rsidR="00CC31F2">
        <w:rPr>
          <w:rFonts w:ascii="Times New Roman" w:hAnsi="Times New Roman" w:cs="Times New Roman"/>
          <w:lang w:val="en-US"/>
        </w:rPr>
        <w:t xml:space="preserve"> 2019</w:t>
      </w:r>
      <w:r w:rsidR="00CC31F2" w:rsidRPr="006F2318">
        <w:rPr>
          <w:rFonts w:ascii="Times New Roman" w:hAnsi="Times New Roman" w:cs="Times New Roman"/>
          <w:lang w:val="en-US"/>
        </w:rPr>
        <w:t>)</w:t>
      </w:r>
      <w:r w:rsidR="00CC31F2" w:rsidRPr="006F2318">
        <w:rPr>
          <w:rFonts w:ascii="Times New Roman" w:hAnsi="Times New Roman" w:cs="Times New Roman"/>
        </w:rPr>
        <w:t>.</w:t>
      </w:r>
      <w:r w:rsidR="003C00B4">
        <w:rPr>
          <w:rFonts w:ascii="Times New Roman" w:hAnsi="Times New Roman" w:cs="Times New Roman"/>
        </w:rPr>
        <w:t xml:space="preserve"> </w:t>
      </w:r>
      <w:r w:rsidRPr="0096192D">
        <w:rPr>
          <w:rFonts w:ascii="Times New Roman" w:hAnsi="Times New Roman" w:cs="Times New Roman"/>
        </w:rPr>
        <w:t xml:space="preserve">Once the Bank started to publish its annual accounts, the pre-tax profit was shown </w:t>
      </w:r>
      <w:bookmarkStart w:id="0" w:name="_GoBack"/>
      <w:bookmarkEnd w:id="0"/>
      <w:r w:rsidRPr="0096192D">
        <w:rPr>
          <w:rFonts w:ascii="Times New Roman" w:hAnsi="Times New Roman" w:cs="Times New Roman"/>
        </w:rPr>
        <w:t>after provisions (which had previously been charged directly to reserves) and exceptional items. When the provisions were significant, these were indicated in the accounts but not consistently and this means we are unable to continue ou</w:t>
      </w:r>
      <w:r w:rsidR="005C1A33">
        <w:rPr>
          <w:rFonts w:ascii="Times New Roman" w:hAnsi="Times New Roman" w:cs="Times New Roman"/>
        </w:rPr>
        <w:t xml:space="preserve">r series on the previous basis. For much of the period there is an absence of detail on specific accounting conventions. These become more explicit once accounts were </w:t>
      </w:r>
      <w:r w:rsidRPr="0096192D">
        <w:rPr>
          <w:rFonts w:ascii="Times New Roman" w:hAnsi="Times New Roman" w:cs="Times New Roman"/>
        </w:rPr>
        <w:t>published</w:t>
      </w:r>
      <w:r w:rsidR="005C1A33">
        <w:rPr>
          <w:rFonts w:ascii="Times New Roman" w:hAnsi="Times New Roman" w:cs="Times New Roman"/>
        </w:rPr>
        <w:t xml:space="preserve"> and indeed there </w:t>
      </w:r>
      <w:r w:rsidRPr="0096192D">
        <w:rPr>
          <w:rFonts w:ascii="Times New Roman" w:hAnsi="Times New Roman" w:cs="Times New Roman"/>
        </w:rPr>
        <w:t>have been numerous restatements as a result of changes to accounting practices and standards.</w:t>
      </w:r>
      <w:r w:rsidR="00EA3E10">
        <w:rPr>
          <w:rFonts w:ascii="Times New Roman" w:hAnsi="Times New Roman" w:cs="Times New Roman"/>
        </w:rPr>
        <w:t xml:space="preserve"> Our series </w:t>
      </w:r>
      <w:r w:rsidR="00EA3E10" w:rsidRPr="006F2318">
        <w:rPr>
          <w:rFonts w:ascii="Times New Roman" w:hAnsi="Times New Roman" w:cs="Times New Roman"/>
        </w:rPr>
        <w:t xml:space="preserve">take account of </w:t>
      </w:r>
      <w:r w:rsidR="00EA3E10">
        <w:rPr>
          <w:rFonts w:ascii="Times New Roman" w:hAnsi="Times New Roman" w:cs="Times New Roman"/>
        </w:rPr>
        <w:t xml:space="preserve">such </w:t>
      </w:r>
      <w:r w:rsidR="00EA3E10" w:rsidRPr="006F2318">
        <w:rPr>
          <w:rFonts w:ascii="Times New Roman" w:hAnsi="Times New Roman" w:cs="Times New Roman"/>
        </w:rPr>
        <w:t>changes in 1975, 1981, 1991, 1995, 2006, 2007 and 2013.</w:t>
      </w:r>
    </w:p>
    <w:p w:rsidR="0018371F" w:rsidRPr="0096192D" w:rsidRDefault="0018371F" w:rsidP="0018371F">
      <w:pPr>
        <w:spacing w:line="480" w:lineRule="auto"/>
        <w:rPr>
          <w:rFonts w:ascii="Times New Roman" w:hAnsi="Times New Roman" w:cs="Times New Roman"/>
        </w:rPr>
      </w:pPr>
    </w:p>
    <w:p w:rsidR="0018371F" w:rsidRDefault="0018371F" w:rsidP="0018371F">
      <w:pPr>
        <w:spacing w:line="480" w:lineRule="auto"/>
        <w:rPr>
          <w:rFonts w:ascii="Times New Roman" w:hAnsi="Times New Roman" w:cs="Times New Roman"/>
        </w:rPr>
      </w:pPr>
      <w:r w:rsidRPr="0096192D">
        <w:rPr>
          <w:rFonts w:ascii="Times New Roman" w:hAnsi="Times New Roman" w:cs="Times New Roman"/>
        </w:rPr>
        <w:t>Turning to reserves, from the very beginning not all of the Bank’s profit was given over to shareholders through dividend payments. This ‘unallocated profit’ was carried forward in the profit and loss account. Over the years the cumulative figure grew, though it was sometimes drawn down to meet dividend and other payments. According to Francis, a decision was made in 1722 to set aside unallocated profit to be known as ‘The Rest’ (</w:t>
      </w:r>
      <w:r w:rsidRPr="00681E85">
        <w:rPr>
          <w:rFonts w:ascii="Times New Roman" w:hAnsi="Times New Roman" w:cs="Times New Roman"/>
        </w:rPr>
        <w:t xml:space="preserve">Francis 1848, Vol. I, </w:t>
      </w:r>
      <w:r w:rsidRPr="00681E85">
        <w:rPr>
          <w:rFonts w:ascii="Times New Roman" w:hAnsi="Times New Roman" w:cs="Times New Roman"/>
        </w:rPr>
        <w:lastRenderedPageBreak/>
        <w:t xml:space="preserve">pp. 148-9). </w:t>
      </w:r>
      <w:r w:rsidRPr="0096192D">
        <w:rPr>
          <w:rFonts w:ascii="Times New Roman" w:hAnsi="Times New Roman" w:cs="Times New Roman"/>
        </w:rPr>
        <w:t>This claim has been repeated by other authors over the years. However, Clapham found no evidence for this and we concur (</w:t>
      </w:r>
      <w:r w:rsidRPr="00681E85">
        <w:rPr>
          <w:rFonts w:ascii="Times New Roman" w:hAnsi="Times New Roman" w:cs="Times New Roman"/>
        </w:rPr>
        <w:t xml:space="preserve">Clapham 1946, Vol I, p. 154). </w:t>
      </w:r>
      <w:r w:rsidRPr="0096192D">
        <w:rPr>
          <w:rFonts w:ascii="Times New Roman" w:hAnsi="Times New Roman" w:cs="Times New Roman"/>
        </w:rPr>
        <w:t>The earliest source that we can find of this balance being called the Rest is 1845 when it became a separate account in the General Ledger. In addition to the Rest, other sums were accumulated in various reserve or suspense accounts that were gradually built-up from the end of the nineteenth century. Sayers provides a series for reserves starting in 1890,</w:t>
      </w:r>
      <w:r w:rsidR="00EA3E10">
        <w:rPr>
          <w:rFonts w:ascii="Times New Roman" w:hAnsi="Times New Roman" w:cs="Times New Roman"/>
        </w:rPr>
        <w:t xml:space="preserve"> though we are unable to reconcile completely with this, </w:t>
      </w:r>
      <w:r w:rsidRPr="0096192D">
        <w:rPr>
          <w:rFonts w:ascii="Times New Roman" w:hAnsi="Times New Roman" w:cs="Times New Roman"/>
        </w:rPr>
        <w:t>and we continue from 1939 with internal sources, and from 1971 using the published accounts.</w:t>
      </w:r>
    </w:p>
    <w:p w:rsidR="005E788F" w:rsidRPr="006F2318" w:rsidRDefault="005E788F" w:rsidP="005E788F">
      <w:pPr>
        <w:spacing w:line="480" w:lineRule="auto"/>
        <w:rPr>
          <w:rFonts w:ascii="Times New Roman" w:hAnsi="Times New Roman" w:cs="Times New Roman"/>
        </w:rPr>
      </w:pPr>
    </w:p>
    <w:p w:rsidR="00555670" w:rsidRDefault="00EA3E10" w:rsidP="00972385">
      <w:pPr>
        <w:spacing w:line="480" w:lineRule="auto"/>
        <w:rPr>
          <w:rFonts w:ascii="Times New Roman" w:hAnsi="Times New Roman" w:cs="Times New Roman"/>
        </w:rPr>
      </w:pPr>
      <w:r>
        <w:rPr>
          <w:rFonts w:ascii="Times New Roman" w:hAnsi="Times New Roman" w:cs="Times New Roman"/>
        </w:rPr>
        <w:t>We note the creation of separate Banking and Issue Departments following the 1844 Bank Charter Act. In accounting terms, up until 1</w:t>
      </w:r>
      <w:r w:rsidR="0059443F" w:rsidRPr="00EA3E10">
        <w:rPr>
          <w:rFonts w:ascii="Times New Roman" w:hAnsi="Times New Roman" w:cs="Times New Roman"/>
        </w:rPr>
        <w:t>911 the profits from the respective Departments were recorded separately in the General Ledger. For reasons which we have not been able to ascertain, from 1912 this practice was discontinued and it is not possible to separate the profits of Issue and Banking for the years between 1912 and 1928.</w:t>
      </w:r>
      <w:r w:rsidRPr="00EA3E10">
        <w:rPr>
          <w:rFonts w:ascii="Times New Roman" w:hAnsi="Times New Roman" w:cs="Times New Roman"/>
        </w:rPr>
        <w:t xml:space="preserve"> However, using</w:t>
      </w:r>
      <w:r>
        <w:t xml:space="preserve"> </w:t>
      </w:r>
      <w:r w:rsidRPr="006F2318">
        <w:rPr>
          <w:rFonts w:ascii="Times New Roman" w:hAnsi="Times New Roman" w:cs="Times New Roman"/>
        </w:rPr>
        <w:t>available data on Issue Department income, we estimate that profits for 1912-28 lay within lower and upper bounds of £0.35-0.55 million and £0.5-0.7 million.</w:t>
      </w:r>
      <w:r w:rsidR="00465ED2">
        <w:rPr>
          <w:rFonts w:ascii="Times New Roman" w:hAnsi="Times New Roman" w:cs="Times New Roman"/>
        </w:rPr>
        <w:t xml:space="preserve"> Actual data is available again from 1929 following the amalgamation of the Bank’s and the Treasury’s respective note issues.</w:t>
      </w:r>
    </w:p>
    <w:p w:rsidR="00555670" w:rsidRDefault="00555670" w:rsidP="00972385">
      <w:pPr>
        <w:spacing w:line="480" w:lineRule="auto"/>
        <w:rPr>
          <w:rFonts w:ascii="Times New Roman" w:hAnsi="Times New Roman" w:cs="Times New Roman"/>
        </w:rPr>
      </w:pPr>
    </w:p>
    <w:p w:rsidR="00555670" w:rsidRDefault="00555670" w:rsidP="00972385">
      <w:pPr>
        <w:spacing w:line="480" w:lineRule="auto"/>
        <w:rPr>
          <w:rFonts w:ascii="Times New Roman" w:hAnsi="Times New Roman" w:cs="Times New Roman"/>
        </w:rPr>
      </w:pPr>
      <w:r>
        <w:rPr>
          <w:rFonts w:ascii="Times New Roman" w:hAnsi="Times New Roman" w:cs="Times New Roman"/>
        </w:rPr>
        <w:t>Wartime tax regimes</w:t>
      </w:r>
    </w:p>
    <w:p w:rsidR="00972385" w:rsidRPr="006F2318" w:rsidRDefault="00555670" w:rsidP="00972385">
      <w:pPr>
        <w:spacing w:line="480" w:lineRule="auto"/>
        <w:rPr>
          <w:rFonts w:ascii="Times New Roman" w:hAnsi="Times New Roman" w:cs="Times New Roman"/>
        </w:rPr>
      </w:pPr>
      <w:r>
        <w:rPr>
          <w:rFonts w:ascii="Times New Roman" w:hAnsi="Times New Roman" w:cs="Times New Roman"/>
        </w:rPr>
        <w:t xml:space="preserve">The </w:t>
      </w:r>
      <w:r w:rsidR="00972385">
        <w:rPr>
          <w:rFonts w:ascii="Times New Roman" w:hAnsi="Times New Roman" w:cs="Times New Roman"/>
        </w:rPr>
        <w:t xml:space="preserve">First World War </w:t>
      </w:r>
      <w:r w:rsidR="00DA5214">
        <w:rPr>
          <w:rFonts w:ascii="Times New Roman" w:hAnsi="Times New Roman" w:cs="Times New Roman"/>
        </w:rPr>
        <w:t xml:space="preserve">saw </w:t>
      </w:r>
      <w:r w:rsidR="00972385">
        <w:rPr>
          <w:rFonts w:ascii="Times New Roman" w:hAnsi="Times New Roman" w:cs="Times New Roman"/>
        </w:rPr>
        <w:t xml:space="preserve">the </w:t>
      </w:r>
      <w:r w:rsidR="00972385" w:rsidRPr="006F2318">
        <w:rPr>
          <w:rFonts w:ascii="Times New Roman" w:hAnsi="Times New Roman" w:cs="Times New Roman"/>
        </w:rPr>
        <w:t>imposition of Excess Profits Duty (EPD), introduced in the Finance (No.2) Act of December 1915.</w:t>
      </w:r>
      <w:r w:rsidR="00972385">
        <w:rPr>
          <w:rFonts w:ascii="Times New Roman" w:hAnsi="Times New Roman" w:cs="Times New Roman"/>
        </w:rPr>
        <w:t xml:space="preserve"> </w:t>
      </w:r>
      <w:r w:rsidR="00972385" w:rsidRPr="006F2318">
        <w:rPr>
          <w:rFonts w:ascii="Times New Roman" w:hAnsi="Times New Roman" w:cs="Times New Roman"/>
        </w:rPr>
        <w:t>All businesses were required to make an assessment of ‘excess’ profits against a pre-war ‘norm’, and EPD was levied as a percentage of the difference between the two</w:t>
      </w:r>
      <w:r w:rsidR="00972385">
        <w:rPr>
          <w:rFonts w:ascii="Times New Roman" w:hAnsi="Times New Roman" w:cs="Times New Roman"/>
        </w:rPr>
        <w:t xml:space="preserve"> (Kirkaldy 1921; Arnold 2014)</w:t>
      </w:r>
      <w:r w:rsidR="00972385" w:rsidRPr="006F2318">
        <w:rPr>
          <w:rFonts w:ascii="Times New Roman" w:hAnsi="Times New Roman" w:cs="Times New Roman"/>
        </w:rPr>
        <w:t>.</w:t>
      </w:r>
      <w:r w:rsidR="00972385">
        <w:rPr>
          <w:rFonts w:ascii="Times New Roman" w:hAnsi="Times New Roman" w:cs="Times New Roman"/>
        </w:rPr>
        <w:t xml:space="preserve"> </w:t>
      </w:r>
      <w:r w:rsidR="00972385" w:rsidRPr="006F2318">
        <w:rPr>
          <w:rFonts w:ascii="Times New Roman" w:hAnsi="Times New Roman" w:cs="Times New Roman"/>
        </w:rPr>
        <w:t>The duty was initially 50%, of the excess profits, but this was increased to 60% in 1916, 80% in 1917, reduced to 40% in 1919 and then back up to 60% in 1920 (De Cogan et al. p.110).</w:t>
      </w:r>
    </w:p>
    <w:p w:rsidR="00972385" w:rsidRPr="006F2318" w:rsidRDefault="00972385" w:rsidP="00972385">
      <w:pPr>
        <w:spacing w:line="480" w:lineRule="auto"/>
        <w:rPr>
          <w:rFonts w:ascii="Times New Roman" w:hAnsi="Times New Roman" w:cs="Times New Roman"/>
        </w:rPr>
      </w:pPr>
    </w:p>
    <w:p w:rsidR="00972385" w:rsidRDefault="00972385" w:rsidP="00972385">
      <w:pPr>
        <w:spacing w:line="480" w:lineRule="auto"/>
        <w:rPr>
          <w:rFonts w:ascii="Times New Roman" w:hAnsi="Times New Roman" w:cs="Times New Roman"/>
        </w:rPr>
      </w:pPr>
      <w:r w:rsidRPr="006F2318">
        <w:rPr>
          <w:rFonts w:ascii="Times New Roman" w:hAnsi="Times New Roman" w:cs="Times New Roman"/>
        </w:rPr>
        <w:t xml:space="preserve">For the purposes of EPD, the Bank’s assessed pre-war normal profit was set at £0.42 million. However, exemptions were allowed under the rules and this figure did not include many of the elements contributing towards profits, not least because a large part of the interest received in investments was quite legitimately not part of the EPD assessment. Crucially then, EPD was assessed against only a proportion of actual profits; the £0.42 million was in fact only about 25 per cent of the total pre-war profits of approximately £2 million. Nonetheless, on this calculation total excess profits for the years 1915 to 1919 were £11.37 million and the Bank paid EPD totalling £7.23 million (see Table </w:t>
      </w:r>
      <w:r w:rsidR="00555670">
        <w:rPr>
          <w:rFonts w:ascii="Times New Roman" w:hAnsi="Times New Roman" w:cs="Times New Roman"/>
        </w:rPr>
        <w:t>2</w:t>
      </w:r>
      <w:r w:rsidRPr="006F2318">
        <w:rPr>
          <w:rFonts w:ascii="Times New Roman" w:hAnsi="Times New Roman" w:cs="Times New Roman"/>
        </w:rPr>
        <w:t>).</w:t>
      </w:r>
    </w:p>
    <w:p w:rsidR="00555670" w:rsidRPr="006F2318" w:rsidRDefault="00555670" w:rsidP="00972385">
      <w:pPr>
        <w:spacing w:line="480" w:lineRule="auto"/>
        <w:rPr>
          <w:rFonts w:ascii="Times New Roman" w:hAnsi="Times New Roman" w:cs="Times New Roman"/>
        </w:rPr>
      </w:pPr>
    </w:p>
    <w:p w:rsidR="00DA5214" w:rsidRDefault="00972385" w:rsidP="00972385">
      <w:pPr>
        <w:spacing w:line="480" w:lineRule="auto"/>
        <w:rPr>
          <w:rFonts w:ascii="Times New Roman" w:hAnsi="Times New Roman" w:cs="Times New Roman"/>
        </w:rPr>
      </w:pPr>
      <w:r w:rsidRPr="006F2318">
        <w:rPr>
          <w:rFonts w:ascii="Times New Roman" w:hAnsi="Times New Roman" w:cs="Times New Roman"/>
        </w:rPr>
        <w:t>In January 1918 an internal committee had been appointed by the Bank to look at profits and in particular to decide, ‘Whether some portion of the accrued war profits should be handed over as a gift to the nation’</w:t>
      </w:r>
      <w:r w:rsidR="00F27F0A">
        <w:rPr>
          <w:rFonts w:ascii="Times New Roman" w:hAnsi="Times New Roman" w:cs="Times New Roman"/>
        </w:rPr>
        <w:t xml:space="preserve"> (</w:t>
      </w:r>
      <w:r w:rsidR="00F27F0A" w:rsidRPr="006F2318">
        <w:rPr>
          <w:rFonts w:ascii="Times New Roman" w:hAnsi="Times New Roman" w:cs="Times New Roman"/>
        </w:rPr>
        <w:t>Minutes of Court of Directors, 21 Feb 1918, BoE G4/140</w:t>
      </w:r>
      <w:r w:rsidR="00F27F0A">
        <w:rPr>
          <w:rFonts w:ascii="Times New Roman" w:hAnsi="Times New Roman" w:cs="Times New Roman"/>
        </w:rPr>
        <w:t>)</w:t>
      </w:r>
      <w:r w:rsidRPr="006F2318">
        <w:rPr>
          <w:rFonts w:ascii="Times New Roman" w:hAnsi="Times New Roman" w:cs="Times New Roman"/>
        </w:rPr>
        <w:t>.</w:t>
      </w:r>
      <w:r w:rsidR="00F27F0A">
        <w:rPr>
          <w:rFonts w:ascii="Times New Roman" w:hAnsi="Times New Roman" w:cs="Times New Roman"/>
        </w:rPr>
        <w:t xml:space="preserve"> </w:t>
      </w:r>
      <w:r w:rsidRPr="006F2318">
        <w:rPr>
          <w:rFonts w:ascii="Times New Roman" w:hAnsi="Times New Roman" w:cs="Times New Roman"/>
        </w:rPr>
        <w:t xml:space="preserve">As part of this review, the Bank sought the opinion of its lawyers, Freshfields, who concluded that profits could not be handed over without the approval of all of the Bank’s </w:t>
      </w:r>
      <w:r w:rsidR="00F27F0A">
        <w:rPr>
          <w:rFonts w:ascii="Times New Roman" w:hAnsi="Times New Roman" w:cs="Times New Roman"/>
        </w:rPr>
        <w:t xml:space="preserve">12,000 </w:t>
      </w:r>
      <w:r w:rsidRPr="006F2318">
        <w:rPr>
          <w:rFonts w:ascii="Times New Roman" w:hAnsi="Times New Roman" w:cs="Times New Roman"/>
        </w:rPr>
        <w:t>shareholders.   In 1919, at the suggestion of the Chancellor</w:t>
      </w:r>
      <w:r w:rsidR="00DA5214">
        <w:rPr>
          <w:rFonts w:ascii="Times New Roman" w:hAnsi="Times New Roman" w:cs="Times New Roman"/>
        </w:rPr>
        <w:t xml:space="preserve"> of the Exchequer</w:t>
      </w:r>
      <w:r w:rsidRPr="006F2318">
        <w:rPr>
          <w:rFonts w:ascii="Times New Roman" w:hAnsi="Times New Roman" w:cs="Times New Roman"/>
        </w:rPr>
        <w:t>, and as part of a settlement with the Treasury over the remuneration for stock management services, the Bank made further EPD payments totalling £2.58 million. This figure represented the unpaid balance of the calculated excess profits (£3.44 million less income tax paid) for the five years 1 March 1914 to 28 February 1919, and effectively meant that the Bank had been required, in a time of crisis, to pay EPD at the rate of 100%, a possibly unique imposition on any business. In a letter to Cokayne, who was then Governor, the Chancellor, Austen Chamberlain, thanked the Bank for its actions, describing it as ‘but one more illustration of the public spirit of the great institution over whose fortunes you preside’</w:t>
      </w:r>
      <w:r w:rsidR="00F27F0A">
        <w:rPr>
          <w:rFonts w:ascii="Times New Roman" w:hAnsi="Times New Roman" w:cs="Times New Roman"/>
        </w:rPr>
        <w:t xml:space="preserve"> (</w:t>
      </w:r>
      <w:r w:rsidR="00F27F0A" w:rsidRPr="006F2318">
        <w:rPr>
          <w:rFonts w:ascii="Times New Roman" w:hAnsi="Times New Roman" w:cs="Times New Roman"/>
        </w:rPr>
        <w:t>Chamberlain (Chancellor of the Exchequer) to Cokayne (Governor), 22 Mar. 1919, BoE C40/180</w:t>
      </w:r>
      <w:r w:rsidR="00F27F0A">
        <w:rPr>
          <w:rFonts w:ascii="Times New Roman" w:hAnsi="Times New Roman" w:cs="Times New Roman"/>
        </w:rPr>
        <w:t>)</w:t>
      </w:r>
      <w:r w:rsidRPr="006F2318">
        <w:rPr>
          <w:rFonts w:ascii="Times New Roman" w:hAnsi="Times New Roman" w:cs="Times New Roman"/>
        </w:rPr>
        <w:t>.</w:t>
      </w:r>
      <w:r w:rsidR="00F27F0A">
        <w:rPr>
          <w:rFonts w:ascii="Times New Roman" w:hAnsi="Times New Roman" w:cs="Times New Roman"/>
        </w:rPr>
        <w:t xml:space="preserve"> </w:t>
      </w:r>
      <w:r w:rsidRPr="006F2318">
        <w:rPr>
          <w:rFonts w:ascii="Times New Roman" w:hAnsi="Times New Roman" w:cs="Times New Roman"/>
        </w:rPr>
        <w:lastRenderedPageBreak/>
        <w:t xml:space="preserve">Subsequently EPD payments were made for </w:t>
      </w:r>
      <w:r w:rsidR="00DA5214">
        <w:rPr>
          <w:rFonts w:ascii="Times New Roman" w:hAnsi="Times New Roman" w:cs="Times New Roman"/>
        </w:rPr>
        <w:t xml:space="preserve">the years </w:t>
      </w:r>
      <w:r w:rsidRPr="006F2318">
        <w:rPr>
          <w:rFonts w:ascii="Times New Roman" w:hAnsi="Times New Roman" w:cs="Times New Roman"/>
        </w:rPr>
        <w:t xml:space="preserve">1920 (£1.51 million) and 1921 (£3.52 million). </w:t>
      </w:r>
      <w:r w:rsidR="00DA5214">
        <w:rPr>
          <w:rFonts w:ascii="Times New Roman" w:hAnsi="Times New Roman" w:cs="Times New Roman"/>
        </w:rPr>
        <w:t xml:space="preserve">Overall, large as these </w:t>
      </w:r>
      <w:r w:rsidRPr="006F2318">
        <w:rPr>
          <w:rFonts w:ascii="Times New Roman" w:hAnsi="Times New Roman" w:cs="Times New Roman"/>
        </w:rPr>
        <w:t>sums</w:t>
      </w:r>
      <w:r w:rsidR="00DA5214">
        <w:rPr>
          <w:rFonts w:ascii="Times New Roman" w:hAnsi="Times New Roman" w:cs="Times New Roman"/>
        </w:rPr>
        <w:t xml:space="preserve"> were</w:t>
      </w:r>
      <w:r w:rsidRPr="006F2318">
        <w:rPr>
          <w:rFonts w:ascii="Times New Roman" w:hAnsi="Times New Roman" w:cs="Times New Roman"/>
        </w:rPr>
        <w:t>, the calculated excess profits of £21.75 million for the years 1915-21 were, for the reason already noted, far lower than the actual profits of £49.19 million</w:t>
      </w:r>
      <w:r w:rsidR="00DA5214">
        <w:rPr>
          <w:rFonts w:ascii="Times New Roman" w:hAnsi="Times New Roman" w:cs="Times New Roman"/>
        </w:rPr>
        <w:t xml:space="preserve"> in the financial years ending February 1916 to February </w:t>
      </w:r>
      <w:r w:rsidR="00DA5214" w:rsidRPr="006F2318">
        <w:rPr>
          <w:rFonts w:ascii="Times New Roman" w:hAnsi="Times New Roman" w:cs="Times New Roman"/>
        </w:rPr>
        <w:t>1922.</w:t>
      </w:r>
    </w:p>
    <w:p w:rsidR="00972385" w:rsidRPr="006F2318" w:rsidRDefault="00DA5214" w:rsidP="00972385">
      <w:pPr>
        <w:spacing w:line="480" w:lineRule="auto"/>
        <w:rPr>
          <w:rFonts w:ascii="Times New Roman" w:hAnsi="Times New Roman" w:cs="Times New Roman"/>
        </w:rPr>
      </w:pPr>
      <w:r w:rsidRPr="006F2318">
        <w:rPr>
          <w:rFonts w:ascii="Times New Roman" w:hAnsi="Times New Roman" w:cs="Times New Roman"/>
        </w:rPr>
        <w:t xml:space="preserve"> </w:t>
      </w:r>
    </w:p>
    <w:p w:rsidR="00555670" w:rsidRDefault="00972385" w:rsidP="00972385">
      <w:pPr>
        <w:widowControl w:val="0"/>
        <w:autoSpaceDE w:val="0"/>
        <w:autoSpaceDN w:val="0"/>
        <w:adjustRightInd w:val="0"/>
        <w:spacing w:line="480" w:lineRule="auto"/>
        <w:rPr>
          <w:rFonts w:ascii="Times New Roman" w:hAnsi="Times New Roman" w:cs="Times New Roman"/>
        </w:rPr>
      </w:pPr>
      <w:r w:rsidRPr="006F2318">
        <w:rPr>
          <w:rFonts w:ascii="Times New Roman" w:hAnsi="Times New Roman" w:cs="Times New Roman"/>
        </w:rPr>
        <w:t>During the Second World War, EPD was replaced by Excess Profits Tax (EPT) which like its predecessor was assessed against a chosen base year. However, unlike the EPD assessment the base figure for EPT bore a closer resemblance to actual profits and in this case there was advantage in the base being relatively high. The Bank selected 1937 and a figure of £3.3 million, one which proved to be ‘an exceptionally favourable standard period’</w:t>
      </w:r>
      <w:r w:rsidR="00F27F0A">
        <w:rPr>
          <w:rFonts w:ascii="Times New Roman" w:hAnsi="Times New Roman" w:cs="Times New Roman"/>
        </w:rPr>
        <w:t xml:space="preserve"> (</w:t>
      </w:r>
      <w:r w:rsidR="00F27F0A" w:rsidRPr="006F2318">
        <w:rPr>
          <w:rFonts w:ascii="Times New Roman" w:hAnsi="Times New Roman" w:cs="Times New Roman"/>
        </w:rPr>
        <w:t>Humphrey Mynors (Secretary) to Montagu Norman (Governor), 4 Jul. 1941, BoE ADM6/122</w:t>
      </w:r>
      <w:r w:rsidR="00F27F0A">
        <w:rPr>
          <w:rFonts w:ascii="Times New Roman" w:hAnsi="Times New Roman" w:cs="Times New Roman"/>
        </w:rPr>
        <w:t>)</w:t>
      </w:r>
      <w:r w:rsidRPr="006F2318">
        <w:rPr>
          <w:rFonts w:ascii="Times New Roman" w:hAnsi="Times New Roman" w:cs="Times New Roman"/>
        </w:rPr>
        <w:t>.</w:t>
      </w:r>
      <w:r w:rsidR="00F27F0A">
        <w:rPr>
          <w:rFonts w:ascii="Times New Roman" w:hAnsi="Times New Roman" w:cs="Times New Roman"/>
        </w:rPr>
        <w:t xml:space="preserve"> </w:t>
      </w:r>
      <w:r w:rsidRPr="006F2318">
        <w:rPr>
          <w:rFonts w:ascii="Times New Roman" w:hAnsi="Times New Roman" w:cs="Times New Roman"/>
        </w:rPr>
        <w:t>Indeed, so favourable was it that the B</w:t>
      </w:r>
      <w:r w:rsidR="003C0BB2">
        <w:rPr>
          <w:rFonts w:ascii="Times New Roman" w:hAnsi="Times New Roman" w:cs="Times New Roman"/>
        </w:rPr>
        <w:t>ank did not pay any EPT at all.</w:t>
      </w:r>
    </w:p>
    <w:p w:rsidR="003C0BB2" w:rsidRDefault="003C0BB2" w:rsidP="00972385">
      <w:pPr>
        <w:widowControl w:val="0"/>
        <w:autoSpaceDE w:val="0"/>
        <w:autoSpaceDN w:val="0"/>
        <w:adjustRightInd w:val="0"/>
        <w:spacing w:line="480" w:lineRule="auto"/>
        <w:rPr>
          <w:rFonts w:ascii="Times New Roman" w:hAnsi="Times New Roman" w:cs="Times New Roman"/>
        </w:rPr>
      </w:pPr>
    </w:p>
    <w:p w:rsidR="007C2271" w:rsidRDefault="007C2271" w:rsidP="00972385">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References</w:t>
      </w:r>
    </w:p>
    <w:p w:rsidR="007C2271" w:rsidRPr="007C2271" w:rsidRDefault="007C2271" w:rsidP="007C2271">
      <w:pPr>
        <w:spacing w:line="480" w:lineRule="auto"/>
        <w:rPr>
          <w:rFonts w:ascii="Times New Roman" w:hAnsi="Times New Roman" w:cs="Times New Roman"/>
        </w:rPr>
      </w:pPr>
      <w:r w:rsidRPr="007C2271">
        <w:rPr>
          <w:rFonts w:ascii="Times New Roman" w:hAnsi="Times New Roman" w:cs="Times New Roman"/>
        </w:rPr>
        <w:t xml:space="preserve">Francis, John (1848) </w:t>
      </w:r>
      <w:r w:rsidRPr="007C2271">
        <w:rPr>
          <w:rFonts w:ascii="Times New Roman" w:hAnsi="Times New Roman" w:cs="Times New Roman"/>
          <w:i/>
        </w:rPr>
        <w:t>History of the Bank of England, its times and traditions</w:t>
      </w:r>
      <w:r w:rsidRPr="007C2271">
        <w:rPr>
          <w:rFonts w:ascii="Times New Roman" w:hAnsi="Times New Roman" w:cs="Times New Roman"/>
        </w:rPr>
        <w:t>, (Willoughby &amp; Co)</w:t>
      </w:r>
    </w:p>
    <w:p w:rsidR="007C2271" w:rsidRDefault="007C2271" w:rsidP="007C2271">
      <w:pPr>
        <w:spacing w:line="480" w:lineRule="auto"/>
        <w:rPr>
          <w:rFonts w:ascii="Times New Roman" w:hAnsi="Times New Roman" w:cs="Times New Roman"/>
        </w:rPr>
      </w:pPr>
      <w:r w:rsidRPr="007C2271">
        <w:rPr>
          <w:rFonts w:ascii="Times New Roman" w:hAnsi="Times New Roman" w:cs="Times New Roman"/>
        </w:rPr>
        <w:t xml:space="preserve">Rumins, J.S. (1995) </w:t>
      </w:r>
      <w:r w:rsidRPr="007C2271">
        <w:rPr>
          <w:rFonts w:ascii="Times New Roman" w:hAnsi="Times New Roman" w:cs="Times New Roman"/>
          <w:i/>
        </w:rPr>
        <w:t>The Bank’s Accounts and Budgetary Control. 1969 – 1994</w:t>
      </w:r>
      <w:r w:rsidRPr="007C2271">
        <w:rPr>
          <w:rFonts w:ascii="Times New Roman" w:hAnsi="Times New Roman" w:cs="Times New Roman"/>
        </w:rPr>
        <w:t>, Bank of England unpublished, BoE ADM40/3</w:t>
      </w:r>
    </w:p>
    <w:p w:rsidR="007C2271" w:rsidRPr="00E607FB" w:rsidRDefault="007C2271" w:rsidP="007C2271">
      <w:pPr>
        <w:spacing w:line="480" w:lineRule="auto"/>
        <w:rPr>
          <w:rFonts w:ascii="Times New Roman" w:hAnsi="Times New Roman" w:cs="Times New Roman"/>
        </w:rPr>
      </w:pPr>
      <w:r w:rsidRPr="00E607FB">
        <w:rPr>
          <w:rFonts w:ascii="Times New Roman" w:hAnsi="Times New Roman" w:cs="Times New Roman"/>
        </w:rPr>
        <w:t xml:space="preserve">Swinson, Chris (2019) </w:t>
      </w:r>
      <w:r w:rsidRPr="00E607FB">
        <w:rPr>
          <w:rFonts w:ascii="Times New Roman" w:hAnsi="Times New Roman" w:cs="Times New Roman"/>
          <w:i/>
        </w:rPr>
        <w:t>Share trading, fraud and the crash of 1929. A biography of Clarence Hatry,</w:t>
      </w:r>
      <w:r w:rsidRPr="00E607FB">
        <w:rPr>
          <w:rFonts w:ascii="Times New Roman" w:hAnsi="Times New Roman" w:cs="Times New Roman"/>
        </w:rPr>
        <w:t xml:space="preserve"> (Routledge)</w:t>
      </w:r>
    </w:p>
    <w:p w:rsidR="007C2271" w:rsidRDefault="007C2271" w:rsidP="00972385">
      <w:pPr>
        <w:widowControl w:val="0"/>
        <w:autoSpaceDE w:val="0"/>
        <w:autoSpaceDN w:val="0"/>
        <w:adjustRightInd w:val="0"/>
        <w:spacing w:line="480" w:lineRule="auto"/>
        <w:rPr>
          <w:rFonts w:ascii="Times New Roman" w:hAnsi="Times New Roman" w:cs="Times New Roman"/>
        </w:rPr>
      </w:pPr>
    </w:p>
    <w:p w:rsidR="00972385" w:rsidRDefault="00972385"/>
    <w:sectPr w:rsidR="0097238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97" w:rsidRDefault="00821F97" w:rsidP="0018371F">
      <w:r>
        <w:separator/>
      </w:r>
    </w:p>
  </w:endnote>
  <w:endnote w:type="continuationSeparator" w:id="0">
    <w:p w:rsidR="00821F97" w:rsidRDefault="00821F97" w:rsidP="001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97" w:rsidRDefault="00821F97" w:rsidP="0018371F">
      <w:r>
        <w:separator/>
      </w:r>
    </w:p>
  </w:footnote>
  <w:footnote w:type="continuationSeparator" w:id="0">
    <w:p w:rsidR="00821F97" w:rsidRDefault="00821F97" w:rsidP="00183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1F"/>
    <w:rsid w:val="000E6E8D"/>
    <w:rsid w:val="0018371F"/>
    <w:rsid w:val="00226EB5"/>
    <w:rsid w:val="00250DAC"/>
    <w:rsid w:val="002A5F49"/>
    <w:rsid w:val="002D1139"/>
    <w:rsid w:val="00351EE9"/>
    <w:rsid w:val="00372F40"/>
    <w:rsid w:val="003C00B4"/>
    <w:rsid w:val="003C0BB2"/>
    <w:rsid w:val="00465ED2"/>
    <w:rsid w:val="00555670"/>
    <w:rsid w:val="0059443F"/>
    <w:rsid w:val="005957CF"/>
    <w:rsid w:val="005C05AA"/>
    <w:rsid w:val="005C1A33"/>
    <w:rsid w:val="005E788F"/>
    <w:rsid w:val="00607302"/>
    <w:rsid w:val="00614A7A"/>
    <w:rsid w:val="00681E85"/>
    <w:rsid w:val="007A7170"/>
    <w:rsid w:val="007C2271"/>
    <w:rsid w:val="00821F97"/>
    <w:rsid w:val="0096192D"/>
    <w:rsid w:val="00972385"/>
    <w:rsid w:val="00980A1B"/>
    <w:rsid w:val="00BC329A"/>
    <w:rsid w:val="00CC20AE"/>
    <w:rsid w:val="00CC31F2"/>
    <w:rsid w:val="00D96480"/>
    <w:rsid w:val="00DA5214"/>
    <w:rsid w:val="00EA3E10"/>
    <w:rsid w:val="00F2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53BA"/>
  <w15:chartTrackingRefBased/>
  <w15:docId w15:val="{98438E3C-267A-482C-BF27-A5B28D68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8371F"/>
    <w:rPr>
      <w:sz w:val="20"/>
      <w:szCs w:val="20"/>
    </w:rPr>
  </w:style>
  <w:style w:type="character" w:customStyle="1" w:styleId="EndnoteTextChar">
    <w:name w:val="Endnote Text Char"/>
    <w:basedOn w:val="DefaultParagraphFont"/>
    <w:link w:val="EndnoteText"/>
    <w:uiPriority w:val="99"/>
    <w:semiHidden/>
    <w:rsid w:val="0018371F"/>
    <w:rPr>
      <w:rFonts w:eastAsiaTheme="minorEastAsia"/>
      <w:sz w:val="20"/>
      <w:szCs w:val="20"/>
    </w:rPr>
  </w:style>
  <w:style w:type="character" w:styleId="EndnoteReference">
    <w:name w:val="endnote reference"/>
    <w:basedOn w:val="DefaultParagraphFont"/>
    <w:uiPriority w:val="99"/>
    <w:semiHidden/>
    <w:unhideWhenUsed/>
    <w:rsid w:val="00183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9C07-5D88-421C-A484-D734A3C9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Michael</dc:creator>
  <cp:keywords/>
  <dc:description/>
  <cp:lastModifiedBy>Anson, Michael</cp:lastModifiedBy>
  <cp:revision>17</cp:revision>
  <dcterms:created xsi:type="dcterms:W3CDTF">2021-12-10T11:13:00Z</dcterms:created>
  <dcterms:modified xsi:type="dcterms:W3CDTF">2022-02-09T14:25:00Z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-1314420051</vt:i4>
  </property>
  <property fmtid="{D5CDD505-2E9C-101B-9397-08002B2CF9AE}" pid="3" name="_NewReviewCycle">
    <vt:lpwstr/>
  </property>
  <property fmtid="{D5CDD505-2E9C-101B-9397-08002B2CF9AE}" pid="4" name="_EmailSubject">
    <vt:lpwstr>FHR online text</vt:lpwstr>
  </property>
  <property fmtid="{D5CDD505-2E9C-101B-9397-08002B2CF9AE}" pid="5" name="_AuthorEmail">
    <vt:lpwstr>Michael.Anson@bankofengland.co.uk</vt:lpwstr>
  </property>
  <property fmtid="{D5CDD505-2E9C-101B-9397-08002B2CF9AE}" pid="6" name="_AuthorEmailDisplayName">
    <vt:lpwstr>Anson, Michael</vt:lpwstr>
  </property>
</Properties>
</file>