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21" w:rsidRPr="00612015" w:rsidRDefault="00C40021" w:rsidP="00C40021">
      <w:pPr>
        <w:pStyle w:val="NoSpacing"/>
        <w:spacing w:line="276" w:lineRule="auto"/>
        <w:jc w:val="both"/>
        <w:outlineLvl w:val="0"/>
        <w:rPr>
          <w:rFonts w:ascii="Times New Roman" w:hAnsi="Times New Roman" w:cs="Times New Roman"/>
          <w:b/>
          <w:color w:val="FF0000"/>
          <w:sz w:val="24"/>
          <w:szCs w:val="24"/>
          <w:lang w:val="en-GB"/>
        </w:rPr>
      </w:pPr>
      <w:r w:rsidRPr="00612015">
        <w:rPr>
          <w:rFonts w:ascii="Times New Roman" w:eastAsia="Times New Roman" w:hAnsi="Times New Roman" w:cs="Times New Roman"/>
          <w:b/>
          <w:color w:val="FF0000"/>
          <w:sz w:val="24"/>
          <w:szCs w:val="24"/>
          <w:lang w:val="en-GB" w:eastAsia="fr-FR"/>
        </w:rPr>
        <w:t xml:space="preserve">Figure S1: </w:t>
      </w:r>
      <w:r w:rsidRPr="00612015">
        <w:rPr>
          <w:rFonts w:ascii="Times New Roman" w:hAnsi="Times New Roman" w:cs="Times New Roman"/>
          <w:b/>
          <w:color w:val="FF0000"/>
          <w:sz w:val="24"/>
          <w:szCs w:val="24"/>
          <w:lang w:val="en-GB"/>
        </w:rPr>
        <w:t>Receiver-operating characteristic (ROC) curve analysis</w:t>
      </w:r>
    </w:p>
    <w:p w:rsidR="00C40021" w:rsidRPr="00612015" w:rsidRDefault="00C40021" w:rsidP="00C40021">
      <w:pPr>
        <w:autoSpaceDE w:val="0"/>
        <w:autoSpaceDN w:val="0"/>
        <w:adjustRightInd w:val="0"/>
        <w:spacing w:after="0" w:line="240" w:lineRule="auto"/>
        <w:jc w:val="both"/>
        <w:rPr>
          <w:rFonts w:ascii="Times New Roman" w:hAnsi="Times New Roman"/>
          <w:color w:val="FF0000"/>
        </w:rPr>
      </w:pPr>
      <w:r w:rsidRPr="00612015">
        <w:rPr>
          <w:rFonts w:ascii="Times New Roman" w:hAnsi="Times New Roman" w:cs="Times New Roman"/>
          <w:color w:val="FF0000"/>
          <w:sz w:val="24"/>
          <w:szCs w:val="24"/>
          <w:lang w:val="en-GB"/>
        </w:rPr>
        <w:t xml:space="preserve">Receiver-operating characteristic (ROC) </w:t>
      </w:r>
      <w:r w:rsidRPr="00612015">
        <w:rPr>
          <w:rFonts w:ascii="Times New Roman" w:eastAsia="Times New Roman" w:hAnsi="Times New Roman" w:cs="Times New Roman"/>
          <w:color w:val="FF0000"/>
          <w:sz w:val="24"/>
          <w:szCs w:val="24"/>
          <w:lang w:val="en-GB" w:eastAsia="fr-FR"/>
        </w:rPr>
        <w:t xml:space="preserve">curve analysis to estimate the discriminatory power of administering a large number of activated PBMCs with the addition of paternal activated PBMCs, and </w:t>
      </w:r>
      <w:proofErr w:type="spellStart"/>
      <w:r w:rsidRPr="00612015">
        <w:rPr>
          <w:rFonts w:ascii="Times New Roman" w:eastAsia="Times New Roman" w:hAnsi="Times New Roman" w:cs="Times New Roman"/>
          <w:color w:val="FF0000"/>
          <w:sz w:val="24"/>
          <w:szCs w:val="24"/>
          <w:lang w:val="en-GB" w:eastAsia="fr-FR"/>
        </w:rPr>
        <w:t>Youden’s</w:t>
      </w:r>
      <w:proofErr w:type="spellEnd"/>
      <w:r w:rsidRPr="00612015">
        <w:rPr>
          <w:rFonts w:ascii="Times New Roman" w:eastAsia="Times New Roman" w:hAnsi="Times New Roman" w:cs="Times New Roman"/>
          <w:color w:val="FF0000"/>
          <w:sz w:val="24"/>
          <w:szCs w:val="24"/>
          <w:lang w:val="en-GB" w:eastAsia="fr-FR"/>
        </w:rPr>
        <w:t xml:space="preserve"> method selected suitable threshold. This analysis was performed using SPSS Software. ROC curves and the corresponding area under the curve (AUC) were utilized as diagnostic tools to assess the specificity and sensitivity of the indicators.</w:t>
      </w:r>
    </w:p>
    <w:p w:rsidR="00C40021" w:rsidRPr="00612015" w:rsidRDefault="00C40021" w:rsidP="00C40021">
      <w:pPr>
        <w:autoSpaceDE w:val="0"/>
        <w:autoSpaceDN w:val="0"/>
        <w:adjustRightInd w:val="0"/>
        <w:spacing w:after="0" w:line="240" w:lineRule="auto"/>
        <w:rPr>
          <w:rFonts w:ascii="Times New Roman" w:hAnsi="Times New Roman"/>
          <w:color w:val="FF0000"/>
        </w:rPr>
      </w:pPr>
    </w:p>
    <w:p w:rsidR="00C40021" w:rsidRPr="00612015" w:rsidRDefault="00C40021" w:rsidP="00C40021">
      <w:pPr>
        <w:autoSpaceDE w:val="0"/>
        <w:autoSpaceDN w:val="0"/>
        <w:adjustRightInd w:val="0"/>
        <w:spacing w:after="0" w:line="240" w:lineRule="auto"/>
        <w:rPr>
          <w:rFonts w:ascii="Times New Roman" w:hAnsi="Times New Roman"/>
          <w:color w:val="FF0000"/>
        </w:rPr>
      </w:pPr>
    </w:p>
    <w:tbl>
      <w:tblPr>
        <w:tblW w:w="66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8"/>
        <w:gridCol w:w="1179"/>
        <w:gridCol w:w="1469"/>
        <w:gridCol w:w="1469"/>
        <w:gridCol w:w="1469"/>
      </w:tblGrid>
      <w:tr w:rsidR="00C40021" w:rsidRPr="00612015" w:rsidTr="0076391E">
        <w:tblPrEx>
          <w:tblCellMar>
            <w:top w:w="0" w:type="dxa"/>
            <w:bottom w:w="0" w:type="dxa"/>
          </w:tblCellMar>
        </w:tblPrEx>
        <w:trPr>
          <w:cantSplit/>
          <w:tblHeader/>
        </w:trPr>
        <w:tc>
          <w:tcPr>
            <w:tcW w:w="6601" w:type="dxa"/>
            <w:gridSpan w:val="5"/>
            <w:tcBorders>
              <w:top w:val="nil"/>
              <w:left w:val="nil"/>
              <w:bottom w:val="nil"/>
              <w:right w:val="nil"/>
            </w:tcBorders>
            <w:shd w:val="clear" w:color="auto" w:fill="FFFFFF"/>
            <w:vAlign w:val="center"/>
          </w:tcPr>
          <w:p w:rsidR="00C40021" w:rsidRPr="00612015" w:rsidRDefault="00C40021" w:rsidP="0076391E">
            <w:pPr>
              <w:autoSpaceDE w:val="0"/>
              <w:autoSpaceDN w:val="0"/>
              <w:adjustRightInd w:val="0"/>
              <w:spacing w:after="0" w:line="320" w:lineRule="atLeast"/>
              <w:ind w:left="60" w:right="60"/>
              <w:jc w:val="center"/>
              <w:rPr>
                <w:rFonts w:ascii="Arial" w:hAnsi="Arial" w:cs="Arial"/>
                <w:color w:val="FF0000"/>
                <w:sz w:val="18"/>
                <w:szCs w:val="18"/>
              </w:rPr>
            </w:pPr>
            <w:r w:rsidRPr="00612015">
              <w:rPr>
                <w:rFonts w:ascii="Arial" w:hAnsi="Arial" w:cs="Arial"/>
                <w:b/>
                <w:bCs/>
                <w:color w:val="FF0000"/>
                <w:sz w:val="18"/>
                <w:szCs w:val="18"/>
              </w:rPr>
              <w:t xml:space="preserve">Area Under the </w:t>
            </w:r>
            <w:proofErr w:type="spellStart"/>
            <w:r w:rsidRPr="00612015">
              <w:rPr>
                <w:rFonts w:ascii="Arial" w:hAnsi="Arial" w:cs="Arial"/>
                <w:b/>
                <w:bCs/>
                <w:color w:val="FF0000"/>
                <w:sz w:val="18"/>
                <w:szCs w:val="18"/>
              </w:rPr>
              <w:t>Curve</w:t>
            </w:r>
            <w:proofErr w:type="spellEnd"/>
          </w:p>
        </w:tc>
      </w:tr>
      <w:tr w:rsidR="00C40021" w:rsidRPr="00612015" w:rsidTr="0076391E">
        <w:tblPrEx>
          <w:tblCellMar>
            <w:top w:w="0" w:type="dxa"/>
            <w:bottom w:w="0" w:type="dxa"/>
          </w:tblCellMar>
        </w:tblPrEx>
        <w:trPr>
          <w:cantSplit/>
          <w:tblHeader/>
        </w:trPr>
        <w:tc>
          <w:tcPr>
            <w:tcW w:w="6601" w:type="dxa"/>
            <w:gridSpan w:val="5"/>
            <w:tcBorders>
              <w:top w:val="nil"/>
              <w:left w:val="nil"/>
              <w:bottom w:val="nil"/>
              <w:right w:val="nil"/>
            </w:tcBorders>
            <w:shd w:val="clear" w:color="auto" w:fill="FFFFFF"/>
            <w:vAlign w:val="bottom"/>
          </w:tcPr>
          <w:p w:rsidR="00C40021" w:rsidRPr="00612015" w:rsidRDefault="00C40021" w:rsidP="0076391E">
            <w:pPr>
              <w:autoSpaceDE w:val="0"/>
              <w:autoSpaceDN w:val="0"/>
              <w:adjustRightInd w:val="0"/>
              <w:spacing w:after="0" w:line="320" w:lineRule="atLeast"/>
              <w:ind w:left="60" w:right="60"/>
              <w:rPr>
                <w:rFonts w:ascii="Arial" w:hAnsi="Arial" w:cs="Arial"/>
                <w:color w:val="FF0000"/>
                <w:sz w:val="18"/>
                <w:szCs w:val="18"/>
              </w:rPr>
            </w:pPr>
            <w:r w:rsidRPr="00612015">
              <w:rPr>
                <w:rFonts w:ascii="Arial" w:hAnsi="Arial" w:cs="Arial"/>
                <w:color w:val="FF0000"/>
                <w:sz w:val="18"/>
                <w:szCs w:val="18"/>
              </w:rPr>
              <w:t xml:space="preserve">Test </w:t>
            </w:r>
            <w:proofErr w:type="spellStart"/>
            <w:r w:rsidRPr="00612015">
              <w:rPr>
                <w:rFonts w:ascii="Arial" w:hAnsi="Arial" w:cs="Arial"/>
                <w:color w:val="FF0000"/>
                <w:sz w:val="18"/>
                <w:szCs w:val="18"/>
              </w:rPr>
              <w:t>Result</w:t>
            </w:r>
            <w:proofErr w:type="spellEnd"/>
            <w:r w:rsidRPr="00612015">
              <w:rPr>
                <w:rFonts w:ascii="Arial" w:hAnsi="Arial" w:cs="Arial"/>
                <w:color w:val="FF0000"/>
                <w:sz w:val="18"/>
                <w:szCs w:val="18"/>
              </w:rPr>
              <w:t xml:space="preserve"> Variable(s):</w:t>
            </w:r>
            <w:proofErr w:type="spellStart"/>
            <w:r w:rsidRPr="00612015">
              <w:rPr>
                <w:rFonts w:ascii="Arial" w:hAnsi="Arial" w:cs="Arial"/>
                <w:color w:val="FF0000"/>
                <w:sz w:val="18"/>
                <w:szCs w:val="18"/>
              </w:rPr>
              <w:t>Nbre_lymph</w:t>
            </w:r>
            <w:proofErr w:type="spellEnd"/>
          </w:p>
        </w:tc>
      </w:tr>
      <w:tr w:rsidR="00C40021" w:rsidRPr="00612015" w:rsidTr="0076391E">
        <w:tblPrEx>
          <w:tblCellMar>
            <w:top w:w="0" w:type="dxa"/>
            <w:bottom w:w="0" w:type="dxa"/>
          </w:tblCellMar>
        </w:tblPrEx>
        <w:trPr>
          <w:cantSplit/>
          <w:tblHeader/>
        </w:trPr>
        <w:tc>
          <w:tcPr>
            <w:tcW w:w="1019" w:type="dxa"/>
            <w:vMerge w:val="restart"/>
            <w:tcBorders>
              <w:top w:val="single" w:sz="16" w:space="0" w:color="000000"/>
              <w:left w:val="single" w:sz="16" w:space="0" w:color="000000"/>
              <w:bottom w:val="single" w:sz="16" w:space="0" w:color="000000"/>
            </w:tcBorders>
            <w:shd w:val="clear" w:color="auto" w:fill="FFFFFF"/>
            <w:vAlign w:val="bottom"/>
          </w:tcPr>
          <w:p w:rsidR="00C40021" w:rsidRPr="00612015" w:rsidRDefault="00C40021" w:rsidP="0076391E">
            <w:pPr>
              <w:autoSpaceDE w:val="0"/>
              <w:autoSpaceDN w:val="0"/>
              <w:adjustRightInd w:val="0"/>
              <w:spacing w:after="0" w:line="320" w:lineRule="atLeast"/>
              <w:ind w:left="60" w:right="60"/>
              <w:jc w:val="center"/>
              <w:rPr>
                <w:rFonts w:ascii="Arial" w:hAnsi="Arial" w:cs="Arial"/>
                <w:color w:val="FF0000"/>
                <w:sz w:val="18"/>
                <w:szCs w:val="18"/>
              </w:rPr>
            </w:pPr>
            <w:r w:rsidRPr="00612015">
              <w:rPr>
                <w:rFonts w:ascii="Arial" w:hAnsi="Arial" w:cs="Arial"/>
                <w:color w:val="FF0000"/>
                <w:sz w:val="18"/>
                <w:szCs w:val="18"/>
              </w:rPr>
              <w:t>Area</w:t>
            </w:r>
          </w:p>
        </w:tc>
        <w:tc>
          <w:tcPr>
            <w:tcW w:w="1178" w:type="dxa"/>
            <w:vMerge w:val="restart"/>
            <w:tcBorders>
              <w:top w:val="single" w:sz="16" w:space="0" w:color="000000"/>
              <w:bottom w:val="single" w:sz="16" w:space="0" w:color="000000"/>
            </w:tcBorders>
            <w:shd w:val="clear" w:color="auto" w:fill="FFFFFF"/>
            <w:vAlign w:val="bottom"/>
          </w:tcPr>
          <w:p w:rsidR="00C40021" w:rsidRPr="00612015" w:rsidRDefault="00C40021" w:rsidP="0076391E">
            <w:pPr>
              <w:autoSpaceDE w:val="0"/>
              <w:autoSpaceDN w:val="0"/>
              <w:adjustRightInd w:val="0"/>
              <w:spacing w:after="0" w:line="320" w:lineRule="atLeast"/>
              <w:ind w:left="60" w:right="60"/>
              <w:jc w:val="center"/>
              <w:rPr>
                <w:rFonts w:ascii="Arial" w:hAnsi="Arial" w:cs="Arial"/>
                <w:color w:val="FF0000"/>
                <w:sz w:val="18"/>
                <w:szCs w:val="18"/>
              </w:rPr>
            </w:pPr>
            <w:proofErr w:type="spellStart"/>
            <w:r w:rsidRPr="00612015">
              <w:rPr>
                <w:rFonts w:ascii="Arial" w:hAnsi="Arial" w:cs="Arial"/>
                <w:color w:val="FF0000"/>
                <w:sz w:val="18"/>
                <w:szCs w:val="18"/>
              </w:rPr>
              <w:t>Std</w:t>
            </w:r>
            <w:proofErr w:type="spellEnd"/>
            <w:r w:rsidRPr="00612015">
              <w:rPr>
                <w:rFonts w:ascii="Arial" w:hAnsi="Arial" w:cs="Arial"/>
                <w:color w:val="FF0000"/>
                <w:sz w:val="18"/>
                <w:szCs w:val="18"/>
              </w:rPr>
              <w:t xml:space="preserve">. </w:t>
            </w:r>
            <w:proofErr w:type="spellStart"/>
            <w:r w:rsidRPr="00612015">
              <w:rPr>
                <w:rFonts w:ascii="Arial" w:hAnsi="Arial" w:cs="Arial"/>
                <w:color w:val="FF0000"/>
                <w:sz w:val="18"/>
                <w:szCs w:val="18"/>
              </w:rPr>
              <w:t>Error</w:t>
            </w:r>
            <w:r w:rsidRPr="00612015">
              <w:rPr>
                <w:rFonts w:ascii="Arial" w:hAnsi="Arial" w:cs="Arial"/>
                <w:color w:val="FF0000"/>
                <w:sz w:val="18"/>
                <w:szCs w:val="18"/>
                <w:vertAlign w:val="superscript"/>
              </w:rPr>
              <w:t>a</w:t>
            </w:r>
            <w:proofErr w:type="spellEnd"/>
          </w:p>
        </w:tc>
        <w:tc>
          <w:tcPr>
            <w:tcW w:w="1468" w:type="dxa"/>
            <w:vMerge w:val="restart"/>
            <w:tcBorders>
              <w:top w:val="single" w:sz="16" w:space="0" w:color="000000"/>
              <w:bottom w:val="single" w:sz="16" w:space="0" w:color="000000"/>
            </w:tcBorders>
            <w:shd w:val="clear" w:color="auto" w:fill="FFFFFF"/>
            <w:vAlign w:val="bottom"/>
          </w:tcPr>
          <w:p w:rsidR="00C40021" w:rsidRPr="00612015" w:rsidRDefault="00C40021" w:rsidP="0076391E">
            <w:pPr>
              <w:autoSpaceDE w:val="0"/>
              <w:autoSpaceDN w:val="0"/>
              <w:adjustRightInd w:val="0"/>
              <w:spacing w:after="0" w:line="320" w:lineRule="atLeast"/>
              <w:ind w:left="60" w:right="60"/>
              <w:jc w:val="center"/>
              <w:rPr>
                <w:rFonts w:ascii="Arial" w:hAnsi="Arial" w:cs="Arial"/>
                <w:color w:val="FF0000"/>
                <w:sz w:val="18"/>
                <w:szCs w:val="18"/>
              </w:rPr>
            </w:pPr>
            <w:proofErr w:type="spellStart"/>
            <w:r w:rsidRPr="00612015">
              <w:rPr>
                <w:rFonts w:ascii="Arial" w:hAnsi="Arial" w:cs="Arial"/>
                <w:color w:val="FF0000"/>
                <w:sz w:val="18"/>
                <w:szCs w:val="18"/>
              </w:rPr>
              <w:t>Asymptotic</w:t>
            </w:r>
            <w:proofErr w:type="spellEnd"/>
            <w:r w:rsidRPr="00612015">
              <w:rPr>
                <w:rFonts w:ascii="Arial" w:hAnsi="Arial" w:cs="Arial"/>
                <w:color w:val="FF0000"/>
                <w:sz w:val="18"/>
                <w:szCs w:val="18"/>
              </w:rPr>
              <w:t xml:space="preserve"> </w:t>
            </w:r>
            <w:proofErr w:type="spellStart"/>
            <w:r w:rsidRPr="00612015">
              <w:rPr>
                <w:rFonts w:ascii="Arial" w:hAnsi="Arial" w:cs="Arial"/>
                <w:color w:val="FF0000"/>
                <w:sz w:val="18"/>
                <w:szCs w:val="18"/>
              </w:rPr>
              <w:t>Sig.</w:t>
            </w:r>
            <w:r w:rsidRPr="00612015">
              <w:rPr>
                <w:rFonts w:ascii="Arial" w:hAnsi="Arial" w:cs="Arial"/>
                <w:color w:val="FF0000"/>
                <w:sz w:val="18"/>
                <w:szCs w:val="18"/>
                <w:vertAlign w:val="superscript"/>
              </w:rPr>
              <w:t>b</w:t>
            </w:r>
            <w:proofErr w:type="spellEnd"/>
          </w:p>
        </w:tc>
        <w:tc>
          <w:tcPr>
            <w:tcW w:w="2936" w:type="dxa"/>
            <w:gridSpan w:val="2"/>
            <w:tcBorders>
              <w:top w:val="single" w:sz="16" w:space="0" w:color="000000"/>
              <w:right w:val="single" w:sz="16" w:space="0" w:color="000000"/>
            </w:tcBorders>
            <w:shd w:val="clear" w:color="auto" w:fill="FFFFFF"/>
            <w:vAlign w:val="bottom"/>
          </w:tcPr>
          <w:p w:rsidR="00C40021" w:rsidRPr="00612015" w:rsidRDefault="00C40021" w:rsidP="0076391E">
            <w:pPr>
              <w:autoSpaceDE w:val="0"/>
              <w:autoSpaceDN w:val="0"/>
              <w:adjustRightInd w:val="0"/>
              <w:spacing w:after="0" w:line="320" w:lineRule="atLeast"/>
              <w:ind w:left="60" w:right="60"/>
              <w:jc w:val="center"/>
              <w:rPr>
                <w:rFonts w:ascii="Arial" w:hAnsi="Arial" w:cs="Arial"/>
                <w:color w:val="FF0000"/>
                <w:sz w:val="18"/>
                <w:szCs w:val="18"/>
              </w:rPr>
            </w:pPr>
            <w:proofErr w:type="spellStart"/>
            <w:r w:rsidRPr="00612015">
              <w:rPr>
                <w:rFonts w:ascii="Arial" w:hAnsi="Arial" w:cs="Arial"/>
                <w:color w:val="FF0000"/>
                <w:sz w:val="18"/>
                <w:szCs w:val="18"/>
              </w:rPr>
              <w:t>Asymptotic</w:t>
            </w:r>
            <w:proofErr w:type="spellEnd"/>
            <w:r w:rsidRPr="00612015">
              <w:rPr>
                <w:rFonts w:ascii="Arial" w:hAnsi="Arial" w:cs="Arial"/>
                <w:color w:val="FF0000"/>
                <w:sz w:val="18"/>
                <w:szCs w:val="18"/>
              </w:rPr>
              <w:t xml:space="preserve"> 95% Confidence </w:t>
            </w:r>
            <w:proofErr w:type="spellStart"/>
            <w:r w:rsidRPr="00612015">
              <w:rPr>
                <w:rFonts w:ascii="Arial" w:hAnsi="Arial" w:cs="Arial"/>
                <w:color w:val="FF0000"/>
                <w:sz w:val="18"/>
                <w:szCs w:val="18"/>
              </w:rPr>
              <w:t>Interval</w:t>
            </w:r>
            <w:proofErr w:type="spellEnd"/>
          </w:p>
        </w:tc>
      </w:tr>
      <w:tr w:rsidR="00C40021" w:rsidRPr="00612015" w:rsidTr="0076391E">
        <w:tblPrEx>
          <w:tblCellMar>
            <w:top w:w="0" w:type="dxa"/>
            <w:bottom w:w="0" w:type="dxa"/>
          </w:tblCellMar>
        </w:tblPrEx>
        <w:trPr>
          <w:cantSplit/>
          <w:tblHeader/>
        </w:trPr>
        <w:tc>
          <w:tcPr>
            <w:tcW w:w="1019" w:type="dxa"/>
            <w:vMerge/>
            <w:tcBorders>
              <w:top w:val="single" w:sz="16" w:space="0" w:color="000000"/>
              <w:left w:val="single" w:sz="16" w:space="0" w:color="000000"/>
              <w:bottom w:val="single" w:sz="16" w:space="0" w:color="000000"/>
            </w:tcBorders>
            <w:shd w:val="clear" w:color="auto" w:fill="FFFFFF"/>
            <w:vAlign w:val="bottom"/>
          </w:tcPr>
          <w:p w:rsidR="00C40021" w:rsidRPr="00612015" w:rsidRDefault="00C40021" w:rsidP="0076391E">
            <w:pPr>
              <w:autoSpaceDE w:val="0"/>
              <w:autoSpaceDN w:val="0"/>
              <w:adjustRightInd w:val="0"/>
              <w:spacing w:after="0" w:line="240" w:lineRule="auto"/>
              <w:rPr>
                <w:rFonts w:ascii="Arial" w:hAnsi="Arial" w:cs="Arial"/>
                <w:color w:val="FF0000"/>
                <w:sz w:val="18"/>
                <w:szCs w:val="18"/>
              </w:rPr>
            </w:pPr>
          </w:p>
        </w:tc>
        <w:tc>
          <w:tcPr>
            <w:tcW w:w="1178" w:type="dxa"/>
            <w:vMerge/>
            <w:tcBorders>
              <w:top w:val="single" w:sz="16" w:space="0" w:color="000000"/>
              <w:bottom w:val="single" w:sz="16" w:space="0" w:color="000000"/>
            </w:tcBorders>
            <w:shd w:val="clear" w:color="auto" w:fill="FFFFFF"/>
            <w:vAlign w:val="bottom"/>
          </w:tcPr>
          <w:p w:rsidR="00C40021" w:rsidRPr="00612015" w:rsidRDefault="00C40021" w:rsidP="0076391E">
            <w:pPr>
              <w:autoSpaceDE w:val="0"/>
              <w:autoSpaceDN w:val="0"/>
              <w:adjustRightInd w:val="0"/>
              <w:spacing w:after="0" w:line="240" w:lineRule="auto"/>
              <w:rPr>
                <w:rFonts w:ascii="Arial" w:hAnsi="Arial" w:cs="Arial"/>
                <w:color w:val="FF0000"/>
                <w:sz w:val="18"/>
                <w:szCs w:val="18"/>
              </w:rPr>
            </w:pPr>
          </w:p>
        </w:tc>
        <w:tc>
          <w:tcPr>
            <w:tcW w:w="1468" w:type="dxa"/>
            <w:vMerge/>
            <w:tcBorders>
              <w:top w:val="single" w:sz="16" w:space="0" w:color="000000"/>
              <w:bottom w:val="single" w:sz="16" w:space="0" w:color="000000"/>
            </w:tcBorders>
            <w:shd w:val="clear" w:color="auto" w:fill="FFFFFF"/>
            <w:vAlign w:val="bottom"/>
          </w:tcPr>
          <w:p w:rsidR="00C40021" w:rsidRPr="00612015" w:rsidRDefault="00C40021" w:rsidP="0076391E">
            <w:pPr>
              <w:autoSpaceDE w:val="0"/>
              <w:autoSpaceDN w:val="0"/>
              <w:adjustRightInd w:val="0"/>
              <w:spacing w:after="0" w:line="240" w:lineRule="auto"/>
              <w:rPr>
                <w:rFonts w:ascii="Arial" w:hAnsi="Arial" w:cs="Arial"/>
                <w:color w:val="FF0000"/>
                <w:sz w:val="18"/>
                <w:szCs w:val="18"/>
              </w:rPr>
            </w:pPr>
          </w:p>
        </w:tc>
        <w:tc>
          <w:tcPr>
            <w:tcW w:w="1468" w:type="dxa"/>
            <w:tcBorders>
              <w:bottom w:val="single" w:sz="16" w:space="0" w:color="000000"/>
            </w:tcBorders>
            <w:shd w:val="clear" w:color="auto" w:fill="FFFFFF"/>
            <w:vAlign w:val="bottom"/>
          </w:tcPr>
          <w:p w:rsidR="00C40021" w:rsidRPr="00612015" w:rsidRDefault="00C40021" w:rsidP="0076391E">
            <w:pPr>
              <w:autoSpaceDE w:val="0"/>
              <w:autoSpaceDN w:val="0"/>
              <w:adjustRightInd w:val="0"/>
              <w:spacing w:after="0" w:line="320" w:lineRule="atLeast"/>
              <w:ind w:left="60" w:right="60"/>
              <w:jc w:val="center"/>
              <w:rPr>
                <w:rFonts w:ascii="Arial" w:hAnsi="Arial" w:cs="Arial"/>
                <w:color w:val="FF0000"/>
                <w:sz w:val="18"/>
                <w:szCs w:val="18"/>
              </w:rPr>
            </w:pPr>
            <w:proofErr w:type="spellStart"/>
            <w:r w:rsidRPr="00612015">
              <w:rPr>
                <w:rFonts w:ascii="Arial" w:hAnsi="Arial" w:cs="Arial"/>
                <w:color w:val="FF0000"/>
                <w:sz w:val="18"/>
                <w:szCs w:val="18"/>
              </w:rPr>
              <w:t>Lower</w:t>
            </w:r>
            <w:proofErr w:type="spellEnd"/>
            <w:r w:rsidRPr="00612015">
              <w:rPr>
                <w:rFonts w:ascii="Arial" w:hAnsi="Arial" w:cs="Arial"/>
                <w:color w:val="FF0000"/>
                <w:sz w:val="18"/>
                <w:szCs w:val="18"/>
              </w:rPr>
              <w:t xml:space="preserve"> </w:t>
            </w:r>
            <w:proofErr w:type="spellStart"/>
            <w:r w:rsidRPr="00612015">
              <w:rPr>
                <w:rFonts w:ascii="Arial" w:hAnsi="Arial" w:cs="Arial"/>
                <w:color w:val="FF0000"/>
                <w:sz w:val="18"/>
                <w:szCs w:val="18"/>
              </w:rPr>
              <w:t>Bound</w:t>
            </w:r>
            <w:proofErr w:type="spellEnd"/>
          </w:p>
        </w:tc>
        <w:tc>
          <w:tcPr>
            <w:tcW w:w="1468" w:type="dxa"/>
            <w:tcBorders>
              <w:bottom w:val="single" w:sz="16" w:space="0" w:color="000000"/>
              <w:right w:val="single" w:sz="16" w:space="0" w:color="000000"/>
            </w:tcBorders>
            <w:shd w:val="clear" w:color="auto" w:fill="FFFFFF"/>
            <w:vAlign w:val="bottom"/>
          </w:tcPr>
          <w:p w:rsidR="00C40021" w:rsidRPr="00612015" w:rsidRDefault="00C40021" w:rsidP="0076391E">
            <w:pPr>
              <w:autoSpaceDE w:val="0"/>
              <w:autoSpaceDN w:val="0"/>
              <w:adjustRightInd w:val="0"/>
              <w:spacing w:after="0" w:line="320" w:lineRule="atLeast"/>
              <w:ind w:left="60" w:right="60"/>
              <w:jc w:val="center"/>
              <w:rPr>
                <w:rFonts w:ascii="Arial" w:hAnsi="Arial" w:cs="Arial"/>
                <w:color w:val="FF0000"/>
                <w:sz w:val="18"/>
                <w:szCs w:val="18"/>
              </w:rPr>
            </w:pPr>
            <w:proofErr w:type="spellStart"/>
            <w:r w:rsidRPr="00612015">
              <w:rPr>
                <w:rFonts w:ascii="Arial" w:hAnsi="Arial" w:cs="Arial"/>
                <w:color w:val="FF0000"/>
                <w:sz w:val="18"/>
                <w:szCs w:val="18"/>
              </w:rPr>
              <w:t>Upper</w:t>
            </w:r>
            <w:proofErr w:type="spellEnd"/>
            <w:r w:rsidRPr="00612015">
              <w:rPr>
                <w:rFonts w:ascii="Arial" w:hAnsi="Arial" w:cs="Arial"/>
                <w:color w:val="FF0000"/>
                <w:sz w:val="18"/>
                <w:szCs w:val="18"/>
              </w:rPr>
              <w:t xml:space="preserve"> </w:t>
            </w:r>
            <w:proofErr w:type="spellStart"/>
            <w:r w:rsidRPr="00612015">
              <w:rPr>
                <w:rFonts w:ascii="Arial" w:hAnsi="Arial" w:cs="Arial"/>
                <w:color w:val="FF0000"/>
                <w:sz w:val="18"/>
                <w:szCs w:val="18"/>
              </w:rPr>
              <w:t>Bound</w:t>
            </w:r>
            <w:proofErr w:type="spellEnd"/>
          </w:p>
        </w:tc>
      </w:tr>
      <w:tr w:rsidR="00C40021" w:rsidRPr="00612015" w:rsidTr="0076391E">
        <w:tblPrEx>
          <w:tblCellMar>
            <w:top w:w="0" w:type="dxa"/>
            <w:bottom w:w="0" w:type="dxa"/>
          </w:tblCellMar>
        </w:tblPrEx>
        <w:trPr>
          <w:cantSplit/>
          <w:tblHeader/>
        </w:trPr>
        <w:tc>
          <w:tcPr>
            <w:tcW w:w="1019" w:type="dxa"/>
            <w:tcBorders>
              <w:top w:val="single" w:sz="16" w:space="0" w:color="000000"/>
              <w:left w:val="single" w:sz="16" w:space="0" w:color="000000"/>
              <w:bottom w:val="single" w:sz="16" w:space="0" w:color="000000"/>
            </w:tcBorders>
            <w:shd w:val="clear" w:color="auto" w:fill="FFFFFF"/>
          </w:tcPr>
          <w:p w:rsidR="00C40021" w:rsidRPr="00612015" w:rsidRDefault="00C40021" w:rsidP="0076391E">
            <w:pPr>
              <w:autoSpaceDE w:val="0"/>
              <w:autoSpaceDN w:val="0"/>
              <w:adjustRightInd w:val="0"/>
              <w:spacing w:after="0" w:line="320" w:lineRule="atLeast"/>
              <w:ind w:left="60" w:right="60"/>
              <w:jc w:val="right"/>
              <w:rPr>
                <w:rFonts w:ascii="Arial" w:hAnsi="Arial" w:cs="Arial"/>
                <w:color w:val="FF0000"/>
                <w:sz w:val="18"/>
                <w:szCs w:val="18"/>
              </w:rPr>
            </w:pPr>
            <w:r w:rsidRPr="00612015">
              <w:rPr>
                <w:rFonts w:ascii="Arial" w:hAnsi="Arial" w:cs="Arial"/>
                <w:color w:val="FF0000"/>
                <w:sz w:val="18"/>
                <w:szCs w:val="18"/>
              </w:rPr>
              <w:t>.767</w:t>
            </w:r>
          </w:p>
        </w:tc>
        <w:tc>
          <w:tcPr>
            <w:tcW w:w="1178" w:type="dxa"/>
            <w:tcBorders>
              <w:top w:val="single" w:sz="16" w:space="0" w:color="000000"/>
              <w:bottom w:val="single" w:sz="16" w:space="0" w:color="000000"/>
            </w:tcBorders>
            <w:shd w:val="clear" w:color="auto" w:fill="FFFFFF"/>
          </w:tcPr>
          <w:p w:rsidR="00C40021" w:rsidRPr="00612015" w:rsidRDefault="00C40021" w:rsidP="0076391E">
            <w:pPr>
              <w:autoSpaceDE w:val="0"/>
              <w:autoSpaceDN w:val="0"/>
              <w:adjustRightInd w:val="0"/>
              <w:spacing w:after="0" w:line="320" w:lineRule="atLeast"/>
              <w:ind w:left="60" w:right="60"/>
              <w:jc w:val="right"/>
              <w:rPr>
                <w:rFonts w:ascii="Arial" w:hAnsi="Arial" w:cs="Arial"/>
                <w:color w:val="FF0000"/>
                <w:sz w:val="18"/>
                <w:szCs w:val="18"/>
              </w:rPr>
            </w:pPr>
            <w:r w:rsidRPr="00612015">
              <w:rPr>
                <w:rFonts w:ascii="Arial" w:hAnsi="Arial" w:cs="Arial"/>
                <w:color w:val="FF0000"/>
                <w:sz w:val="18"/>
                <w:szCs w:val="18"/>
              </w:rPr>
              <w:t>.059</w:t>
            </w:r>
          </w:p>
        </w:tc>
        <w:tc>
          <w:tcPr>
            <w:tcW w:w="1468" w:type="dxa"/>
            <w:tcBorders>
              <w:top w:val="single" w:sz="16" w:space="0" w:color="000000"/>
              <w:bottom w:val="single" w:sz="16" w:space="0" w:color="000000"/>
            </w:tcBorders>
            <w:shd w:val="clear" w:color="auto" w:fill="FFFFFF"/>
          </w:tcPr>
          <w:p w:rsidR="00C40021" w:rsidRPr="00612015" w:rsidRDefault="00C40021" w:rsidP="0076391E">
            <w:pPr>
              <w:autoSpaceDE w:val="0"/>
              <w:autoSpaceDN w:val="0"/>
              <w:adjustRightInd w:val="0"/>
              <w:spacing w:after="0" w:line="320" w:lineRule="atLeast"/>
              <w:ind w:left="60" w:right="60"/>
              <w:jc w:val="right"/>
              <w:rPr>
                <w:rFonts w:ascii="Arial" w:hAnsi="Arial" w:cs="Arial"/>
                <w:color w:val="FF0000"/>
                <w:sz w:val="18"/>
                <w:szCs w:val="18"/>
              </w:rPr>
            </w:pPr>
            <w:r w:rsidRPr="00612015">
              <w:rPr>
                <w:rFonts w:ascii="Arial" w:hAnsi="Arial" w:cs="Arial"/>
                <w:color w:val="FF0000"/>
                <w:sz w:val="18"/>
                <w:szCs w:val="18"/>
              </w:rPr>
              <w:t>.014</w:t>
            </w:r>
          </w:p>
        </w:tc>
        <w:tc>
          <w:tcPr>
            <w:tcW w:w="1468" w:type="dxa"/>
            <w:tcBorders>
              <w:top w:val="single" w:sz="16" w:space="0" w:color="000000"/>
              <w:bottom w:val="single" w:sz="16" w:space="0" w:color="000000"/>
            </w:tcBorders>
            <w:shd w:val="clear" w:color="auto" w:fill="FFFFFF"/>
          </w:tcPr>
          <w:p w:rsidR="00C40021" w:rsidRPr="00612015" w:rsidRDefault="00C40021" w:rsidP="0076391E">
            <w:pPr>
              <w:autoSpaceDE w:val="0"/>
              <w:autoSpaceDN w:val="0"/>
              <w:adjustRightInd w:val="0"/>
              <w:spacing w:after="0" w:line="320" w:lineRule="atLeast"/>
              <w:ind w:left="60" w:right="60"/>
              <w:jc w:val="right"/>
              <w:rPr>
                <w:rFonts w:ascii="Arial" w:hAnsi="Arial" w:cs="Arial"/>
                <w:color w:val="FF0000"/>
                <w:sz w:val="18"/>
                <w:szCs w:val="18"/>
              </w:rPr>
            </w:pPr>
            <w:r w:rsidRPr="00612015">
              <w:rPr>
                <w:rFonts w:ascii="Arial" w:hAnsi="Arial" w:cs="Arial"/>
                <w:color w:val="FF0000"/>
                <w:sz w:val="18"/>
                <w:szCs w:val="18"/>
              </w:rPr>
              <w:t>.611</w:t>
            </w:r>
          </w:p>
        </w:tc>
        <w:tc>
          <w:tcPr>
            <w:tcW w:w="1468" w:type="dxa"/>
            <w:tcBorders>
              <w:top w:val="single" w:sz="16" w:space="0" w:color="000000"/>
              <w:bottom w:val="single" w:sz="16" w:space="0" w:color="000000"/>
              <w:right w:val="single" w:sz="16" w:space="0" w:color="000000"/>
            </w:tcBorders>
            <w:shd w:val="clear" w:color="auto" w:fill="FFFFFF"/>
          </w:tcPr>
          <w:p w:rsidR="00C40021" w:rsidRPr="00612015" w:rsidRDefault="00C40021" w:rsidP="0076391E">
            <w:pPr>
              <w:autoSpaceDE w:val="0"/>
              <w:autoSpaceDN w:val="0"/>
              <w:adjustRightInd w:val="0"/>
              <w:spacing w:after="0" w:line="320" w:lineRule="atLeast"/>
              <w:ind w:left="60" w:right="60"/>
              <w:jc w:val="right"/>
              <w:rPr>
                <w:rFonts w:ascii="Arial" w:hAnsi="Arial" w:cs="Arial"/>
                <w:color w:val="FF0000"/>
                <w:sz w:val="18"/>
                <w:szCs w:val="18"/>
              </w:rPr>
            </w:pPr>
            <w:r w:rsidRPr="00612015">
              <w:rPr>
                <w:rFonts w:ascii="Arial" w:hAnsi="Arial" w:cs="Arial"/>
                <w:color w:val="FF0000"/>
                <w:sz w:val="18"/>
                <w:szCs w:val="18"/>
              </w:rPr>
              <w:t>.843</w:t>
            </w:r>
          </w:p>
        </w:tc>
      </w:tr>
      <w:tr w:rsidR="00C40021" w:rsidRPr="00612015" w:rsidTr="0076391E">
        <w:tblPrEx>
          <w:tblCellMar>
            <w:top w:w="0" w:type="dxa"/>
            <w:bottom w:w="0" w:type="dxa"/>
          </w:tblCellMar>
        </w:tblPrEx>
        <w:trPr>
          <w:cantSplit/>
          <w:tblHeader/>
        </w:trPr>
        <w:tc>
          <w:tcPr>
            <w:tcW w:w="6601" w:type="dxa"/>
            <w:gridSpan w:val="5"/>
            <w:tcBorders>
              <w:top w:val="nil"/>
              <w:left w:val="nil"/>
              <w:bottom w:val="nil"/>
              <w:right w:val="nil"/>
            </w:tcBorders>
            <w:shd w:val="clear" w:color="auto" w:fill="FFFFFF"/>
          </w:tcPr>
          <w:p w:rsidR="00C40021" w:rsidRPr="00612015" w:rsidRDefault="00C40021" w:rsidP="0076391E">
            <w:pPr>
              <w:autoSpaceDE w:val="0"/>
              <w:autoSpaceDN w:val="0"/>
              <w:adjustRightInd w:val="0"/>
              <w:spacing w:after="0" w:line="320" w:lineRule="atLeast"/>
              <w:ind w:left="60" w:right="60"/>
              <w:rPr>
                <w:rFonts w:ascii="Arial" w:hAnsi="Arial" w:cs="Arial"/>
                <w:color w:val="FF0000"/>
                <w:sz w:val="18"/>
                <w:szCs w:val="18"/>
              </w:rPr>
            </w:pPr>
            <w:r w:rsidRPr="00612015">
              <w:rPr>
                <w:rFonts w:ascii="Arial" w:hAnsi="Arial" w:cs="Arial"/>
                <w:color w:val="FF0000"/>
                <w:sz w:val="18"/>
                <w:szCs w:val="18"/>
              </w:rPr>
              <w:t xml:space="preserve">The test </w:t>
            </w:r>
            <w:proofErr w:type="spellStart"/>
            <w:r w:rsidRPr="00612015">
              <w:rPr>
                <w:rFonts w:ascii="Arial" w:hAnsi="Arial" w:cs="Arial"/>
                <w:color w:val="FF0000"/>
                <w:sz w:val="18"/>
                <w:szCs w:val="18"/>
              </w:rPr>
              <w:t>result</w:t>
            </w:r>
            <w:proofErr w:type="spellEnd"/>
            <w:r w:rsidRPr="00612015">
              <w:rPr>
                <w:rFonts w:ascii="Arial" w:hAnsi="Arial" w:cs="Arial"/>
                <w:color w:val="FF0000"/>
                <w:sz w:val="18"/>
                <w:szCs w:val="18"/>
              </w:rPr>
              <w:t xml:space="preserve"> variable(s): </w:t>
            </w:r>
            <w:proofErr w:type="spellStart"/>
            <w:r w:rsidRPr="00612015">
              <w:rPr>
                <w:rFonts w:ascii="Arial" w:hAnsi="Arial" w:cs="Arial"/>
                <w:color w:val="FF0000"/>
                <w:sz w:val="18"/>
                <w:szCs w:val="18"/>
              </w:rPr>
              <w:t>Nbre_lymph</w:t>
            </w:r>
            <w:proofErr w:type="spellEnd"/>
            <w:r w:rsidRPr="00612015">
              <w:rPr>
                <w:rFonts w:ascii="Arial" w:hAnsi="Arial" w:cs="Arial"/>
                <w:color w:val="FF0000"/>
                <w:sz w:val="18"/>
                <w:szCs w:val="18"/>
              </w:rPr>
              <w:t xml:space="preserve"> has </w:t>
            </w:r>
            <w:proofErr w:type="spellStart"/>
            <w:r w:rsidRPr="00612015">
              <w:rPr>
                <w:rFonts w:ascii="Arial" w:hAnsi="Arial" w:cs="Arial"/>
                <w:color w:val="FF0000"/>
                <w:sz w:val="18"/>
                <w:szCs w:val="18"/>
              </w:rPr>
              <w:t>at</w:t>
            </w:r>
            <w:proofErr w:type="spellEnd"/>
            <w:r w:rsidRPr="00612015">
              <w:rPr>
                <w:rFonts w:ascii="Arial" w:hAnsi="Arial" w:cs="Arial"/>
                <w:color w:val="FF0000"/>
                <w:sz w:val="18"/>
                <w:szCs w:val="18"/>
              </w:rPr>
              <w:t xml:space="preserve"> least one </w:t>
            </w:r>
            <w:proofErr w:type="spellStart"/>
            <w:r w:rsidRPr="00612015">
              <w:rPr>
                <w:rFonts w:ascii="Arial" w:hAnsi="Arial" w:cs="Arial"/>
                <w:color w:val="FF0000"/>
                <w:sz w:val="18"/>
                <w:szCs w:val="18"/>
              </w:rPr>
              <w:t>tie</w:t>
            </w:r>
            <w:proofErr w:type="spellEnd"/>
            <w:r w:rsidRPr="00612015">
              <w:rPr>
                <w:rFonts w:ascii="Arial" w:hAnsi="Arial" w:cs="Arial"/>
                <w:color w:val="FF0000"/>
                <w:sz w:val="18"/>
                <w:szCs w:val="18"/>
              </w:rPr>
              <w:t xml:space="preserve"> </w:t>
            </w:r>
            <w:proofErr w:type="spellStart"/>
            <w:r w:rsidRPr="00612015">
              <w:rPr>
                <w:rFonts w:ascii="Arial" w:hAnsi="Arial" w:cs="Arial"/>
                <w:color w:val="FF0000"/>
                <w:sz w:val="18"/>
                <w:szCs w:val="18"/>
              </w:rPr>
              <w:t>between</w:t>
            </w:r>
            <w:proofErr w:type="spellEnd"/>
            <w:r w:rsidRPr="00612015">
              <w:rPr>
                <w:rFonts w:ascii="Arial" w:hAnsi="Arial" w:cs="Arial"/>
                <w:color w:val="FF0000"/>
                <w:sz w:val="18"/>
                <w:szCs w:val="18"/>
              </w:rPr>
              <w:t xml:space="preserve"> the positive </w:t>
            </w:r>
            <w:proofErr w:type="spellStart"/>
            <w:r w:rsidRPr="00612015">
              <w:rPr>
                <w:rFonts w:ascii="Arial" w:hAnsi="Arial" w:cs="Arial"/>
                <w:color w:val="FF0000"/>
                <w:sz w:val="18"/>
                <w:szCs w:val="18"/>
              </w:rPr>
              <w:t>actual</w:t>
            </w:r>
            <w:proofErr w:type="spellEnd"/>
            <w:r w:rsidRPr="00612015">
              <w:rPr>
                <w:rFonts w:ascii="Arial" w:hAnsi="Arial" w:cs="Arial"/>
                <w:color w:val="FF0000"/>
                <w:sz w:val="18"/>
                <w:szCs w:val="18"/>
              </w:rPr>
              <w:t xml:space="preserve"> state group and the </w:t>
            </w:r>
            <w:proofErr w:type="spellStart"/>
            <w:r w:rsidRPr="00612015">
              <w:rPr>
                <w:rFonts w:ascii="Arial" w:hAnsi="Arial" w:cs="Arial"/>
                <w:color w:val="FF0000"/>
                <w:sz w:val="18"/>
                <w:szCs w:val="18"/>
              </w:rPr>
              <w:t>negative</w:t>
            </w:r>
            <w:proofErr w:type="spellEnd"/>
            <w:r w:rsidRPr="00612015">
              <w:rPr>
                <w:rFonts w:ascii="Arial" w:hAnsi="Arial" w:cs="Arial"/>
                <w:color w:val="FF0000"/>
                <w:sz w:val="18"/>
                <w:szCs w:val="18"/>
              </w:rPr>
              <w:t xml:space="preserve"> </w:t>
            </w:r>
            <w:proofErr w:type="spellStart"/>
            <w:r w:rsidRPr="00612015">
              <w:rPr>
                <w:rFonts w:ascii="Arial" w:hAnsi="Arial" w:cs="Arial"/>
                <w:color w:val="FF0000"/>
                <w:sz w:val="18"/>
                <w:szCs w:val="18"/>
              </w:rPr>
              <w:t>actual</w:t>
            </w:r>
            <w:proofErr w:type="spellEnd"/>
            <w:r w:rsidRPr="00612015">
              <w:rPr>
                <w:rFonts w:ascii="Arial" w:hAnsi="Arial" w:cs="Arial"/>
                <w:color w:val="FF0000"/>
                <w:sz w:val="18"/>
                <w:szCs w:val="18"/>
              </w:rPr>
              <w:t xml:space="preserve"> state group. </w:t>
            </w:r>
            <w:proofErr w:type="spellStart"/>
            <w:r w:rsidRPr="00612015">
              <w:rPr>
                <w:rFonts w:ascii="Arial" w:hAnsi="Arial" w:cs="Arial"/>
                <w:color w:val="FF0000"/>
                <w:sz w:val="18"/>
                <w:szCs w:val="18"/>
              </w:rPr>
              <w:t>Statistics</w:t>
            </w:r>
            <w:proofErr w:type="spellEnd"/>
            <w:r w:rsidRPr="00612015">
              <w:rPr>
                <w:rFonts w:ascii="Arial" w:hAnsi="Arial" w:cs="Arial"/>
                <w:color w:val="FF0000"/>
                <w:sz w:val="18"/>
                <w:szCs w:val="18"/>
              </w:rPr>
              <w:t xml:space="preserve"> </w:t>
            </w:r>
            <w:proofErr w:type="spellStart"/>
            <w:r w:rsidRPr="00612015">
              <w:rPr>
                <w:rFonts w:ascii="Arial" w:hAnsi="Arial" w:cs="Arial"/>
                <w:color w:val="FF0000"/>
                <w:sz w:val="18"/>
                <w:szCs w:val="18"/>
              </w:rPr>
              <w:t>may</w:t>
            </w:r>
            <w:proofErr w:type="spellEnd"/>
            <w:r w:rsidRPr="00612015">
              <w:rPr>
                <w:rFonts w:ascii="Arial" w:hAnsi="Arial" w:cs="Arial"/>
                <w:color w:val="FF0000"/>
                <w:sz w:val="18"/>
                <w:szCs w:val="18"/>
              </w:rPr>
              <w:t xml:space="preserve"> </w:t>
            </w:r>
            <w:proofErr w:type="spellStart"/>
            <w:r w:rsidRPr="00612015">
              <w:rPr>
                <w:rFonts w:ascii="Arial" w:hAnsi="Arial" w:cs="Arial"/>
                <w:color w:val="FF0000"/>
                <w:sz w:val="18"/>
                <w:szCs w:val="18"/>
              </w:rPr>
              <w:t>be</w:t>
            </w:r>
            <w:proofErr w:type="spellEnd"/>
            <w:r w:rsidRPr="00612015">
              <w:rPr>
                <w:rFonts w:ascii="Arial" w:hAnsi="Arial" w:cs="Arial"/>
                <w:color w:val="FF0000"/>
                <w:sz w:val="18"/>
                <w:szCs w:val="18"/>
              </w:rPr>
              <w:t xml:space="preserve"> </w:t>
            </w:r>
            <w:proofErr w:type="spellStart"/>
            <w:r w:rsidRPr="00612015">
              <w:rPr>
                <w:rFonts w:ascii="Arial" w:hAnsi="Arial" w:cs="Arial"/>
                <w:color w:val="FF0000"/>
                <w:sz w:val="18"/>
                <w:szCs w:val="18"/>
              </w:rPr>
              <w:t>biased</w:t>
            </w:r>
            <w:proofErr w:type="spellEnd"/>
            <w:r w:rsidRPr="00612015">
              <w:rPr>
                <w:rFonts w:ascii="Arial" w:hAnsi="Arial" w:cs="Arial"/>
                <w:color w:val="FF0000"/>
                <w:sz w:val="18"/>
                <w:szCs w:val="18"/>
              </w:rPr>
              <w:t>.</w:t>
            </w:r>
          </w:p>
        </w:tc>
      </w:tr>
      <w:tr w:rsidR="00C40021" w:rsidRPr="00612015" w:rsidTr="0076391E">
        <w:tblPrEx>
          <w:tblCellMar>
            <w:top w:w="0" w:type="dxa"/>
            <w:bottom w:w="0" w:type="dxa"/>
          </w:tblCellMar>
        </w:tblPrEx>
        <w:trPr>
          <w:cantSplit/>
          <w:tblHeader/>
        </w:trPr>
        <w:tc>
          <w:tcPr>
            <w:tcW w:w="6601" w:type="dxa"/>
            <w:gridSpan w:val="5"/>
            <w:tcBorders>
              <w:top w:val="nil"/>
              <w:left w:val="nil"/>
              <w:bottom w:val="nil"/>
              <w:right w:val="nil"/>
            </w:tcBorders>
            <w:shd w:val="clear" w:color="auto" w:fill="FFFFFF"/>
          </w:tcPr>
          <w:p w:rsidR="00C40021" w:rsidRPr="00612015" w:rsidRDefault="00C40021" w:rsidP="0076391E">
            <w:pPr>
              <w:autoSpaceDE w:val="0"/>
              <w:autoSpaceDN w:val="0"/>
              <w:adjustRightInd w:val="0"/>
              <w:spacing w:after="0" w:line="320" w:lineRule="atLeast"/>
              <w:ind w:left="60" w:right="60"/>
              <w:rPr>
                <w:rFonts w:ascii="Arial" w:hAnsi="Arial" w:cs="Arial"/>
                <w:color w:val="FF0000"/>
                <w:sz w:val="18"/>
                <w:szCs w:val="18"/>
              </w:rPr>
            </w:pPr>
            <w:r w:rsidRPr="00612015">
              <w:rPr>
                <w:rFonts w:ascii="Arial" w:hAnsi="Arial" w:cs="Arial"/>
                <w:color w:val="FF0000"/>
                <w:sz w:val="18"/>
                <w:szCs w:val="18"/>
              </w:rPr>
              <w:t xml:space="preserve">a. Under the </w:t>
            </w:r>
            <w:proofErr w:type="spellStart"/>
            <w:r w:rsidRPr="00612015">
              <w:rPr>
                <w:rFonts w:ascii="Arial" w:hAnsi="Arial" w:cs="Arial"/>
                <w:color w:val="FF0000"/>
                <w:sz w:val="18"/>
                <w:szCs w:val="18"/>
              </w:rPr>
              <w:t>nonparametric</w:t>
            </w:r>
            <w:proofErr w:type="spellEnd"/>
            <w:r w:rsidRPr="00612015">
              <w:rPr>
                <w:rFonts w:ascii="Arial" w:hAnsi="Arial" w:cs="Arial"/>
                <w:color w:val="FF0000"/>
                <w:sz w:val="18"/>
                <w:szCs w:val="18"/>
              </w:rPr>
              <w:t xml:space="preserve"> </w:t>
            </w:r>
            <w:proofErr w:type="spellStart"/>
            <w:r w:rsidRPr="00612015">
              <w:rPr>
                <w:rFonts w:ascii="Arial" w:hAnsi="Arial" w:cs="Arial"/>
                <w:color w:val="FF0000"/>
                <w:sz w:val="18"/>
                <w:szCs w:val="18"/>
              </w:rPr>
              <w:t>assumption</w:t>
            </w:r>
            <w:proofErr w:type="spellEnd"/>
          </w:p>
        </w:tc>
      </w:tr>
      <w:tr w:rsidR="00C40021" w:rsidRPr="00612015" w:rsidTr="0076391E">
        <w:tblPrEx>
          <w:tblCellMar>
            <w:top w:w="0" w:type="dxa"/>
            <w:bottom w:w="0" w:type="dxa"/>
          </w:tblCellMar>
        </w:tblPrEx>
        <w:trPr>
          <w:cantSplit/>
        </w:trPr>
        <w:tc>
          <w:tcPr>
            <w:tcW w:w="6601" w:type="dxa"/>
            <w:gridSpan w:val="5"/>
            <w:tcBorders>
              <w:top w:val="nil"/>
              <w:left w:val="nil"/>
              <w:bottom w:val="nil"/>
              <w:right w:val="nil"/>
            </w:tcBorders>
            <w:shd w:val="clear" w:color="auto" w:fill="FFFFFF"/>
          </w:tcPr>
          <w:p w:rsidR="00C40021" w:rsidRPr="00612015" w:rsidRDefault="00C40021" w:rsidP="0076391E">
            <w:pPr>
              <w:autoSpaceDE w:val="0"/>
              <w:autoSpaceDN w:val="0"/>
              <w:adjustRightInd w:val="0"/>
              <w:spacing w:after="0" w:line="320" w:lineRule="atLeast"/>
              <w:ind w:left="60" w:right="60"/>
              <w:rPr>
                <w:rFonts w:ascii="Arial" w:hAnsi="Arial" w:cs="Arial"/>
                <w:color w:val="FF0000"/>
                <w:sz w:val="18"/>
                <w:szCs w:val="18"/>
              </w:rPr>
            </w:pPr>
            <w:r w:rsidRPr="00612015">
              <w:rPr>
                <w:rFonts w:ascii="Arial" w:hAnsi="Arial" w:cs="Arial"/>
                <w:color w:val="FF0000"/>
                <w:sz w:val="18"/>
                <w:szCs w:val="18"/>
              </w:rPr>
              <w:t xml:space="preserve">b. </w:t>
            </w:r>
            <w:proofErr w:type="spellStart"/>
            <w:r w:rsidRPr="00612015">
              <w:rPr>
                <w:rFonts w:ascii="Arial" w:hAnsi="Arial" w:cs="Arial"/>
                <w:color w:val="FF0000"/>
                <w:sz w:val="18"/>
                <w:szCs w:val="18"/>
              </w:rPr>
              <w:t>Null</w:t>
            </w:r>
            <w:proofErr w:type="spellEnd"/>
            <w:r w:rsidRPr="00612015">
              <w:rPr>
                <w:rFonts w:ascii="Arial" w:hAnsi="Arial" w:cs="Arial"/>
                <w:color w:val="FF0000"/>
                <w:sz w:val="18"/>
                <w:szCs w:val="18"/>
              </w:rPr>
              <w:t xml:space="preserve"> </w:t>
            </w:r>
            <w:proofErr w:type="spellStart"/>
            <w:r w:rsidRPr="00612015">
              <w:rPr>
                <w:rFonts w:ascii="Arial" w:hAnsi="Arial" w:cs="Arial"/>
                <w:color w:val="FF0000"/>
                <w:sz w:val="18"/>
                <w:szCs w:val="18"/>
              </w:rPr>
              <w:t>hypothesis</w:t>
            </w:r>
            <w:proofErr w:type="spellEnd"/>
            <w:r w:rsidRPr="00612015">
              <w:rPr>
                <w:rFonts w:ascii="Arial" w:hAnsi="Arial" w:cs="Arial"/>
                <w:color w:val="FF0000"/>
                <w:sz w:val="18"/>
                <w:szCs w:val="18"/>
              </w:rPr>
              <w:t xml:space="preserve">: </w:t>
            </w:r>
            <w:proofErr w:type="spellStart"/>
            <w:r w:rsidRPr="00612015">
              <w:rPr>
                <w:rFonts w:ascii="Arial" w:hAnsi="Arial" w:cs="Arial"/>
                <w:color w:val="FF0000"/>
                <w:sz w:val="18"/>
                <w:szCs w:val="18"/>
              </w:rPr>
              <w:t>true</w:t>
            </w:r>
            <w:proofErr w:type="spellEnd"/>
            <w:r w:rsidRPr="00612015">
              <w:rPr>
                <w:rFonts w:ascii="Arial" w:hAnsi="Arial" w:cs="Arial"/>
                <w:color w:val="FF0000"/>
                <w:sz w:val="18"/>
                <w:szCs w:val="18"/>
              </w:rPr>
              <w:t xml:space="preserve"> area = 0.5</w:t>
            </w:r>
          </w:p>
        </w:tc>
      </w:tr>
    </w:tbl>
    <w:p w:rsidR="00C40021" w:rsidRPr="007F1585" w:rsidRDefault="00C40021" w:rsidP="00C40021">
      <w:pPr>
        <w:autoSpaceDE w:val="0"/>
        <w:autoSpaceDN w:val="0"/>
        <w:adjustRightInd w:val="0"/>
        <w:spacing w:after="0" w:line="400" w:lineRule="atLeast"/>
        <w:rPr>
          <w:rFonts w:ascii="Times New Roman" w:hAnsi="Times New Roman"/>
        </w:rPr>
      </w:pPr>
    </w:p>
    <w:p w:rsidR="00C40021" w:rsidRPr="003F45C6" w:rsidRDefault="00C40021" w:rsidP="00C40021">
      <w:pPr>
        <w:pStyle w:val="NoSpacing"/>
        <w:rPr>
          <w:rFonts w:ascii="Arial" w:hAnsi="Arial" w:cs="Arial"/>
          <w:sz w:val="24"/>
          <w:szCs w:val="24"/>
        </w:rPr>
      </w:pPr>
      <w:r>
        <w:rPr>
          <w:rFonts w:ascii="Times New Roman" w:hAnsi="Times New Roman"/>
          <w:noProof/>
          <w:lang w:val="en-US"/>
        </w:rPr>
        <w:lastRenderedPageBreak/>
        <w:drawing>
          <wp:inline distT="0" distB="0" distL="0" distR="0" wp14:anchorId="3AA23F1C" wp14:editId="7D5BE6B1">
            <wp:extent cx="5943600" cy="47548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754880"/>
                    </a:xfrm>
                    <a:prstGeom prst="rect">
                      <a:avLst/>
                    </a:prstGeom>
                    <a:noFill/>
                    <a:ln>
                      <a:noFill/>
                    </a:ln>
                  </pic:spPr>
                </pic:pic>
              </a:graphicData>
            </a:graphic>
          </wp:inline>
        </w:drawing>
      </w:r>
    </w:p>
    <w:p w:rsidR="00C40021" w:rsidRPr="003F45C6" w:rsidRDefault="00C40021" w:rsidP="00C40021">
      <w:pPr>
        <w:pStyle w:val="NoSpacing"/>
        <w:rPr>
          <w:rFonts w:ascii="Arial" w:hAnsi="Arial" w:cs="Arial"/>
          <w:sz w:val="24"/>
          <w:szCs w:val="24"/>
        </w:rPr>
      </w:pPr>
    </w:p>
    <w:p w:rsidR="00C40021" w:rsidRPr="00075940" w:rsidRDefault="00C40021" w:rsidP="00C40021">
      <w:pPr>
        <w:pStyle w:val="NoSpacing"/>
        <w:spacing w:line="276" w:lineRule="auto"/>
        <w:jc w:val="both"/>
        <w:rPr>
          <w:rFonts w:ascii="Times New Roman" w:eastAsia="Times New Roman" w:hAnsi="Times New Roman" w:cs="Times New Roman"/>
          <w:b/>
          <w:sz w:val="24"/>
          <w:szCs w:val="24"/>
          <w:lang w:eastAsia="fr-FR"/>
        </w:rPr>
      </w:pPr>
    </w:p>
    <w:p w:rsidR="00C40021" w:rsidRPr="00075940" w:rsidRDefault="00C40021" w:rsidP="00C40021">
      <w:pPr>
        <w:pStyle w:val="NoSpacing"/>
        <w:spacing w:line="276" w:lineRule="auto"/>
        <w:jc w:val="both"/>
        <w:rPr>
          <w:rFonts w:ascii="Times New Roman" w:eastAsia="Times New Roman" w:hAnsi="Times New Roman" w:cs="Times New Roman"/>
          <w:b/>
          <w:sz w:val="24"/>
          <w:szCs w:val="24"/>
          <w:lang w:eastAsia="fr-FR"/>
        </w:rPr>
      </w:pPr>
    </w:p>
    <w:p w:rsidR="00C40021" w:rsidRPr="00075940" w:rsidRDefault="00C40021" w:rsidP="00C40021">
      <w:pPr>
        <w:pStyle w:val="NoSpacing"/>
        <w:spacing w:line="276" w:lineRule="auto"/>
        <w:jc w:val="both"/>
        <w:rPr>
          <w:rFonts w:ascii="Times New Roman" w:eastAsia="Times New Roman" w:hAnsi="Times New Roman" w:cs="Times New Roman"/>
          <w:b/>
          <w:sz w:val="24"/>
          <w:szCs w:val="24"/>
          <w:lang w:eastAsia="fr-FR"/>
        </w:rPr>
      </w:pPr>
      <w:bookmarkStart w:id="0" w:name="_GoBack"/>
      <w:bookmarkEnd w:id="0"/>
    </w:p>
    <w:p w:rsidR="00402883" w:rsidRDefault="00402883"/>
    <w:sectPr w:rsidR="00402883" w:rsidSect="00C40021">
      <w:pgSz w:w="16840" w:h="11900" w:orient="landscape"/>
      <w:pgMar w:top="1418" w:right="1418" w:bottom="1418" w:left="1418"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21"/>
    <w:rsid w:val="003A444C"/>
    <w:rsid w:val="00402883"/>
    <w:rsid w:val="00C400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3AA1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2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021"/>
    <w:rPr>
      <w:rFonts w:eastAsiaTheme="minorHAnsi"/>
      <w:sz w:val="22"/>
      <w:szCs w:val="22"/>
    </w:rPr>
  </w:style>
  <w:style w:type="character" w:styleId="LineNumber">
    <w:name w:val="line number"/>
    <w:basedOn w:val="DefaultParagraphFont"/>
    <w:uiPriority w:val="99"/>
    <w:semiHidden/>
    <w:unhideWhenUsed/>
    <w:rsid w:val="00C40021"/>
  </w:style>
  <w:style w:type="paragraph" w:styleId="BalloonText">
    <w:name w:val="Balloon Text"/>
    <w:basedOn w:val="Normal"/>
    <w:link w:val="BalloonTextChar"/>
    <w:uiPriority w:val="99"/>
    <w:semiHidden/>
    <w:unhideWhenUsed/>
    <w:rsid w:val="00C4002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021"/>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2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021"/>
    <w:rPr>
      <w:rFonts w:eastAsiaTheme="minorHAnsi"/>
      <w:sz w:val="22"/>
      <w:szCs w:val="22"/>
    </w:rPr>
  </w:style>
  <w:style w:type="character" w:styleId="LineNumber">
    <w:name w:val="line number"/>
    <w:basedOn w:val="DefaultParagraphFont"/>
    <w:uiPriority w:val="99"/>
    <w:semiHidden/>
    <w:unhideWhenUsed/>
    <w:rsid w:val="00C40021"/>
  </w:style>
  <w:style w:type="paragraph" w:styleId="BalloonText">
    <w:name w:val="Balloon Text"/>
    <w:basedOn w:val="Normal"/>
    <w:link w:val="BalloonTextChar"/>
    <w:uiPriority w:val="99"/>
    <w:semiHidden/>
    <w:unhideWhenUsed/>
    <w:rsid w:val="00C4002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021"/>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791</Characters>
  <Application>Microsoft Macintosh Word</Application>
  <DocSecurity>0</DocSecurity>
  <Lines>14</Lines>
  <Paragraphs>2</Paragraphs>
  <ScaleCrop>false</ScaleCrop>
  <Company>Mohamed JEMAA</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JEMAA</dc:creator>
  <cp:keywords/>
  <dc:description/>
  <cp:lastModifiedBy>Mohamed JEMAA</cp:lastModifiedBy>
  <cp:revision>1</cp:revision>
  <dcterms:created xsi:type="dcterms:W3CDTF">2024-04-11T09:35:00Z</dcterms:created>
  <dcterms:modified xsi:type="dcterms:W3CDTF">2024-04-11T09:35:00Z</dcterms:modified>
</cp:coreProperties>
</file>