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275" w:tblpY="2106"/>
        <w:tblOverlap w:val="never"/>
        <w:tblW w:w="9680" w:type="dxa"/>
        <w:tblLook w:val="04A0" w:firstRow="1" w:lastRow="0" w:firstColumn="1" w:lastColumn="0" w:noHBand="0" w:noVBand="1"/>
      </w:tblPr>
      <w:tblGrid>
        <w:gridCol w:w="3225"/>
        <w:gridCol w:w="3228"/>
        <w:gridCol w:w="3227"/>
      </w:tblGrid>
      <w:tr w:rsidR="00BF4B78" w14:paraId="6E57E6FF" w14:textId="77777777">
        <w:trPr>
          <w:trHeight w:val="336"/>
        </w:trPr>
        <w:tc>
          <w:tcPr>
            <w:tcW w:w="32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84608C" w14:textId="77777777" w:rsidR="00BF4B78" w:rsidRDefault="004E3A7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Reagent</w:t>
            </w:r>
          </w:p>
        </w:tc>
        <w:tc>
          <w:tcPr>
            <w:tcW w:w="32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78BF44" w14:textId="77777777" w:rsidR="00BF4B78" w:rsidRDefault="004E3A7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Concentration(mM)</w:t>
            </w:r>
          </w:p>
        </w:tc>
        <w:tc>
          <w:tcPr>
            <w:tcW w:w="32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4E5678" w14:textId="77777777" w:rsidR="00BF4B78" w:rsidRDefault="004E3A7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Dosage(mL)</w:t>
            </w:r>
          </w:p>
        </w:tc>
      </w:tr>
      <w:tr w:rsidR="00BF4B78" w14:paraId="47215D65" w14:textId="77777777">
        <w:trPr>
          <w:trHeight w:val="336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45C7B0" w14:textId="77777777" w:rsidR="00BF4B78" w:rsidRDefault="004E3A7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phosphate buffer</w:t>
            </w: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pH 7.8)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0A78F0" w14:textId="77777777" w:rsidR="00BF4B78" w:rsidRDefault="004E3A7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E6C66" w14:textId="77777777" w:rsidR="00BF4B78" w:rsidRDefault="004E3A7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1</w:t>
            </w:r>
          </w:p>
        </w:tc>
      </w:tr>
      <w:tr w:rsidR="00BF4B78" w14:paraId="62501746" w14:textId="77777777">
        <w:trPr>
          <w:trHeight w:val="336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8CB73" w14:textId="77777777" w:rsidR="00BF4B78" w:rsidRDefault="004E3A7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Ferrous sulfate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71D9DC" w14:textId="77777777" w:rsidR="00BF4B78" w:rsidRDefault="004E3A7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FBA04" w14:textId="77777777" w:rsidR="00BF4B78" w:rsidRDefault="004E3A7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BF4B78" w14:paraId="26C006B1" w14:textId="77777777">
        <w:trPr>
          <w:trHeight w:val="336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99C0F5" w14:textId="77777777" w:rsidR="00BF4B78" w:rsidRPr="0076182A" w:rsidRDefault="004E3A7C" w:rsidP="0076182A">
            <w:pPr>
              <w:widowControl/>
              <w:ind w:firstLineChars="300" w:firstLine="630"/>
              <w:jc w:val="left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kern w:val="0"/>
                <w:szCs w:val="21"/>
                <w:lang w:bidi="ar"/>
              </w:rPr>
            </w:pPr>
            <w:r w:rsidRPr="0076182A"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hydrogen peroxide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C3963" w14:textId="77777777" w:rsidR="00BF4B78" w:rsidRDefault="004E3A7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8.8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2889F" w14:textId="77777777" w:rsidR="00BF4B78" w:rsidRDefault="004E3A7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BF4B78" w14:paraId="550F7D11" w14:textId="77777777">
        <w:trPr>
          <w:trHeight w:val="336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D805B" w14:textId="77777777" w:rsidR="00BF4B78" w:rsidRPr="0076182A" w:rsidRDefault="0076182A" w:rsidP="0076182A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kern w:val="0"/>
                <w:szCs w:val="21"/>
                <w:lang w:bidi="ar"/>
              </w:rPr>
            </w:pPr>
            <w:r w:rsidRPr="0076182A">
              <w:rPr>
                <w:rFonts w:ascii="Times New Roman Regular" w:eastAsia="SimSun" w:hAnsi="Times New Roman Regular" w:cs="Times New Roman Regular" w:hint="eastAsia"/>
                <w:color w:val="000000"/>
                <w:kern w:val="0"/>
                <w:szCs w:val="21"/>
                <w:lang w:bidi="ar"/>
              </w:rPr>
              <w:t>Salicylic acid</w:t>
            </w: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 xml:space="preserve"> 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C1E48B" w14:textId="77777777" w:rsidR="00BF4B78" w:rsidRDefault="004E3A7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699F43" w14:textId="77777777" w:rsidR="00BF4B78" w:rsidRDefault="004E3A7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2</w:t>
            </w:r>
          </w:p>
        </w:tc>
      </w:tr>
      <w:tr w:rsidR="00BF4B78" w14:paraId="1E067FE1" w14:textId="77777777">
        <w:trPr>
          <w:trHeight w:val="336"/>
        </w:trPr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3DEA10" w14:textId="77777777" w:rsidR="00BF4B78" w:rsidRDefault="004E3A7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Sample solution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8494F70" w14:textId="77777777" w:rsidR="00BF4B78" w:rsidRDefault="004E3A7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/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795D8B" w14:textId="77777777" w:rsidR="00BF4B78" w:rsidRDefault="004E3A7C">
            <w:pPr>
              <w:widowControl/>
              <w:jc w:val="center"/>
              <w:textAlignment w:val="center"/>
              <w:rPr>
                <w:rFonts w:ascii="Times New Roman Regular" w:eastAsia="SimSun" w:hAnsi="Times New Roman Regular" w:cs="Times New Roman Regular" w:hint="eastAsia"/>
                <w:color w:val="000000"/>
                <w:szCs w:val="21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Cs w:val="21"/>
                <w:lang w:bidi="ar"/>
              </w:rPr>
              <w:t>2</w:t>
            </w:r>
          </w:p>
        </w:tc>
      </w:tr>
    </w:tbl>
    <w:p w14:paraId="7A64A13E" w14:textId="0383645E" w:rsidR="00BF4B78" w:rsidRPr="004E3A7C" w:rsidRDefault="00666F13" w:rsidP="0008168B">
      <w:pPr>
        <w:widowControl/>
        <w:jc w:val="left"/>
        <w:textAlignment w:val="center"/>
        <w:rPr>
          <w:rFonts w:ascii="Times New Roman Regular" w:eastAsia="SimSun" w:hAnsi="Times New Roman Regular" w:cs="Times New Roman Regular" w:hint="eastAsia"/>
          <w:b/>
          <w:color w:val="000000"/>
          <w:kern w:val="0"/>
          <w:szCs w:val="21"/>
          <w:lang w:bidi="ar"/>
        </w:rPr>
      </w:pPr>
      <w:r w:rsidRPr="00666F13">
        <w:rPr>
          <w:rFonts w:ascii="Times New Roman Regular" w:eastAsia="SimSun" w:hAnsi="Times New Roman Regular" w:cs="Times New Roman Regular"/>
          <w:b/>
          <w:color w:val="000000"/>
          <w:kern w:val="0"/>
          <w:szCs w:val="21"/>
          <w:lang w:bidi="ar"/>
        </w:rPr>
        <w:t>Table</w:t>
      </w:r>
      <w:r w:rsidR="004E3A7C" w:rsidRPr="004E3A7C">
        <w:rPr>
          <w:rFonts w:ascii="Times New Roman Regular" w:eastAsia="SimSun" w:hAnsi="Times New Roman Regular" w:cs="Times New Roman Regular"/>
          <w:b/>
          <w:color w:val="000000"/>
          <w:kern w:val="0"/>
          <w:szCs w:val="21"/>
          <w:lang w:bidi="ar"/>
        </w:rPr>
        <w:t xml:space="preserve"> </w:t>
      </w:r>
      <w:r w:rsidR="0008168B">
        <w:rPr>
          <w:rFonts w:ascii="Times New Roman Regular" w:eastAsia="SimSun" w:hAnsi="Times New Roman Regular" w:cs="Times New Roman Regular"/>
          <w:b/>
          <w:color w:val="000000"/>
          <w:kern w:val="0"/>
          <w:szCs w:val="21"/>
          <w:lang w:bidi="ar"/>
        </w:rPr>
        <w:t>S</w:t>
      </w:r>
      <w:r w:rsidR="00913B2E">
        <w:rPr>
          <w:rFonts w:ascii="Times New Roman Regular" w:eastAsia="SimSun" w:hAnsi="Times New Roman Regular" w:cs="Times New Roman Regular"/>
          <w:b/>
          <w:color w:val="000000"/>
          <w:kern w:val="0"/>
          <w:szCs w:val="21"/>
          <w:lang w:bidi="ar"/>
        </w:rPr>
        <w:t>2</w:t>
      </w:r>
      <w:r w:rsidR="0008168B">
        <w:rPr>
          <w:rFonts w:ascii="Times New Roman Regular" w:eastAsia="SimSun" w:hAnsi="Times New Roman Regular" w:cs="Times New Roman Regular"/>
          <w:b/>
          <w:color w:val="000000"/>
          <w:kern w:val="0"/>
          <w:szCs w:val="21"/>
          <w:lang w:bidi="ar"/>
        </w:rPr>
        <w:t xml:space="preserve">. </w:t>
      </w:r>
      <w:bookmarkStart w:id="0" w:name="_Hlk142834156"/>
      <w:r w:rsidR="0076182A" w:rsidRPr="0008168B">
        <w:rPr>
          <w:rFonts w:ascii="Times New Roman Regular" w:eastAsia="SimSun" w:hAnsi="Times New Roman Regular" w:cs="Times New Roman Regular"/>
          <w:bCs/>
          <w:color w:val="000000"/>
          <w:kern w:val="0"/>
          <w:szCs w:val="21"/>
          <w:lang w:bidi="ar"/>
        </w:rPr>
        <w:t>T</w:t>
      </w:r>
      <w:r w:rsidR="0076182A" w:rsidRPr="0008168B">
        <w:rPr>
          <w:rFonts w:ascii="Times New Roman Regular" w:eastAsia="SimSun" w:hAnsi="Times New Roman Regular" w:cs="Times New Roman Regular" w:hint="eastAsia"/>
          <w:bCs/>
          <w:color w:val="000000"/>
          <w:kern w:val="0"/>
          <w:szCs w:val="21"/>
          <w:lang w:bidi="ar"/>
        </w:rPr>
        <w:t>he</w:t>
      </w:r>
      <w:r w:rsidR="0076182A" w:rsidRPr="0008168B">
        <w:rPr>
          <w:rFonts w:ascii="Times New Roman Regular" w:eastAsia="SimSun" w:hAnsi="Times New Roman Regular" w:cs="Times New Roman Regular"/>
          <w:bCs/>
          <w:color w:val="000000"/>
          <w:kern w:val="0"/>
          <w:szCs w:val="21"/>
          <w:lang w:bidi="ar"/>
        </w:rPr>
        <w:t xml:space="preserve"> </w:t>
      </w:r>
      <w:r w:rsidR="0076182A" w:rsidRPr="0008168B">
        <w:rPr>
          <w:rFonts w:ascii="Times New Roman Regular" w:eastAsia="SimSun" w:hAnsi="Times New Roman Regular" w:cs="Times New Roman Regular" w:hint="eastAsia"/>
          <w:bCs/>
          <w:color w:val="000000"/>
          <w:kern w:val="0"/>
          <w:szCs w:val="21"/>
          <w:lang w:bidi="ar"/>
        </w:rPr>
        <w:t>r</w:t>
      </w:r>
      <w:r w:rsidR="004E3A7C" w:rsidRPr="0008168B">
        <w:rPr>
          <w:rFonts w:ascii="Times New Roman Regular" w:eastAsia="SimSun" w:hAnsi="Times New Roman Regular" w:cs="Times New Roman Regular" w:hint="eastAsia"/>
          <w:bCs/>
          <w:color w:val="000000"/>
          <w:kern w:val="0"/>
          <w:szCs w:val="21"/>
          <w:lang w:bidi="ar"/>
        </w:rPr>
        <w:t>eaction</w:t>
      </w:r>
      <w:r w:rsidR="0076182A" w:rsidRPr="0008168B">
        <w:rPr>
          <w:rFonts w:ascii="Times New Roman Regular" w:eastAsia="SimSun" w:hAnsi="Times New Roman Regular" w:cs="Times New Roman Regular"/>
          <w:bCs/>
          <w:color w:val="000000"/>
          <w:kern w:val="0"/>
          <w:szCs w:val="21"/>
          <w:lang w:bidi="ar"/>
        </w:rPr>
        <w:t xml:space="preserve"> buffer for</w:t>
      </w:r>
      <w:r w:rsidR="004E3A7C" w:rsidRPr="0008168B">
        <w:rPr>
          <w:rFonts w:ascii="Times New Roman Regular" w:eastAsia="SimSun" w:hAnsi="Times New Roman Regular" w:cs="Times New Roman Regular"/>
          <w:bCs/>
          <w:color w:val="000000"/>
          <w:kern w:val="0"/>
          <w:szCs w:val="21"/>
          <w:lang w:bidi="ar"/>
        </w:rPr>
        <w:t xml:space="preserve"> detecting</w:t>
      </w:r>
      <w:r w:rsidR="0076182A" w:rsidRPr="0008168B">
        <w:rPr>
          <w:rFonts w:ascii="Times New Roman Regular" w:eastAsia="SimSun" w:hAnsi="Times New Roman Regular" w:cs="Times New Roman Regular"/>
          <w:bCs/>
          <w:color w:val="000000"/>
          <w:kern w:val="0"/>
          <w:szCs w:val="21"/>
          <w:lang w:bidi="ar"/>
        </w:rPr>
        <w:t xml:space="preserve"> </w:t>
      </w:r>
      <w:r w:rsidR="004E3A7C" w:rsidRPr="0008168B">
        <w:rPr>
          <w:rFonts w:ascii="Times New Roman Regular" w:eastAsia="SimSun" w:hAnsi="Times New Roman Regular" w:cs="Times New Roman Regular"/>
          <w:bCs/>
          <w:color w:val="000000"/>
          <w:kern w:val="0"/>
          <w:szCs w:val="21"/>
          <w:lang w:bidi="ar"/>
        </w:rPr>
        <w:t>scavenging power of hydroxyl radicals</w:t>
      </w:r>
      <w:bookmarkEnd w:id="0"/>
    </w:p>
    <w:sectPr w:rsidR="00BF4B78" w:rsidRPr="004E3A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86E42" w14:textId="77777777" w:rsidR="00B13202" w:rsidRDefault="00B13202" w:rsidP="00913B2E">
      <w:r>
        <w:separator/>
      </w:r>
    </w:p>
  </w:endnote>
  <w:endnote w:type="continuationSeparator" w:id="0">
    <w:p w14:paraId="5F137322" w14:textId="77777777" w:rsidR="00B13202" w:rsidRDefault="00B13202" w:rsidP="00913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F8EBE" w14:textId="77777777" w:rsidR="00B13202" w:rsidRDefault="00B13202" w:rsidP="00913B2E">
      <w:r>
        <w:separator/>
      </w:r>
    </w:p>
  </w:footnote>
  <w:footnote w:type="continuationSeparator" w:id="0">
    <w:p w14:paraId="365C0D6D" w14:textId="77777777" w:rsidR="00B13202" w:rsidRDefault="00B13202" w:rsidP="00913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hyphenationZone w:val="42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DFEF8552"/>
    <w:rsid w:val="DFEF8552"/>
    <w:rsid w:val="0008168B"/>
    <w:rsid w:val="004E3A7C"/>
    <w:rsid w:val="00666F13"/>
    <w:rsid w:val="0076182A"/>
    <w:rsid w:val="00913B2E"/>
    <w:rsid w:val="00B13202"/>
    <w:rsid w:val="00B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236DFE"/>
  <w15:docId w15:val="{370C5D63-EC65-4C51-A85B-FF61FFEA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913B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KoptekstChar">
    <w:name w:val="Koptekst Char"/>
    <w:basedOn w:val="Standaardalinea-lettertype"/>
    <w:link w:val="Koptekst"/>
    <w:rsid w:val="00913B2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Voettekst">
    <w:name w:val="footer"/>
    <w:basedOn w:val="Standaard"/>
    <w:link w:val="VoettekstChar"/>
    <w:rsid w:val="00913B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rsid w:val="00913B2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203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于影</dc:creator>
  <cp:lastModifiedBy>Hilhorst, Henk</cp:lastModifiedBy>
  <cp:revision>2</cp:revision>
  <dcterms:created xsi:type="dcterms:W3CDTF">2023-08-13T13:49:00Z</dcterms:created>
  <dcterms:modified xsi:type="dcterms:W3CDTF">2023-08-13T13:49:00Z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7C01921B38BE1DE6EC07876375DAEE6D</vt:lpwstr>
  </property>
</Properties>
</file>