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7FC9" w14:textId="055E46AF" w:rsidR="00882BA1" w:rsidRPr="002E7F18" w:rsidRDefault="00882BA1" w:rsidP="00882BA1">
      <w:pPr>
        <w:spacing w:line="360" w:lineRule="auto"/>
        <w:rPr>
          <w:rFonts w:ascii="Palatino" w:hAnsi="Palatino"/>
          <w:b/>
        </w:rPr>
      </w:pPr>
      <w:r w:rsidRPr="002E7F18">
        <w:rPr>
          <w:rFonts w:ascii="Palatino" w:hAnsi="Palatino"/>
          <w:b/>
        </w:rPr>
        <w:t>Appendix 2</w:t>
      </w:r>
      <w:r w:rsidR="006C221D">
        <w:rPr>
          <w:rFonts w:ascii="Palatino" w:hAnsi="Palatino"/>
          <w:b/>
        </w:rPr>
        <w:t>.</w:t>
      </w:r>
      <w:r w:rsidRPr="002E7F18">
        <w:rPr>
          <w:rFonts w:ascii="Palatino" w:hAnsi="Palatino"/>
          <w:b/>
        </w:rPr>
        <w:t xml:space="preserve"> </w:t>
      </w:r>
      <w:r w:rsidRPr="006C221D">
        <w:rPr>
          <w:rFonts w:ascii="Palatino" w:hAnsi="Palatino"/>
          <w:i/>
        </w:rPr>
        <w:t>Key traits recorded in the round barrow relationships database</w:t>
      </w:r>
      <w:r w:rsidR="006C221D" w:rsidRPr="006C221D">
        <w:rPr>
          <w:rFonts w:ascii="Palatino" w:hAnsi="Palatino"/>
          <w:i/>
        </w:rPr>
        <w:t>.</w:t>
      </w:r>
    </w:p>
    <w:p w14:paraId="647F0681" w14:textId="77777777" w:rsidR="003330EA" w:rsidRPr="002E7F18" w:rsidRDefault="003330EA" w:rsidP="003330EA">
      <w:pPr>
        <w:spacing w:line="360" w:lineRule="auto"/>
        <w:rPr>
          <w:rFonts w:ascii="Palatino" w:hAnsi="Palati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308"/>
      </w:tblGrid>
      <w:tr w:rsidR="003330EA" w:rsidRPr="006C221D" w14:paraId="78BFCD24" w14:textId="77777777" w:rsidTr="006C221D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8295D73" w14:textId="77777777" w:rsidR="003330EA" w:rsidRPr="006C221D" w:rsidRDefault="003330EA" w:rsidP="006C221D">
            <w:pPr>
              <w:contextualSpacing/>
              <w:rPr>
                <w:rFonts w:ascii="Palatino" w:hAnsi="Palatino"/>
                <w:b/>
                <w:sz w:val="18"/>
                <w:szCs w:val="18"/>
              </w:rPr>
            </w:pPr>
            <w:r w:rsidRPr="006C221D">
              <w:rPr>
                <w:rFonts w:ascii="Palatino" w:hAnsi="Palatino"/>
                <w:b/>
                <w:sz w:val="18"/>
                <w:szCs w:val="18"/>
              </w:rPr>
              <w:t>Trait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F2F5C4" w14:textId="77777777" w:rsidR="003330EA" w:rsidRPr="006C221D" w:rsidRDefault="003330EA" w:rsidP="006C221D">
            <w:pPr>
              <w:contextualSpacing/>
              <w:rPr>
                <w:rFonts w:ascii="Palatino" w:hAnsi="Palatino"/>
                <w:b/>
                <w:sz w:val="18"/>
                <w:szCs w:val="18"/>
              </w:rPr>
            </w:pPr>
            <w:r w:rsidRPr="006C221D">
              <w:rPr>
                <w:rFonts w:ascii="Palatino" w:hAnsi="Palatino"/>
                <w:b/>
                <w:sz w:val="18"/>
                <w:szCs w:val="18"/>
              </w:rPr>
              <w:t>Example</w:t>
            </w:r>
          </w:p>
        </w:tc>
        <w:tc>
          <w:tcPr>
            <w:tcW w:w="4308" w:type="dxa"/>
            <w:shd w:val="clear" w:color="auto" w:fill="D9D9D9" w:themeFill="background1" w:themeFillShade="D9"/>
            <w:vAlign w:val="center"/>
          </w:tcPr>
          <w:p w14:paraId="34CB5D1C" w14:textId="77777777" w:rsidR="003330EA" w:rsidRPr="006C221D" w:rsidRDefault="003330EA" w:rsidP="006C221D">
            <w:pPr>
              <w:contextualSpacing/>
              <w:rPr>
                <w:rFonts w:ascii="Palatino" w:hAnsi="Palatino"/>
                <w:b/>
                <w:sz w:val="18"/>
                <w:szCs w:val="18"/>
              </w:rPr>
            </w:pPr>
            <w:r w:rsidRPr="006C221D">
              <w:rPr>
                <w:rFonts w:ascii="Palatino" w:hAnsi="Palatino"/>
                <w:b/>
                <w:sz w:val="18"/>
                <w:szCs w:val="18"/>
              </w:rPr>
              <w:t>Details</w:t>
            </w:r>
          </w:p>
        </w:tc>
      </w:tr>
      <w:tr w:rsidR="003330EA" w:rsidRPr="002E7F18" w14:paraId="03D65F2B" w14:textId="77777777" w:rsidTr="006C221D">
        <w:tc>
          <w:tcPr>
            <w:tcW w:w="1951" w:type="dxa"/>
            <w:vAlign w:val="center"/>
          </w:tcPr>
          <w:p w14:paraId="712DD357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Broad later monument type</w:t>
            </w:r>
          </w:p>
        </w:tc>
        <w:tc>
          <w:tcPr>
            <w:tcW w:w="2977" w:type="dxa"/>
            <w:vAlign w:val="center"/>
          </w:tcPr>
          <w:p w14:paraId="061194CA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Cremation, field system, settlement</w:t>
            </w:r>
          </w:p>
        </w:tc>
        <w:tc>
          <w:tcPr>
            <w:tcW w:w="4308" w:type="dxa"/>
            <w:vAlign w:val="center"/>
          </w:tcPr>
          <w:p w14:paraId="6B85B750" w14:textId="0427346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Based on criteria enshrined in Historic England’s Monument Type Thesaurus</w:t>
            </w:r>
            <w:r w:rsidR="006C221D">
              <w:rPr>
                <w:rFonts w:ascii="Palatino" w:hAnsi="Palatino"/>
                <w:sz w:val="18"/>
                <w:szCs w:val="18"/>
              </w:rPr>
              <w:t>.</w:t>
            </w:r>
            <w:r w:rsidR="00F21064">
              <w:rPr>
                <w:rFonts w:ascii="Palatino" w:hAnsi="Palatino"/>
                <w:sz w:val="18"/>
                <w:szCs w:val="18"/>
                <w:vertAlign w:val="superscript"/>
              </w:rPr>
              <w:t>1</w:t>
            </w:r>
            <w:r w:rsidRPr="002E7F18">
              <w:rPr>
                <w:rFonts w:ascii="Palatino" w:hAnsi="Palatino"/>
                <w:sz w:val="18"/>
                <w:szCs w:val="18"/>
              </w:rPr>
              <w:t xml:space="preserve"> Where possible, monument types were grouped interpretatively (e.g. ‘occupation site’ was used rather than pit, post</w:t>
            </w:r>
            <w:r w:rsidR="006C221D">
              <w:rPr>
                <w:rFonts w:ascii="Palatino" w:hAnsi="Palatino"/>
                <w:sz w:val="18"/>
                <w:szCs w:val="18"/>
              </w:rPr>
              <w:t>-</w:t>
            </w:r>
            <w:r w:rsidRPr="002E7F18">
              <w:rPr>
                <w:rFonts w:ascii="Palatino" w:hAnsi="Palatino"/>
                <w:sz w:val="18"/>
                <w:szCs w:val="18"/>
              </w:rPr>
              <w:t>hole</w:t>
            </w:r>
            <w:r w:rsidR="006C221D">
              <w:rPr>
                <w:rFonts w:ascii="Palatino" w:hAnsi="Palatino"/>
                <w:sz w:val="18"/>
                <w:szCs w:val="18"/>
              </w:rPr>
              <w:t>,</w:t>
            </w:r>
            <w:r w:rsidRPr="002E7F18">
              <w:rPr>
                <w:rFonts w:ascii="Palatino" w:hAnsi="Palatino"/>
                <w:sz w:val="18"/>
                <w:szCs w:val="18"/>
              </w:rPr>
              <w:t xml:space="preserve"> etc.)</w:t>
            </w:r>
          </w:p>
        </w:tc>
      </w:tr>
      <w:tr w:rsidR="003330EA" w:rsidRPr="002E7F18" w14:paraId="6AD605AC" w14:textId="77777777" w:rsidTr="006C221D">
        <w:tc>
          <w:tcPr>
            <w:tcW w:w="1951" w:type="dxa"/>
            <w:vAlign w:val="center"/>
          </w:tcPr>
          <w:p w14:paraId="520DA5B3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Broad date</w:t>
            </w:r>
          </w:p>
        </w:tc>
        <w:tc>
          <w:tcPr>
            <w:tcW w:w="2977" w:type="dxa"/>
            <w:vAlign w:val="center"/>
          </w:tcPr>
          <w:p w14:paraId="709A9CE4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Later Bronze Age, Iron Age</w:t>
            </w:r>
          </w:p>
        </w:tc>
        <w:tc>
          <w:tcPr>
            <w:tcW w:w="4308" w:type="dxa"/>
            <w:vAlign w:val="center"/>
          </w:tcPr>
          <w:p w14:paraId="7681C100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</w:p>
        </w:tc>
      </w:tr>
      <w:tr w:rsidR="003330EA" w:rsidRPr="002E7F18" w14:paraId="6FACA261" w14:textId="77777777" w:rsidTr="006C221D">
        <w:tc>
          <w:tcPr>
            <w:tcW w:w="1951" w:type="dxa"/>
            <w:vAlign w:val="center"/>
          </w:tcPr>
          <w:p w14:paraId="2FA48E3F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Specific date</w:t>
            </w:r>
          </w:p>
        </w:tc>
        <w:tc>
          <w:tcPr>
            <w:tcW w:w="2977" w:type="dxa"/>
            <w:vAlign w:val="center"/>
          </w:tcPr>
          <w:p w14:paraId="56F1DCFA" w14:textId="0CFCBF09" w:rsidR="003330EA" w:rsidRPr="002E7F18" w:rsidRDefault="006C221D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>
              <w:rPr>
                <w:rFonts w:ascii="Palatino" w:hAnsi="Palatino"/>
                <w:smallCaps/>
                <w:sz w:val="18"/>
                <w:szCs w:val="18"/>
              </w:rPr>
              <w:t>ad</w:t>
            </w:r>
            <w:r w:rsidR="003330EA" w:rsidRPr="002E7F18">
              <w:rPr>
                <w:rFonts w:ascii="Palatino" w:hAnsi="Palatino"/>
                <w:sz w:val="18"/>
                <w:szCs w:val="18"/>
              </w:rPr>
              <w:t xml:space="preserve"> 150</w:t>
            </w:r>
            <w:r>
              <w:rPr>
                <w:rFonts w:ascii="Palatino" w:hAnsi="Palatino"/>
                <w:sz w:val="18"/>
                <w:szCs w:val="18"/>
              </w:rPr>
              <w:t>–</w:t>
            </w:r>
            <w:r w:rsidR="003330EA" w:rsidRPr="002E7F18">
              <w:rPr>
                <w:rFonts w:ascii="Palatino" w:hAnsi="Palatino"/>
                <w:sz w:val="18"/>
                <w:szCs w:val="18"/>
              </w:rPr>
              <w:t>275</w:t>
            </w:r>
          </w:p>
        </w:tc>
        <w:tc>
          <w:tcPr>
            <w:tcW w:w="4308" w:type="dxa"/>
            <w:vAlign w:val="center"/>
          </w:tcPr>
          <w:p w14:paraId="17B757B6" w14:textId="464C6D8D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 xml:space="preserve">Where </w:t>
            </w:r>
            <w:r w:rsidR="00E61EC0" w:rsidRPr="002E7F18">
              <w:rPr>
                <w:rFonts w:ascii="Palatino" w:hAnsi="Palatino"/>
                <w:sz w:val="18"/>
                <w:szCs w:val="18"/>
              </w:rPr>
              <w:t>known</w:t>
            </w:r>
          </w:p>
        </w:tc>
      </w:tr>
      <w:tr w:rsidR="003330EA" w:rsidRPr="002E7F18" w14:paraId="7B2A6677" w14:textId="77777777" w:rsidTr="006C221D">
        <w:tc>
          <w:tcPr>
            <w:tcW w:w="1951" w:type="dxa"/>
            <w:vMerge w:val="restart"/>
            <w:vAlign w:val="center"/>
          </w:tcPr>
          <w:p w14:paraId="4CDE4518" w14:textId="1FB65781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Relationship between later activity and round barrow</w:t>
            </w:r>
            <w:r w:rsidR="00F21064">
              <w:rPr>
                <w:rFonts w:ascii="Palatino" w:hAnsi="Palatin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7" w:type="dxa"/>
            <w:vAlign w:val="center"/>
          </w:tcPr>
          <w:p w14:paraId="060D8C41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Spatial</w:t>
            </w:r>
          </w:p>
        </w:tc>
        <w:tc>
          <w:tcPr>
            <w:tcW w:w="4308" w:type="dxa"/>
            <w:vAlign w:val="center"/>
          </w:tcPr>
          <w:p w14:paraId="50CA479E" w14:textId="57396BD9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Within 50</w:t>
            </w:r>
            <w:r w:rsidR="006C221D">
              <w:rPr>
                <w:rFonts w:ascii="Palatino" w:hAnsi="Palatino"/>
                <w:sz w:val="18"/>
                <w:szCs w:val="18"/>
              </w:rPr>
              <w:t xml:space="preserve"> </w:t>
            </w:r>
            <w:r w:rsidRPr="002E7F18">
              <w:rPr>
                <w:rFonts w:ascii="Palatino" w:hAnsi="Palatino"/>
                <w:sz w:val="18"/>
                <w:szCs w:val="18"/>
              </w:rPr>
              <w:t>m</w:t>
            </w:r>
          </w:p>
        </w:tc>
      </w:tr>
      <w:tr w:rsidR="003330EA" w:rsidRPr="002E7F18" w14:paraId="50BB2320" w14:textId="77777777" w:rsidTr="006C221D">
        <w:tc>
          <w:tcPr>
            <w:tcW w:w="1951" w:type="dxa"/>
            <w:vMerge/>
            <w:vAlign w:val="center"/>
          </w:tcPr>
          <w:p w14:paraId="24A9DCEA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38CD640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Physical</w:t>
            </w:r>
          </w:p>
        </w:tc>
        <w:tc>
          <w:tcPr>
            <w:tcW w:w="4308" w:type="dxa"/>
            <w:vAlign w:val="center"/>
          </w:tcPr>
          <w:p w14:paraId="6D041589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Cutting into the round barrow</w:t>
            </w:r>
          </w:p>
        </w:tc>
      </w:tr>
      <w:tr w:rsidR="003330EA" w:rsidRPr="002E7F18" w14:paraId="4887A267" w14:textId="77777777" w:rsidTr="006C221D">
        <w:tc>
          <w:tcPr>
            <w:tcW w:w="1951" w:type="dxa"/>
            <w:vMerge/>
            <w:vAlign w:val="center"/>
          </w:tcPr>
          <w:p w14:paraId="363F744B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B5D29C7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Destructive</w:t>
            </w:r>
          </w:p>
        </w:tc>
        <w:tc>
          <w:tcPr>
            <w:tcW w:w="4308" w:type="dxa"/>
            <w:vAlign w:val="center"/>
          </w:tcPr>
          <w:p w14:paraId="00188A8B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</w:p>
        </w:tc>
      </w:tr>
      <w:tr w:rsidR="003330EA" w:rsidRPr="002E7F18" w14:paraId="48B391D1" w14:textId="77777777" w:rsidTr="006C221D">
        <w:tc>
          <w:tcPr>
            <w:tcW w:w="1951" w:type="dxa"/>
            <w:vMerge/>
            <w:vAlign w:val="center"/>
          </w:tcPr>
          <w:p w14:paraId="166E3432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CD51D0F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Formal</w:t>
            </w:r>
          </w:p>
        </w:tc>
        <w:tc>
          <w:tcPr>
            <w:tcW w:w="4308" w:type="dxa"/>
            <w:vAlign w:val="center"/>
          </w:tcPr>
          <w:p w14:paraId="36C89973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Positioned carefully relative to the round barrow</w:t>
            </w:r>
          </w:p>
        </w:tc>
      </w:tr>
      <w:tr w:rsidR="003330EA" w:rsidRPr="002E7F18" w14:paraId="2571B48E" w14:textId="77777777" w:rsidTr="006C221D">
        <w:tc>
          <w:tcPr>
            <w:tcW w:w="1951" w:type="dxa"/>
            <w:vMerge/>
            <w:vAlign w:val="center"/>
          </w:tcPr>
          <w:p w14:paraId="2BEDCBE1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CB33F1E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Material</w:t>
            </w:r>
          </w:p>
        </w:tc>
        <w:tc>
          <w:tcPr>
            <w:tcW w:w="4308" w:type="dxa"/>
            <w:vAlign w:val="center"/>
          </w:tcPr>
          <w:p w14:paraId="63894D92" w14:textId="58E2A371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Items deposited in the round</w:t>
            </w:r>
            <w:r w:rsidR="006C221D">
              <w:rPr>
                <w:rFonts w:ascii="Palatino" w:hAnsi="Palatino"/>
                <w:sz w:val="18"/>
                <w:szCs w:val="18"/>
              </w:rPr>
              <w:t xml:space="preserve"> barrow round barrow material—e.g. cremated human bone—</w:t>
            </w:r>
            <w:r w:rsidRPr="002E7F18">
              <w:rPr>
                <w:rFonts w:ascii="Palatino" w:hAnsi="Palatino"/>
                <w:sz w:val="18"/>
                <w:szCs w:val="18"/>
              </w:rPr>
              <w:t>occurring in associated later features</w:t>
            </w:r>
          </w:p>
        </w:tc>
      </w:tr>
      <w:tr w:rsidR="003330EA" w:rsidRPr="002E7F18" w14:paraId="31CF42B6" w14:textId="77777777" w:rsidTr="006C221D">
        <w:tc>
          <w:tcPr>
            <w:tcW w:w="1951" w:type="dxa"/>
            <w:vMerge/>
            <w:vAlign w:val="center"/>
          </w:tcPr>
          <w:p w14:paraId="16286F40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8409E8D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Other</w:t>
            </w:r>
          </w:p>
        </w:tc>
        <w:tc>
          <w:tcPr>
            <w:tcW w:w="4308" w:type="dxa"/>
            <w:vAlign w:val="center"/>
          </w:tcPr>
          <w:p w14:paraId="520F58D2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Funerary and ritual activity</w:t>
            </w:r>
          </w:p>
        </w:tc>
      </w:tr>
      <w:tr w:rsidR="003330EA" w:rsidRPr="002E7F18" w14:paraId="0DD590DA" w14:textId="77777777" w:rsidTr="006C221D">
        <w:tc>
          <w:tcPr>
            <w:tcW w:w="1951" w:type="dxa"/>
            <w:vAlign w:val="center"/>
          </w:tcPr>
          <w:p w14:paraId="773F1276" w14:textId="3147C249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Wider associations</w:t>
            </w:r>
            <w:r w:rsidR="00F21064">
              <w:rPr>
                <w:rFonts w:ascii="Palatino" w:hAnsi="Palatin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77" w:type="dxa"/>
            <w:vAlign w:val="center"/>
          </w:tcPr>
          <w:p w14:paraId="49B42A9C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The fen edge, an adjacent Neolithic long barrow</w:t>
            </w:r>
          </w:p>
        </w:tc>
        <w:tc>
          <w:tcPr>
            <w:tcW w:w="4308" w:type="dxa"/>
            <w:vAlign w:val="center"/>
          </w:tcPr>
          <w:p w14:paraId="1FD37253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</w:p>
        </w:tc>
      </w:tr>
      <w:tr w:rsidR="003330EA" w:rsidRPr="002E7F18" w14:paraId="15E1F39D" w14:textId="77777777" w:rsidTr="006C221D">
        <w:tc>
          <w:tcPr>
            <w:tcW w:w="1951" w:type="dxa"/>
            <w:vAlign w:val="center"/>
          </w:tcPr>
          <w:p w14:paraId="5522C599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Strength of association</w:t>
            </w:r>
          </w:p>
        </w:tc>
        <w:tc>
          <w:tcPr>
            <w:tcW w:w="2977" w:type="dxa"/>
            <w:vAlign w:val="center"/>
          </w:tcPr>
          <w:p w14:paraId="32036695" w14:textId="72732912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1</w:t>
            </w:r>
            <w:r w:rsidR="006C221D">
              <w:rPr>
                <w:rFonts w:ascii="Palatino" w:hAnsi="Palatino"/>
                <w:sz w:val="18"/>
                <w:szCs w:val="18"/>
              </w:rPr>
              <w:t>–</w:t>
            </w:r>
            <w:r w:rsidRPr="002E7F18">
              <w:rPr>
                <w:rFonts w:ascii="Palatino" w:hAnsi="Palatino"/>
                <w:sz w:val="18"/>
                <w:szCs w:val="18"/>
              </w:rPr>
              <w:t>3</w:t>
            </w:r>
          </w:p>
        </w:tc>
        <w:tc>
          <w:tcPr>
            <w:tcW w:w="4308" w:type="dxa"/>
            <w:vAlign w:val="center"/>
          </w:tcPr>
          <w:p w14:paraId="47834077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 xml:space="preserve">1) </w:t>
            </w:r>
            <w:r w:rsidRPr="002E7F18">
              <w:rPr>
                <w:rFonts w:ascii="Palatino" w:hAnsi="Palatino"/>
                <w:i/>
                <w:sz w:val="18"/>
                <w:szCs w:val="18"/>
              </w:rPr>
              <w:t xml:space="preserve">Strong </w:t>
            </w:r>
            <w:r w:rsidRPr="002E7F18">
              <w:rPr>
                <w:rFonts w:ascii="Palatino" w:hAnsi="Palatino"/>
                <w:sz w:val="18"/>
                <w:szCs w:val="18"/>
              </w:rPr>
              <w:t>connections (e.g. a Roman inhumation burial cut directly into a round barrow)</w:t>
            </w:r>
          </w:p>
          <w:p w14:paraId="114CE302" w14:textId="77777777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 xml:space="preserve">2) </w:t>
            </w:r>
            <w:r w:rsidRPr="002E7F18">
              <w:rPr>
                <w:rFonts w:ascii="Palatino" w:hAnsi="Palatino"/>
                <w:i/>
                <w:sz w:val="18"/>
                <w:szCs w:val="18"/>
              </w:rPr>
              <w:t>Ambiguous</w:t>
            </w:r>
            <w:r w:rsidRPr="002E7F18">
              <w:rPr>
                <w:rFonts w:ascii="Palatino" w:hAnsi="Palatino"/>
                <w:sz w:val="18"/>
                <w:szCs w:val="18"/>
              </w:rPr>
              <w:t xml:space="preserve"> but potentially meaningful relationships (e.g. a later Bronze Age field system located in the same broad area as a barrow cemetery, following the alignment of both the cemetery and the nearby fen edge, but not referencing any of the monuments directly)</w:t>
            </w:r>
          </w:p>
          <w:p w14:paraId="4DAD8C08" w14:textId="09A515B3" w:rsidR="003330EA" w:rsidRPr="002E7F18" w:rsidRDefault="003330EA" w:rsidP="006C221D">
            <w:pPr>
              <w:contextualSpacing/>
              <w:rPr>
                <w:rFonts w:ascii="Palatino" w:hAnsi="Palatino"/>
                <w:sz w:val="18"/>
                <w:szCs w:val="18"/>
              </w:rPr>
            </w:pPr>
            <w:r w:rsidRPr="002E7F18">
              <w:rPr>
                <w:rFonts w:ascii="Palatino" w:hAnsi="Palatino"/>
                <w:sz w:val="18"/>
                <w:szCs w:val="18"/>
              </w:rPr>
              <w:t>3) Weak connections (e.g. a ‘ritual’ deposit in a pit located within 50</w:t>
            </w:r>
            <w:r w:rsidR="006C221D">
              <w:rPr>
                <w:rFonts w:ascii="Palatino" w:hAnsi="Palatino"/>
                <w:sz w:val="18"/>
                <w:szCs w:val="18"/>
              </w:rPr>
              <w:t xml:space="preserve"> </w:t>
            </w:r>
            <w:r w:rsidRPr="002E7F18">
              <w:rPr>
                <w:rFonts w:ascii="Palatino" w:hAnsi="Palatino"/>
                <w:sz w:val="18"/>
                <w:szCs w:val="18"/>
              </w:rPr>
              <w:t>m of a round barrow but associated more directly with a sunken-featured building)</w:t>
            </w:r>
          </w:p>
        </w:tc>
      </w:tr>
    </w:tbl>
    <w:p w14:paraId="184B864F" w14:textId="77777777" w:rsidR="007B42FE" w:rsidRDefault="007B42FE">
      <w:pPr>
        <w:rPr>
          <w:rFonts w:ascii="Palatino" w:hAnsi="Palatino"/>
        </w:rPr>
      </w:pPr>
    </w:p>
    <w:p w14:paraId="22FF1102" w14:textId="46FB860F" w:rsidR="007746BE" w:rsidRPr="007746BE" w:rsidRDefault="007746BE">
      <w:pPr>
        <w:rPr>
          <w:rFonts w:ascii="Palatino" w:hAnsi="Palatino"/>
          <w:b/>
          <w:sz w:val="20"/>
          <w:szCs w:val="20"/>
        </w:rPr>
      </w:pPr>
      <w:r w:rsidRPr="007746BE">
        <w:rPr>
          <w:rFonts w:ascii="Palatino" w:hAnsi="Palatino"/>
          <w:b/>
          <w:sz w:val="20"/>
          <w:szCs w:val="20"/>
        </w:rPr>
        <w:t>Notes</w:t>
      </w:r>
      <w:r>
        <w:rPr>
          <w:rFonts w:ascii="Palatino" w:hAnsi="Palatino"/>
          <w:b/>
          <w:sz w:val="20"/>
          <w:szCs w:val="20"/>
        </w:rPr>
        <w:t xml:space="preserve"> to Appendix 2</w:t>
      </w:r>
    </w:p>
    <w:p w14:paraId="2E3C4F4C" w14:textId="77777777" w:rsidR="007746BE" w:rsidRDefault="007746BE">
      <w:pPr>
        <w:rPr>
          <w:rFonts w:ascii="Palatino" w:hAnsi="Palatino"/>
        </w:rPr>
      </w:pPr>
    </w:p>
    <w:p w14:paraId="747F377D" w14:textId="252A1C5A" w:rsidR="00F21064" w:rsidRPr="00F21064" w:rsidRDefault="00F21064" w:rsidP="00F21064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vertAlign w:val="superscript"/>
        </w:rPr>
        <w:t xml:space="preserve">1 </w:t>
      </w:r>
      <w:r w:rsidRPr="00F21064">
        <w:rPr>
          <w:rFonts w:ascii="Palatino" w:hAnsi="Palatino"/>
          <w:sz w:val="18"/>
          <w:szCs w:val="18"/>
        </w:rPr>
        <w:t xml:space="preserve">The ‘monument types’ and ‘monument classes’ referred to in this study relate to ‘types’ and ‘classes’ of archaeological activity at a broad level (e.g. the ‘types’ round house, salt production site, </w:t>
      </w:r>
      <w:proofErr w:type="spellStart"/>
      <w:r w:rsidRPr="00F21064">
        <w:rPr>
          <w:rFonts w:ascii="Palatino" w:hAnsi="Palatino"/>
          <w:sz w:val="18"/>
          <w:szCs w:val="18"/>
        </w:rPr>
        <w:t>artefact</w:t>
      </w:r>
      <w:proofErr w:type="spellEnd"/>
      <w:r w:rsidRPr="00F21064">
        <w:rPr>
          <w:rFonts w:ascii="Palatino" w:hAnsi="Palatino"/>
          <w:sz w:val="18"/>
          <w:szCs w:val="18"/>
        </w:rPr>
        <w:t xml:space="preserve"> scatter</w:t>
      </w:r>
      <w:r w:rsidR="006C221D">
        <w:rPr>
          <w:rFonts w:ascii="Palatino" w:hAnsi="Palatino"/>
          <w:sz w:val="18"/>
          <w:szCs w:val="18"/>
        </w:rPr>
        <w:t>,</w:t>
      </w:r>
      <w:r w:rsidRPr="00F21064">
        <w:rPr>
          <w:rFonts w:ascii="Palatino" w:hAnsi="Palatino"/>
          <w:sz w:val="18"/>
          <w:szCs w:val="18"/>
        </w:rPr>
        <w:t xml:space="preserve"> etc.</w:t>
      </w:r>
      <w:r w:rsidR="006C221D">
        <w:rPr>
          <w:rFonts w:ascii="Palatino" w:hAnsi="Palatino"/>
          <w:sz w:val="18"/>
          <w:szCs w:val="18"/>
        </w:rPr>
        <w:t>,</w:t>
      </w:r>
      <w:r w:rsidRPr="00F21064">
        <w:rPr>
          <w:rFonts w:ascii="Palatino" w:hAnsi="Palatino"/>
          <w:sz w:val="18"/>
          <w:szCs w:val="18"/>
        </w:rPr>
        <w:t xml:space="preserve"> or the ‘classes’ agriculture and subsistence, domestic</w:t>
      </w:r>
      <w:r w:rsidR="006C221D">
        <w:rPr>
          <w:rFonts w:ascii="Palatino" w:hAnsi="Palatino"/>
          <w:sz w:val="18"/>
          <w:szCs w:val="18"/>
        </w:rPr>
        <w:t>,</w:t>
      </w:r>
      <w:r w:rsidRPr="00F21064">
        <w:rPr>
          <w:rFonts w:ascii="Palatino" w:hAnsi="Palatino"/>
          <w:sz w:val="18"/>
          <w:szCs w:val="18"/>
        </w:rPr>
        <w:t xml:space="preserve"> etc.) as they are recorded in regional HERs and in the NRHE, rather than to ‘types’ or ‘classes’ of prehistoric monuments (e.g. bell barrow, pond barrow etc.).</w:t>
      </w:r>
    </w:p>
    <w:p w14:paraId="5E3A6576" w14:textId="77777777" w:rsidR="00F21064" w:rsidRPr="00F21064" w:rsidRDefault="00F21064">
      <w:pPr>
        <w:rPr>
          <w:rFonts w:ascii="Palatino" w:hAnsi="Palatino"/>
          <w:sz w:val="18"/>
          <w:szCs w:val="18"/>
        </w:rPr>
      </w:pPr>
    </w:p>
    <w:p w14:paraId="01534865" w14:textId="2F94D734" w:rsidR="00F21064" w:rsidRDefault="00F21064">
      <w:pPr>
        <w:rPr>
          <w:rFonts w:ascii="Palatino" w:hAnsi="Palatino"/>
          <w:sz w:val="18"/>
          <w:szCs w:val="18"/>
        </w:rPr>
      </w:pPr>
      <w:r w:rsidRPr="00F21064">
        <w:rPr>
          <w:rFonts w:ascii="Palatino" w:hAnsi="Palatino"/>
          <w:vertAlign w:val="superscript"/>
        </w:rPr>
        <w:t xml:space="preserve">2 </w:t>
      </w:r>
      <w:r w:rsidRPr="00F21064">
        <w:rPr>
          <w:rFonts w:ascii="Palatino" w:hAnsi="Palatino"/>
          <w:sz w:val="18"/>
          <w:szCs w:val="18"/>
        </w:rPr>
        <w:t>Although they were almost certainly relevant, it was not possible within the scope of this study to consider visual relationships between round barrows and later activities (e.g. Chester-</w:t>
      </w:r>
      <w:proofErr w:type="spellStart"/>
      <w:r w:rsidRPr="00F21064">
        <w:rPr>
          <w:rFonts w:ascii="Palatino" w:hAnsi="Palatino"/>
          <w:sz w:val="18"/>
          <w:szCs w:val="18"/>
        </w:rPr>
        <w:t>Kadwell</w:t>
      </w:r>
      <w:proofErr w:type="spellEnd"/>
      <w:r w:rsidRPr="00F21064">
        <w:rPr>
          <w:rFonts w:ascii="Palatino" w:hAnsi="Palatino"/>
          <w:sz w:val="18"/>
          <w:szCs w:val="18"/>
        </w:rPr>
        <w:t xml:space="preserve"> 2009, 149).</w:t>
      </w:r>
    </w:p>
    <w:p w14:paraId="149F2340" w14:textId="77777777" w:rsidR="00F21064" w:rsidRDefault="00F21064">
      <w:pPr>
        <w:rPr>
          <w:rFonts w:ascii="Palatino" w:hAnsi="Palatino"/>
          <w:sz w:val="18"/>
          <w:szCs w:val="18"/>
        </w:rPr>
      </w:pPr>
    </w:p>
    <w:p w14:paraId="38180E8A" w14:textId="26E93984" w:rsidR="00F21064" w:rsidRPr="00F21064" w:rsidRDefault="00F21064">
      <w:pPr>
        <w:rPr>
          <w:rFonts w:ascii="Palatino" w:hAnsi="Palatino"/>
          <w:sz w:val="18"/>
          <w:szCs w:val="18"/>
        </w:rPr>
      </w:pPr>
      <w:r>
        <w:rPr>
          <w:rFonts w:ascii="Palatino" w:hAnsi="Palatino"/>
          <w:vertAlign w:val="superscript"/>
        </w:rPr>
        <w:t xml:space="preserve">3 </w:t>
      </w:r>
      <w:r w:rsidRPr="00F21064">
        <w:rPr>
          <w:rFonts w:ascii="Palatino" w:hAnsi="Palatino"/>
          <w:sz w:val="18"/>
          <w:szCs w:val="18"/>
        </w:rPr>
        <w:t xml:space="preserve">This responds to the recognition that it is often difficult to tell whether it was the presence of the existing </w:t>
      </w:r>
      <w:bookmarkStart w:id="0" w:name="_GoBack"/>
      <w:bookmarkEnd w:id="0"/>
      <w:r w:rsidRPr="00F21064">
        <w:rPr>
          <w:rFonts w:ascii="Palatino" w:hAnsi="Palatino"/>
          <w:sz w:val="18"/>
          <w:szCs w:val="18"/>
        </w:rPr>
        <w:t>monument or broader factors that influenced the activity under consideration (e.g. Chester-</w:t>
      </w:r>
      <w:proofErr w:type="spellStart"/>
      <w:r w:rsidRPr="00F21064">
        <w:rPr>
          <w:rFonts w:ascii="Palatino" w:hAnsi="Palatino"/>
          <w:sz w:val="18"/>
          <w:szCs w:val="18"/>
        </w:rPr>
        <w:t>Kadwell</w:t>
      </w:r>
      <w:proofErr w:type="spellEnd"/>
      <w:r w:rsidRPr="00F21064">
        <w:rPr>
          <w:rFonts w:ascii="Palatino" w:hAnsi="Palatino"/>
          <w:sz w:val="18"/>
          <w:szCs w:val="18"/>
        </w:rPr>
        <w:t xml:space="preserve"> 2009, 131).</w:t>
      </w:r>
    </w:p>
    <w:sectPr w:rsidR="00F21064" w:rsidRPr="00F21064" w:rsidSect="0001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9C94C" w14:textId="77777777" w:rsidR="003330EA" w:rsidRDefault="003330EA" w:rsidP="003330EA">
      <w:r>
        <w:separator/>
      </w:r>
    </w:p>
  </w:endnote>
  <w:endnote w:type="continuationSeparator" w:id="0">
    <w:p w14:paraId="28F6ED87" w14:textId="77777777" w:rsidR="003330EA" w:rsidRDefault="003330EA" w:rsidP="0033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7C00A" w14:textId="77777777" w:rsidR="006F7A50" w:rsidRDefault="006F7A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08C0" w14:textId="77777777" w:rsidR="006F7A50" w:rsidRDefault="006F7A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2744" w14:textId="77777777" w:rsidR="006F7A50" w:rsidRDefault="006F7A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C47FD" w14:textId="77777777" w:rsidR="003330EA" w:rsidRDefault="003330EA" w:rsidP="003330EA">
      <w:r>
        <w:separator/>
      </w:r>
    </w:p>
  </w:footnote>
  <w:footnote w:type="continuationSeparator" w:id="0">
    <w:p w14:paraId="02E22824" w14:textId="77777777" w:rsidR="003330EA" w:rsidRDefault="003330EA" w:rsidP="003330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D492" w14:textId="77777777" w:rsidR="006F7A50" w:rsidRDefault="006F7A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56F15" w14:textId="0ABA5341" w:rsidR="00B03F48" w:rsidRPr="00B03F48" w:rsidRDefault="00B03F48" w:rsidP="00B03F48">
    <w:pPr>
      <w:pStyle w:val="Header"/>
      <w:jc w:val="right"/>
      <w:rPr>
        <w:rFonts w:ascii="Palatino" w:hAnsi="Palatino"/>
        <w:sz w:val="18"/>
        <w:szCs w:val="18"/>
      </w:rPr>
    </w:pPr>
    <w:proofErr w:type="spellStart"/>
    <w:r>
      <w:rPr>
        <w:rFonts w:ascii="Palatino" w:hAnsi="Palatino"/>
        <w:sz w:val="18"/>
        <w:szCs w:val="18"/>
      </w:rPr>
      <w:t>Anwen</w:t>
    </w:r>
    <w:proofErr w:type="spellEnd"/>
    <w:r>
      <w:rPr>
        <w:rFonts w:ascii="Palatino" w:hAnsi="Palatino"/>
        <w:sz w:val="18"/>
        <w:szCs w:val="18"/>
      </w:rPr>
      <w:t xml:space="preserve"> Cooper_April2016_Other types of meaning_Appendix2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89D9A" w14:textId="77777777" w:rsidR="006F7A50" w:rsidRDefault="006F7A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A"/>
    <w:rsid w:val="00011E63"/>
    <w:rsid w:val="000C3698"/>
    <w:rsid w:val="002E7F18"/>
    <w:rsid w:val="003330EA"/>
    <w:rsid w:val="00390395"/>
    <w:rsid w:val="003B6E2D"/>
    <w:rsid w:val="00572BAE"/>
    <w:rsid w:val="006C221D"/>
    <w:rsid w:val="006F7A50"/>
    <w:rsid w:val="007746BE"/>
    <w:rsid w:val="007B42FE"/>
    <w:rsid w:val="00882BA1"/>
    <w:rsid w:val="009823A5"/>
    <w:rsid w:val="00A86130"/>
    <w:rsid w:val="00B03F48"/>
    <w:rsid w:val="00B20680"/>
    <w:rsid w:val="00E61EC0"/>
    <w:rsid w:val="00F2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3F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98"/>
    <w:rPr>
      <w:rFonts w:ascii="Lucida Grande" w:hAnsi="Lucida Grande" w:cs="Lucida Grande"/>
      <w:sz w:val="18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3330EA"/>
  </w:style>
  <w:style w:type="character" w:customStyle="1" w:styleId="EndnoteTextChar">
    <w:name w:val="Endnote Text Char"/>
    <w:basedOn w:val="DefaultParagraphFont"/>
    <w:link w:val="EndnoteText"/>
    <w:uiPriority w:val="99"/>
    <w:rsid w:val="003330EA"/>
  </w:style>
  <w:style w:type="character" w:styleId="EndnoteReference">
    <w:name w:val="endnote reference"/>
    <w:basedOn w:val="DefaultParagraphFont"/>
    <w:uiPriority w:val="99"/>
    <w:unhideWhenUsed/>
    <w:rsid w:val="003330EA"/>
    <w:rPr>
      <w:vertAlign w:val="superscript"/>
    </w:rPr>
  </w:style>
  <w:style w:type="table" w:styleId="TableGrid">
    <w:name w:val="Table Grid"/>
    <w:basedOn w:val="TableNormal"/>
    <w:uiPriority w:val="59"/>
    <w:rsid w:val="0033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48"/>
  </w:style>
  <w:style w:type="paragraph" w:styleId="Footer">
    <w:name w:val="footer"/>
    <w:basedOn w:val="Normal"/>
    <w:link w:val="FooterChar"/>
    <w:uiPriority w:val="99"/>
    <w:unhideWhenUsed/>
    <w:rsid w:val="00B03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98"/>
    <w:rPr>
      <w:rFonts w:ascii="Lucida Grande" w:hAnsi="Lucida Grande" w:cs="Lucida Grande"/>
      <w:sz w:val="18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3330EA"/>
  </w:style>
  <w:style w:type="character" w:customStyle="1" w:styleId="EndnoteTextChar">
    <w:name w:val="Endnote Text Char"/>
    <w:basedOn w:val="DefaultParagraphFont"/>
    <w:link w:val="EndnoteText"/>
    <w:uiPriority w:val="99"/>
    <w:rsid w:val="003330EA"/>
  </w:style>
  <w:style w:type="character" w:styleId="EndnoteReference">
    <w:name w:val="endnote reference"/>
    <w:basedOn w:val="DefaultParagraphFont"/>
    <w:uiPriority w:val="99"/>
    <w:unhideWhenUsed/>
    <w:rsid w:val="003330EA"/>
    <w:rPr>
      <w:vertAlign w:val="superscript"/>
    </w:rPr>
  </w:style>
  <w:style w:type="table" w:styleId="TableGrid">
    <w:name w:val="Table Grid"/>
    <w:basedOn w:val="TableNormal"/>
    <w:uiPriority w:val="59"/>
    <w:rsid w:val="00333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F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48"/>
  </w:style>
  <w:style w:type="paragraph" w:styleId="Footer">
    <w:name w:val="footer"/>
    <w:basedOn w:val="Normal"/>
    <w:link w:val="FooterChar"/>
    <w:uiPriority w:val="99"/>
    <w:unhideWhenUsed/>
    <w:rsid w:val="00B03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Cooper 2</dc:creator>
  <cp:keywords/>
  <dc:description/>
  <cp:lastModifiedBy>- -</cp:lastModifiedBy>
  <cp:revision>2</cp:revision>
  <dcterms:created xsi:type="dcterms:W3CDTF">2016-07-22T09:06:00Z</dcterms:created>
  <dcterms:modified xsi:type="dcterms:W3CDTF">2016-07-22T09:06:00Z</dcterms:modified>
</cp:coreProperties>
</file>