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7B6A4" w14:textId="77777777" w:rsidR="00724350" w:rsidRPr="00464A1D" w:rsidRDefault="00724350" w:rsidP="00724350">
      <w:pPr>
        <w:pStyle w:val="Heading1"/>
        <w:rPr>
          <w:sz w:val="32"/>
          <w:szCs w:val="32"/>
          <w:lang w:val="en-GB"/>
        </w:rPr>
      </w:pPr>
      <w:r w:rsidRPr="00464A1D">
        <w:rPr>
          <w:sz w:val="32"/>
          <w:szCs w:val="32"/>
          <w:lang w:val="en-GB"/>
        </w:rPr>
        <w:t>Supplementary Material</w:t>
      </w:r>
    </w:p>
    <w:p w14:paraId="1E96850D" w14:textId="77777777" w:rsidR="00724350" w:rsidRDefault="00724350" w:rsidP="00724350">
      <w:pPr>
        <w:spacing w:line="480" w:lineRule="auto"/>
        <w:rPr>
          <w:bCs/>
          <w:sz w:val="36"/>
          <w:szCs w:val="36"/>
          <w:lang w:val="en-GB"/>
        </w:rPr>
      </w:pPr>
    </w:p>
    <w:p w14:paraId="0F7B048A" w14:textId="77777777" w:rsidR="00724350" w:rsidRPr="00464A1D" w:rsidRDefault="00724350" w:rsidP="00724350">
      <w:pPr>
        <w:spacing w:line="480" w:lineRule="auto"/>
        <w:rPr>
          <w:bCs/>
          <w:sz w:val="36"/>
          <w:szCs w:val="36"/>
          <w:lang w:val="en-GB"/>
        </w:rPr>
      </w:pPr>
      <w:r w:rsidRPr="00464A1D">
        <w:rPr>
          <w:bCs/>
          <w:sz w:val="36"/>
          <w:szCs w:val="36"/>
          <w:lang w:val="en-GB"/>
        </w:rPr>
        <w:t>Status of endemic reed-warblers of the Mariana Islands, with emphasis on conservation strategies for the endangered Nightingale Reed-warbler</w:t>
      </w:r>
      <w:r>
        <w:rPr>
          <w:bCs/>
          <w:sz w:val="36"/>
          <w:szCs w:val="36"/>
          <w:lang w:val="en-GB"/>
        </w:rPr>
        <w:t xml:space="preserve"> </w:t>
      </w:r>
      <w:r w:rsidRPr="00724505">
        <w:rPr>
          <w:bCs/>
          <w:i/>
          <w:iCs/>
          <w:sz w:val="36"/>
          <w:szCs w:val="36"/>
          <w:lang w:val="en-GB"/>
        </w:rPr>
        <w:t>Acrocephalus hiwae</w:t>
      </w:r>
    </w:p>
    <w:p w14:paraId="7D69DA2D" w14:textId="77777777" w:rsidR="00724350" w:rsidRPr="00464A1D" w:rsidRDefault="00724350" w:rsidP="00724350">
      <w:pPr>
        <w:spacing w:line="480" w:lineRule="auto"/>
        <w:rPr>
          <w:sz w:val="24"/>
          <w:szCs w:val="24"/>
          <w:lang w:val="en-GB"/>
        </w:rPr>
      </w:pPr>
    </w:p>
    <w:p w14:paraId="60E3EB74" w14:textId="77777777" w:rsidR="00724350" w:rsidRPr="00464A1D" w:rsidRDefault="00724350" w:rsidP="00724350">
      <w:pPr>
        <w:spacing w:line="480" w:lineRule="auto"/>
        <w:rPr>
          <w:bCs/>
          <w:sz w:val="24"/>
          <w:szCs w:val="24"/>
          <w:vertAlign w:val="superscript"/>
          <w:lang w:val="en-GB"/>
        </w:rPr>
      </w:pPr>
      <w:r w:rsidRPr="00464A1D">
        <w:rPr>
          <w:sz w:val="24"/>
          <w:szCs w:val="24"/>
          <w:lang w:val="en-GB"/>
        </w:rPr>
        <w:t>ANN P. MARSHALL, FRED A. AMIDON, RICHARD J. CAMP, P. MARCOS GORRESEN and PAUL RADLEY</w:t>
      </w:r>
    </w:p>
    <w:p w14:paraId="22CCABC4" w14:textId="77777777" w:rsidR="00724350" w:rsidRDefault="00724350" w:rsidP="00724350">
      <w:pPr>
        <w:spacing w:line="360" w:lineRule="auto"/>
        <w:rPr>
          <w:sz w:val="24"/>
          <w:szCs w:val="24"/>
          <w:lang w:val="en-GB"/>
        </w:rPr>
      </w:pPr>
    </w:p>
    <w:p w14:paraId="20E643E3" w14:textId="77777777" w:rsidR="00724350" w:rsidRPr="00B124DD" w:rsidRDefault="00724350" w:rsidP="00724350">
      <w:pPr>
        <w:spacing w:line="360" w:lineRule="auto"/>
        <w:rPr>
          <w:b/>
          <w:bCs/>
          <w:sz w:val="28"/>
          <w:szCs w:val="28"/>
          <w:lang w:val="en-GB"/>
        </w:rPr>
      </w:pPr>
      <w:r w:rsidRPr="00B124DD">
        <w:rPr>
          <w:b/>
          <w:bCs/>
          <w:sz w:val="28"/>
          <w:szCs w:val="28"/>
          <w:lang w:val="en-GB"/>
        </w:rPr>
        <w:t>Contents</w:t>
      </w:r>
    </w:p>
    <w:p w14:paraId="3CC73275" w14:textId="77777777" w:rsidR="00724350" w:rsidRDefault="00724350" w:rsidP="00724350">
      <w:pPr>
        <w:pStyle w:val="Heading1"/>
        <w:rPr>
          <w:b w:val="0"/>
          <w:bCs w:val="0"/>
          <w:lang w:val="en-GB"/>
        </w:rPr>
      </w:pPr>
      <w:r w:rsidRPr="00B124DD">
        <w:rPr>
          <w:b w:val="0"/>
          <w:bCs w:val="0"/>
          <w:lang w:val="en-GB"/>
        </w:rPr>
        <w:t xml:space="preserve">Appendix </w:t>
      </w:r>
      <w:r>
        <w:rPr>
          <w:b w:val="0"/>
          <w:bCs w:val="0"/>
          <w:lang w:val="en-GB"/>
        </w:rPr>
        <w:t xml:space="preserve">S1. </w:t>
      </w:r>
      <w:r w:rsidRPr="00B124DD">
        <w:rPr>
          <w:b w:val="0"/>
          <w:bCs w:val="0"/>
          <w:lang w:val="en-GB"/>
        </w:rPr>
        <w:t>Description of reed-warbler trends in the Mariana Islands</w:t>
      </w:r>
      <w:r>
        <w:rPr>
          <w:b w:val="0"/>
          <w:bCs w:val="0"/>
          <w:lang w:val="en-GB"/>
        </w:rPr>
        <w:t>.</w:t>
      </w:r>
    </w:p>
    <w:p w14:paraId="40E787EC" w14:textId="77777777" w:rsidR="00724350" w:rsidRDefault="00724350" w:rsidP="00724350">
      <w:pPr>
        <w:spacing w:line="360" w:lineRule="auto"/>
        <w:rPr>
          <w:sz w:val="24"/>
          <w:szCs w:val="24"/>
          <w:lang w:val="en-GB"/>
        </w:rPr>
      </w:pPr>
    </w:p>
    <w:p w14:paraId="0D564546" w14:textId="77777777" w:rsidR="00724350" w:rsidRDefault="00724350" w:rsidP="00724350">
      <w:pPr>
        <w:spacing w:line="360" w:lineRule="auto"/>
        <w:rPr>
          <w:sz w:val="24"/>
          <w:szCs w:val="24"/>
          <w:lang w:val="en-GB"/>
        </w:rPr>
      </w:pPr>
      <w:r w:rsidRPr="00B124DD">
        <w:rPr>
          <w:sz w:val="24"/>
          <w:szCs w:val="24"/>
          <w:lang w:val="en-GB"/>
        </w:rPr>
        <w:t>Appendix S2. Description of Mariana Islands occupied or previously occupied by reed-warblers</w:t>
      </w:r>
      <w:r>
        <w:rPr>
          <w:sz w:val="24"/>
          <w:szCs w:val="24"/>
          <w:lang w:val="en-GB"/>
        </w:rPr>
        <w:t>.</w:t>
      </w:r>
    </w:p>
    <w:p w14:paraId="41AC4E6B" w14:textId="77777777" w:rsidR="00724350" w:rsidRDefault="00724350" w:rsidP="00724350">
      <w:pPr>
        <w:spacing w:line="360" w:lineRule="auto"/>
        <w:rPr>
          <w:sz w:val="24"/>
          <w:szCs w:val="24"/>
          <w:lang w:val="en-GB"/>
        </w:rPr>
      </w:pPr>
    </w:p>
    <w:p w14:paraId="0A493D5C" w14:textId="77777777" w:rsidR="00724350" w:rsidRDefault="00724350" w:rsidP="00724350">
      <w:pPr>
        <w:pStyle w:val="Heading1"/>
        <w:rPr>
          <w:b w:val="0"/>
          <w:bCs w:val="0"/>
          <w:lang w:val="en-GB"/>
        </w:rPr>
      </w:pPr>
      <w:r w:rsidRPr="00B124DD">
        <w:rPr>
          <w:b w:val="0"/>
          <w:bCs w:val="0"/>
          <w:lang w:val="en-GB"/>
        </w:rPr>
        <w:t xml:space="preserve">Appendix S3. Point-transect </w:t>
      </w:r>
      <w:r>
        <w:rPr>
          <w:b w:val="0"/>
          <w:bCs w:val="0"/>
          <w:lang w:val="en-GB"/>
        </w:rPr>
        <w:t>s</w:t>
      </w:r>
      <w:r w:rsidRPr="00B124DD">
        <w:rPr>
          <w:b w:val="0"/>
          <w:bCs w:val="0"/>
          <w:lang w:val="en-GB"/>
        </w:rPr>
        <w:t xml:space="preserve">urvey </w:t>
      </w:r>
      <w:r>
        <w:rPr>
          <w:b w:val="0"/>
          <w:bCs w:val="0"/>
          <w:lang w:val="en-GB"/>
        </w:rPr>
        <w:t>m</w:t>
      </w:r>
      <w:r w:rsidRPr="00B124DD">
        <w:rPr>
          <w:b w:val="0"/>
          <w:bCs w:val="0"/>
          <w:lang w:val="en-GB"/>
        </w:rPr>
        <w:t xml:space="preserve">odel </w:t>
      </w:r>
      <w:r>
        <w:rPr>
          <w:b w:val="0"/>
          <w:bCs w:val="0"/>
          <w:lang w:val="en-GB"/>
        </w:rPr>
        <w:t>e</w:t>
      </w:r>
      <w:r w:rsidRPr="00B124DD">
        <w:rPr>
          <w:b w:val="0"/>
          <w:bCs w:val="0"/>
          <w:lang w:val="en-GB"/>
        </w:rPr>
        <w:t>valuation</w:t>
      </w:r>
      <w:r>
        <w:rPr>
          <w:b w:val="0"/>
          <w:bCs w:val="0"/>
          <w:lang w:val="en-GB"/>
        </w:rPr>
        <w:t>.</w:t>
      </w:r>
    </w:p>
    <w:p w14:paraId="36C3A7C6" w14:textId="77777777" w:rsidR="00724350" w:rsidRDefault="00724350" w:rsidP="00724350">
      <w:pPr>
        <w:spacing w:line="360" w:lineRule="auto"/>
        <w:rPr>
          <w:lang w:val="en-GB"/>
        </w:rPr>
      </w:pPr>
    </w:p>
    <w:p w14:paraId="0B0816FF" w14:textId="77777777" w:rsidR="00724350" w:rsidRDefault="00724350" w:rsidP="00724350">
      <w:pPr>
        <w:pStyle w:val="Heading1"/>
        <w:rPr>
          <w:rFonts w:eastAsia="Calibri"/>
          <w:b w:val="0"/>
          <w:bCs w:val="0"/>
          <w:lang w:val="en-GB"/>
        </w:rPr>
      </w:pPr>
      <w:r w:rsidRPr="00B124DD">
        <w:rPr>
          <w:rFonts w:eastAsia="Calibri"/>
          <w:b w:val="0"/>
          <w:bCs w:val="0"/>
          <w:lang w:val="en-GB"/>
        </w:rPr>
        <w:t xml:space="preserve">Appendix </w:t>
      </w:r>
      <w:r>
        <w:rPr>
          <w:rFonts w:eastAsia="Calibri"/>
          <w:b w:val="0"/>
          <w:bCs w:val="0"/>
          <w:lang w:val="en-GB"/>
        </w:rPr>
        <w:t xml:space="preserve">S4. </w:t>
      </w:r>
      <w:r w:rsidRPr="00B124DD">
        <w:rPr>
          <w:rFonts w:eastAsia="Calibri"/>
          <w:b w:val="0"/>
          <w:bCs w:val="0"/>
          <w:lang w:val="en-GB"/>
        </w:rPr>
        <w:t xml:space="preserve">Occupancy </w:t>
      </w:r>
      <w:r>
        <w:rPr>
          <w:rFonts w:eastAsia="Calibri"/>
          <w:b w:val="0"/>
          <w:bCs w:val="0"/>
          <w:lang w:val="en-GB"/>
        </w:rPr>
        <w:t>m</w:t>
      </w:r>
      <w:r w:rsidRPr="00B124DD">
        <w:rPr>
          <w:rFonts w:eastAsia="Calibri"/>
          <w:b w:val="0"/>
          <w:bCs w:val="0"/>
          <w:lang w:val="en-GB"/>
        </w:rPr>
        <w:t xml:space="preserve">odel </w:t>
      </w:r>
      <w:r>
        <w:rPr>
          <w:rFonts w:eastAsia="Calibri"/>
          <w:b w:val="0"/>
          <w:bCs w:val="0"/>
          <w:lang w:val="en-GB"/>
        </w:rPr>
        <w:t>e</w:t>
      </w:r>
      <w:r w:rsidRPr="00B124DD">
        <w:rPr>
          <w:rFonts w:eastAsia="Calibri"/>
          <w:b w:val="0"/>
          <w:bCs w:val="0"/>
          <w:lang w:val="en-GB"/>
        </w:rPr>
        <w:t>valuation</w:t>
      </w:r>
      <w:r>
        <w:rPr>
          <w:rFonts w:eastAsia="Calibri"/>
          <w:b w:val="0"/>
          <w:bCs w:val="0"/>
          <w:lang w:val="en-GB"/>
        </w:rPr>
        <w:t>.</w:t>
      </w:r>
    </w:p>
    <w:p w14:paraId="5066F3BA" w14:textId="77777777" w:rsidR="00724350" w:rsidRDefault="00724350" w:rsidP="00724350">
      <w:pPr>
        <w:spacing w:line="360" w:lineRule="auto"/>
        <w:rPr>
          <w:rFonts w:eastAsia="Calibri"/>
          <w:lang w:val="en-GB"/>
        </w:rPr>
      </w:pPr>
    </w:p>
    <w:p w14:paraId="18A0FE2A" w14:textId="77777777" w:rsidR="00724350" w:rsidRPr="0052329E" w:rsidRDefault="00724350" w:rsidP="00724350">
      <w:pPr>
        <w:pStyle w:val="Heading1"/>
        <w:rPr>
          <w:b w:val="0"/>
          <w:bCs w:val="0"/>
          <w:lang w:val="en-GB"/>
        </w:rPr>
      </w:pPr>
      <w:r w:rsidRPr="0052329E">
        <w:rPr>
          <w:b w:val="0"/>
          <w:bCs w:val="0"/>
          <w:lang w:val="en-GB"/>
        </w:rPr>
        <w:t xml:space="preserve">Appendix </w:t>
      </w:r>
      <w:r>
        <w:rPr>
          <w:b w:val="0"/>
          <w:bCs w:val="0"/>
          <w:lang w:val="en-GB"/>
        </w:rPr>
        <w:t>S5.</w:t>
      </w:r>
      <w:r w:rsidRPr="0052329E">
        <w:rPr>
          <w:b w:val="0"/>
          <w:bCs w:val="0"/>
          <w:lang w:val="en-GB"/>
        </w:rPr>
        <w:t xml:space="preserve"> Survey </w:t>
      </w:r>
      <w:r>
        <w:rPr>
          <w:b w:val="0"/>
          <w:bCs w:val="0"/>
          <w:lang w:val="en-GB"/>
        </w:rPr>
        <w:t>e</w:t>
      </w:r>
      <w:r w:rsidRPr="0052329E">
        <w:rPr>
          <w:b w:val="0"/>
          <w:bCs w:val="0"/>
          <w:lang w:val="en-GB"/>
        </w:rPr>
        <w:t xml:space="preserve">ffort </w:t>
      </w:r>
      <w:r>
        <w:rPr>
          <w:b w:val="0"/>
          <w:bCs w:val="0"/>
          <w:lang w:val="en-GB"/>
        </w:rPr>
        <w:t>r</w:t>
      </w:r>
      <w:r w:rsidRPr="0052329E">
        <w:rPr>
          <w:b w:val="0"/>
          <w:bCs w:val="0"/>
          <w:lang w:val="en-GB"/>
        </w:rPr>
        <w:t>equirements</w:t>
      </w:r>
    </w:p>
    <w:p w14:paraId="734351B1" w14:textId="77777777" w:rsidR="00724350" w:rsidRPr="0052329E" w:rsidRDefault="00724350" w:rsidP="00724350">
      <w:pPr>
        <w:spacing w:line="360" w:lineRule="auto"/>
        <w:rPr>
          <w:rFonts w:eastAsia="Calibri"/>
          <w:lang w:val="en-GB"/>
        </w:rPr>
      </w:pPr>
    </w:p>
    <w:p w14:paraId="78A1FB98" w14:textId="77777777" w:rsidR="00724350" w:rsidRPr="00464A1D" w:rsidRDefault="00724350" w:rsidP="00724350">
      <w:pPr>
        <w:spacing w:line="360" w:lineRule="auto"/>
        <w:rPr>
          <w:bCs/>
          <w:sz w:val="24"/>
          <w:szCs w:val="24"/>
          <w:lang w:val="en-GB"/>
        </w:rPr>
      </w:pPr>
    </w:p>
    <w:p w14:paraId="793DDFA4" w14:textId="77777777" w:rsidR="00724350" w:rsidRPr="00464A1D" w:rsidRDefault="00724350" w:rsidP="00724350">
      <w:pPr>
        <w:spacing w:line="360" w:lineRule="auto"/>
        <w:rPr>
          <w:bCs/>
          <w:sz w:val="24"/>
          <w:szCs w:val="24"/>
          <w:lang w:val="en-GB"/>
        </w:rPr>
      </w:pPr>
      <w:r w:rsidRPr="00464A1D">
        <w:rPr>
          <w:bCs/>
          <w:sz w:val="24"/>
          <w:szCs w:val="24"/>
          <w:lang w:val="en-GB"/>
        </w:rPr>
        <w:t>The findings and conclusions in this article are those of the author(s) and do not necessarily represent the views of the U.S. Fish and Wildlife Service. Any use of trade, firm, or product names is for descriptive purposes only and does not imply endorsement by the U.S. Government.</w:t>
      </w:r>
    </w:p>
    <w:p w14:paraId="55B9864C" w14:textId="77777777" w:rsidR="00724350" w:rsidRDefault="00724350" w:rsidP="00724350">
      <w:pPr>
        <w:widowControl/>
        <w:autoSpaceDE/>
        <w:autoSpaceDN/>
        <w:adjustRightInd/>
        <w:rPr>
          <w:sz w:val="24"/>
          <w:szCs w:val="24"/>
          <w:lang w:val="en-GB"/>
        </w:rPr>
      </w:pPr>
      <w:r>
        <w:rPr>
          <w:sz w:val="24"/>
          <w:szCs w:val="24"/>
          <w:lang w:val="en-GB"/>
        </w:rPr>
        <w:br w:type="page"/>
      </w:r>
    </w:p>
    <w:p w14:paraId="4961E4DB" w14:textId="77777777" w:rsidR="00724350" w:rsidRPr="00AB1E74" w:rsidRDefault="00724350" w:rsidP="00724350">
      <w:pPr>
        <w:pStyle w:val="Heading1"/>
        <w:rPr>
          <w:lang w:val="en-GB"/>
        </w:rPr>
      </w:pPr>
      <w:r w:rsidRPr="00AB1E74">
        <w:rPr>
          <w:lang w:val="en-GB"/>
        </w:rPr>
        <w:lastRenderedPageBreak/>
        <w:t>Appendix S1. Description of reed-warbler trends in the Mariana Islands</w:t>
      </w:r>
    </w:p>
    <w:p w14:paraId="4B9577D4" w14:textId="77777777" w:rsidR="00724350" w:rsidRPr="00464A1D" w:rsidRDefault="00724350" w:rsidP="00724350">
      <w:pPr>
        <w:spacing w:line="360" w:lineRule="auto"/>
        <w:rPr>
          <w:bCs/>
          <w:sz w:val="24"/>
          <w:szCs w:val="24"/>
          <w:lang w:val="en-GB"/>
        </w:rPr>
      </w:pPr>
      <w:r w:rsidRPr="00464A1D">
        <w:rPr>
          <w:bCs/>
          <w:sz w:val="24"/>
          <w:szCs w:val="24"/>
          <w:lang w:val="en-GB"/>
        </w:rPr>
        <w:t xml:space="preserve">The Guam Reed-warbler has not been observed on Guam since 1969 despite numerous searches of all wetland sites on the island (Reichel </w:t>
      </w:r>
      <w:r w:rsidRPr="00464A1D">
        <w:rPr>
          <w:bCs/>
          <w:i/>
          <w:sz w:val="24"/>
          <w:szCs w:val="24"/>
          <w:lang w:val="en-GB"/>
        </w:rPr>
        <w:t>et al</w:t>
      </w:r>
      <w:r w:rsidRPr="00464A1D">
        <w:rPr>
          <w:bCs/>
          <w:sz w:val="24"/>
          <w:szCs w:val="24"/>
          <w:lang w:val="en-GB"/>
        </w:rPr>
        <w:t xml:space="preserve">. 1992). It was suggested that habitat loss (Jenkins 1983, Engbring and Ramsey 1984) or pesticide use caused their final decline (Drahos, unpublished data cited in Reichel </w:t>
      </w:r>
      <w:r w:rsidRPr="00464A1D">
        <w:rPr>
          <w:bCs/>
          <w:i/>
          <w:sz w:val="24"/>
          <w:szCs w:val="24"/>
          <w:lang w:val="en-GB"/>
        </w:rPr>
        <w:t xml:space="preserve">et al. </w:t>
      </w:r>
      <w:r w:rsidRPr="00464A1D">
        <w:rPr>
          <w:bCs/>
          <w:sz w:val="24"/>
          <w:szCs w:val="24"/>
          <w:lang w:val="en-GB"/>
        </w:rPr>
        <w:t xml:space="preserve">1992). Although habitat loss likely played a role in its extinction, Reichel </w:t>
      </w:r>
      <w:r w:rsidRPr="00464A1D">
        <w:rPr>
          <w:bCs/>
          <w:i/>
          <w:sz w:val="24"/>
          <w:szCs w:val="24"/>
          <w:lang w:val="en-GB"/>
        </w:rPr>
        <w:t xml:space="preserve">et al. </w:t>
      </w:r>
      <w:r w:rsidRPr="00464A1D">
        <w:rPr>
          <w:bCs/>
          <w:sz w:val="24"/>
          <w:szCs w:val="24"/>
          <w:lang w:val="en-GB"/>
        </w:rPr>
        <w:t xml:space="preserve">(1992) believed that predation by the introduced brown tree snake </w:t>
      </w:r>
      <w:r w:rsidRPr="00464A1D">
        <w:rPr>
          <w:bCs/>
          <w:i/>
          <w:sz w:val="24"/>
          <w:szCs w:val="24"/>
          <w:lang w:val="en-GB"/>
        </w:rPr>
        <w:t>Boiga irregularis</w:t>
      </w:r>
      <w:r w:rsidRPr="00464A1D">
        <w:rPr>
          <w:bCs/>
          <w:sz w:val="24"/>
          <w:szCs w:val="24"/>
          <w:lang w:val="en-GB"/>
        </w:rPr>
        <w:t xml:space="preserve"> played the key role in the final disappearance of the species on Guam. This suggestion is supported by the fact that the spread of the brown tree snake</w:t>
      </w:r>
      <w:r w:rsidRPr="00464A1D" w:rsidDel="00B00883">
        <w:rPr>
          <w:bCs/>
          <w:sz w:val="24"/>
          <w:szCs w:val="24"/>
          <w:lang w:val="en-GB"/>
        </w:rPr>
        <w:t xml:space="preserve"> </w:t>
      </w:r>
      <w:r w:rsidRPr="00464A1D">
        <w:rPr>
          <w:bCs/>
          <w:sz w:val="24"/>
          <w:szCs w:val="24"/>
          <w:lang w:val="en-GB"/>
        </w:rPr>
        <w:t xml:space="preserve">across Guam coincided with declines of almost all other bird species on the island (Savidge 1987, Reichel </w:t>
      </w:r>
      <w:r w:rsidRPr="00464A1D">
        <w:rPr>
          <w:bCs/>
          <w:i/>
          <w:sz w:val="24"/>
          <w:szCs w:val="24"/>
          <w:lang w:val="en-GB"/>
        </w:rPr>
        <w:t xml:space="preserve">et al. </w:t>
      </w:r>
      <w:r w:rsidRPr="00464A1D">
        <w:rPr>
          <w:bCs/>
          <w:sz w:val="24"/>
          <w:szCs w:val="24"/>
          <w:lang w:val="en-GB"/>
        </w:rPr>
        <w:t>1992, Rodda and Savidge 2007).</w:t>
      </w:r>
    </w:p>
    <w:p w14:paraId="4022EACA" w14:textId="77777777" w:rsidR="00724350" w:rsidRPr="00464A1D" w:rsidRDefault="00724350" w:rsidP="00724350">
      <w:pPr>
        <w:spacing w:line="360" w:lineRule="auto"/>
        <w:ind w:firstLine="720"/>
        <w:rPr>
          <w:bCs/>
          <w:sz w:val="24"/>
          <w:szCs w:val="24"/>
          <w:lang w:val="en-GB"/>
        </w:rPr>
      </w:pPr>
      <w:r w:rsidRPr="00464A1D">
        <w:rPr>
          <w:bCs/>
          <w:sz w:val="24"/>
          <w:szCs w:val="24"/>
          <w:lang w:val="en-GB"/>
        </w:rPr>
        <w:t xml:space="preserve">It has been suggested that the Aguiguan Reed-warbler was common before WWII (Baker 1951), although observations in 1954 found it to be one of the least common forest birds on the island (GD Peterson, unpublished data, cited in Reichel </w:t>
      </w:r>
      <w:r w:rsidRPr="00464A1D">
        <w:rPr>
          <w:bCs/>
          <w:i/>
          <w:sz w:val="24"/>
          <w:szCs w:val="24"/>
          <w:lang w:val="en-GB"/>
        </w:rPr>
        <w:t xml:space="preserve">et al. </w:t>
      </w:r>
      <w:r w:rsidRPr="00464A1D">
        <w:rPr>
          <w:bCs/>
          <w:sz w:val="24"/>
          <w:szCs w:val="24"/>
          <w:lang w:val="en-GB"/>
        </w:rPr>
        <w:t xml:space="preserve">1992). The 1982 surveys recorded four incidental observations and produced a population estimate of between 4 and 15 birds (Engbring </w:t>
      </w:r>
      <w:r w:rsidRPr="00464A1D">
        <w:rPr>
          <w:bCs/>
          <w:i/>
          <w:sz w:val="24"/>
          <w:szCs w:val="24"/>
          <w:lang w:val="en-GB"/>
        </w:rPr>
        <w:t>et al</w:t>
      </w:r>
      <w:r w:rsidRPr="00464A1D">
        <w:rPr>
          <w:bCs/>
          <w:sz w:val="24"/>
          <w:szCs w:val="24"/>
          <w:lang w:val="en-GB"/>
        </w:rPr>
        <w:t xml:space="preserve">. 1986). Small numbers of birds were observed at various times after the 1982 survey until 1995, when the Aguiguan Reed-warbler was last observed (Craig and Chandran 1993, Lusk 1993, Marshall </w:t>
      </w:r>
      <w:r w:rsidRPr="00464A1D">
        <w:rPr>
          <w:bCs/>
          <w:i/>
          <w:sz w:val="24"/>
          <w:szCs w:val="24"/>
          <w:lang w:val="en-GB"/>
        </w:rPr>
        <w:t xml:space="preserve">et al. </w:t>
      </w:r>
      <w:r w:rsidRPr="00464A1D">
        <w:rPr>
          <w:bCs/>
          <w:sz w:val="24"/>
          <w:szCs w:val="24"/>
          <w:lang w:val="en-GB"/>
        </w:rPr>
        <w:t xml:space="preserve">1996). There are no wetlands on Aguiguan and past observations indicate the Aguiguan Reed-warbler used native limestone forest, particularly areas with dense canopy (Engbring </w:t>
      </w:r>
      <w:r w:rsidRPr="00464A1D">
        <w:rPr>
          <w:bCs/>
          <w:i/>
          <w:sz w:val="24"/>
          <w:szCs w:val="24"/>
          <w:lang w:val="en-GB"/>
        </w:rPr>
        <w:t>et al</w:t>
      </w:r>
      <w:r w:rsidRPr="00464A1D">
        <w:rPr>
          <w:bCs/>
          <w:sz w:val="24"/>
          <w:szCs w:val="24"/>
          <w:lang w:val="en-GB"/>
        </w:rPr>
        <w:t xml:space="preserve">. 1986; DFW unpublished data cited in Reichel </w:t>
      </w:r>
      <w:r w:rsidRPr="00464A1D">
        <w:rPr>
          <w:bCs/>
          <w:i/>
          <w:sz w:val="24"/>
          <w:szCs w:val="24"/>
          <w:lang w:val="en-GB"/>
        </w:rPr>
        <w:t>et al</w:t>
      </w:r>
      <w:r w:rsidRPr="00464A1D">
        <w:rPr>
          <w:bCs/>
          <w:sz w:val="24"/>
          <w:szCs w:val="24"/>
          <w:lang w:val="en-GB"/>
        </w:rPr>
        <w:t>. 1992), which is different from the habitat used by all other reed-warblers in the Mariana archipelago. The Guam and Pagan Reed-warblers appeared to have primarily occupied wetlands, while the Nightingale Reed-warbler uses wetlands and upland tangantangan (</w:t>
      </w:r>
      <w:r w:rsidRPr="00464A1D">
        <w:rPr>
          <w:bCs/>
          <w:i/>
          <w:sz w:val="24"/>
          <w:szCs w:val="24"/>
          <w:lang w:val="en-GB"/>
        </w:rPr>
        <w:t>Leucaena leucocephala</w:t>
      </w:r>
      <w:r w:rsidRPr="00464A1D">
        <w:rPr>
          <w:bCs/>
          <w:sz w:val="24"/>
          <w:szCs w:val="24"/>
          <w:lang w:val="en-GB"/>
        </w:rPr>
        <w:t xml:space="preserve">) thickets and forests on both Saipan and Alamagan (Reichel </w:t>
      </w:r>
      <w:r w:rsidRPr="00464A1D">
        <w:rPr>
          <w:bCs/>
          <w:i/>
          <w:sz w:val="24"/>
          <w:szCs w:val="24"/>
          <w:lang w:val="en-GB"/>
        </w:rPr>
        <w:t>et al</w:t>
      </w:r>
      <w:r w:rsidRPr="00464A1D">
        <w:rPr>
          <w:bCs/>
          <w:sz w:val="24"/>
          <w:szCs w:val="24"/>
          <w:lang w:val="en-GB"/>
        </w:rPr>
        <w:t xml:space="preserve">. 1992). Where the vegetation was drastically altered by feral ungulates, reed-warbler were found in cover consisting of partially open overstory and somewhat brushy understory (Reichel </w:t>
      </w:r>
      <w:r w:rsidRPr="00464A1D">
        <w:rPr>
          <w:bCs/>
          <w:i/>
          <w:sz w:val="24"/>
          <w:szCs w:val="24"/>
          <w:lang w:val="en-GB"/>
        </w:rPr>
        <w:t xml:space="preserve">et al. </w:t>
      </w:r>
      <w:r w:rsidRPr="00464A1D">
        <w:rPr>
          <w:bCs/>
          <w:sz w:val="24"/>
          <w:szCs w:val="24"/>
          <w:lang w:val="en-GB"/>
        </w:rPr>
        <w:t>1992).</w:t>
      </w:r>
    </w:p>
    <w:p w14:paraId="16961B01" w14:textId="77777777" w:rsidR="00724350" w:rsidRPr="00464A1D" w:rsidRDefault="00724350" w:rsidP="00724350">
      <w:pPr>
        <w:spacing w:line="360" w:lineRule="auto"/>
        <w:ind w:firstLine="720"/>
        <w:rPr>
          <w:bCs/>
          <w:sz w:val="24"/>
          <w:szCs w:val="24"/>
          <w:lang w:val="en-GB"/>
        </w:rPr>
      </w:pPr>
      <w:r w:rsidRPr="00464A1D">
        <w:rPr>
          <w:bCs/>
          <w:sz w:val="24"/>
          <w:szCs w:val="24"/>
          <w:lang w:val="en-GB"/>
        </w:rPr>
        <w:t xml:space="preserve">There is little information about the distribution of the Pagan Reed-warbler. Early collections and later observations suggested the species was locally common in the two wetlands on the island: Laguna Sanhalom (Inner Lake) and Laguna Sanhiyon (Lagoon Lake; Reichel </w:t>
      </w:r>
      <w:r w:rsidRPr="00464A1D">
        <w:rPr>
          <w:bCs/>
          <w:i/>
          <w:sz w:val="24"/>
          <w:szCs w:val="24"/>
          <w:lang w:val="en-GB"/>
        </w:rPr>
        <w:t xml:space="preserve">et al. </w:t>
      </w:r>
      <w:r w:rsidRPr="00464A1D">
        <w:rPr>
          <w:bCs/>
          <w:sz w:val="24"/>
          <w:szCs w:val="24"/>
          <w:lang w:val="en-GB"/>
        </w:rPr>
        <w:t xml:space="preserve">1992). The species was present until at least the 1960s but has not been observed since, despite efforts to locate them in the late 1970s and 1980s, and in 2000 (Reichel </w:t>
      </w:r>
      <w:r w:rsidRPr="00464A1D">
        <w:rPr>
          <w:bCs/>
          <w:i/>
          <w:sz w:val="24"/>
          <w:szCs w:val="24"/>
          <w:lang w:val="en-GB"/>
        </w:rPr>
        <w:t xml:space="preserve">et al. </w:t>
      </w:r>
      <w:r w:rsidRPr="00464A1D">
        <w:rPr>
          <w:bCs/>
          <w:sz w:val="24"/>
          <w:szCs w:val="24"/>
          <w:lang w:val="en-GB"/>
        </w:rPr>
        <w:t xml:space="preserve">1992, DFW 2000). </w:t>
      </w:r>
      <w:r w:rsidRPr="00464A1D">
        <w:rPr>
          <w:bCs/>
          <w:sz w:val="24"/>
          <w:szCs w:val="24"/>
          <w:lang w:val="en-GB"/>
        </w:rPr>
        <w:lastRenderedPageBreak/>
        <w:t xml:space="preserve">Wetlands on Pagan were altered and reduced in the last century due to human development and feral ungulates, such that by 1979 there was little shoreline vegetation remaining around either wetland (Tenorio and Associates 1979). A volcanic eruption in 1981 resulted in elimination of all herbaceous and most woody vegetation at Laguna Sanhalom, which only began to recover in 1989 (Reichel </w:t>
      </w:r>
      <w:r w:rsidRPr="00464A1D">
        <w:rPr>
          <w:bCs/>
          <w:i/>
          <w:sz w:val="24"/>
          <w:szCs w:val="24"/>
          <w:lang w:val="en-GB"/>
        </w:rPr>
        <w:t xml:space="preserve">et al. </w:t>
      </w:r>
      <w:r w:rsidRPr="00464A1D">
        <w:rPr>
          <w:bCs/>
          <w:sz w:val="24"/>
          <w:szCs w:val="24"/>
          <w:lang w:val="en-GB"/>
        </w:rPr>
        <w:t>1992). Pratt (2010) reported that both wetlands were primarily surrounded by ironwood trees (</w:t>
      </w:r>
      <w:r w:rsidRPr="00464A1D">
        <w:rPr>
          <w:bCs/>
          <w:i/>
          <w:sz w:val="24"/>
          <w:szCs w:val="24"/>
          <w:lang w:val="en-GB"/>
        </w:rPr>
        <w:t>Casuarina equisetifolia</w:t>
      </w:r>
      <w:r w:rsidRPr="00464A1D">
        <w:rPr>
          <w:bCs/>
          <w:sz w:val="24"/>
          <w:szCs w:val="24"/>
          <w:lang w:val="en-GB"/>
        </w:rPr>
        <w:t>) in 2010 and the only wetland vegetation recorded was a patch of the native saltgrass (</w:t>
      </w:r>
      <w:r w:rsidRPr="00464A1D">
        <w:rPr>
          <w:bCs/>
          <w:i/>
          <w:sz w:val="24"/>
          <w:szCs w:val="24"/>
          <w:lang w:val="en-GB"/>
        </w:rPr>
        <w:t>Paspalum vaginatum</w:t>
      </w:r>
      <w:r w:rsidRPr="00464A1D">
        <w:rPr>
          <w:bCs/>
          <w:sz w:val="24"/>
          <w:szCs w:val="24"/>
          <w:lang w:val="en-GB"/>
        </w:rPr>
        <w:t>) on Laguna Sanhiyon.</w:t>
      </w:r>
    </w:p>
    <w:p w14:paraId="1796C41E" w14:textId="77777777" w:rsidR="00724350" w:rsidRPr="00464A1D" w:rsidRDefault="00724350" w:rsidP="00724350">
      <w:pPr>
        <w:spacing w:line="360" w:lineRule="auto"/>
        <w:ind w:firstLine="720"/>
        <w:rPr>
          <w:bCs/>
          <w:sz w:val="24"/>
          <w:szCs w:val="24"/>
          <w:lang w:val="en-GB"/>
        </w:rPr>
      </w:pPr>
      <w:r w:rsidRPr="00464A1D">
        <w:rPr>
          <w:bCs/>
          <w:sz w:val="24"/>
          <w:szCs w:val="24"/>
          <w:lang w:val="en-GB"/>
        </w:rPr>
        <w:t xml:space="preserve">Following World War II, the Nightingale Reed-warbler populations on Saipan were thought to be localized due to extensive agricultural development on the island prior to the war (Stott 1947, Marshall 1949, Engbring </w:t>
      </w:r>
      <w:r w:rsidRPr="00464A1D">
        <w:rPr>
          <w:bCs/>
          <w:i/>
          <w:sz w:val="24"/>
          <w:szCs w:val="24"/>
          <w:lang w:val="en-GB"/>
        </w:rPr>
        <w:t>et al</w:t>
      </w:r>
      <w:r w:rsidRPr="00464A1D">
        <w:rPr>
          <w:bCs/>
          <w:sz w:val="24"/>
          <w:szCs w:val="24"/>
          <w:lang w:val="en-GB"/>
        </w:rPr>
        <w:t xml:space="preserve">. 1986). However, Pratt </w:t>
      </w:r>
      <w:r w:rsidRPr="00464A1D">
        <w:rPr>
          <w:bCs/>
          <w:i/>
          <w:sz w:val="24"/>
          <w:szCs w:val="24"/>
          <w:lang w:val="en-GB"/>
        </w:rPr>
        <w:t xml:space="preserve">et al. </w:t>
      </w:r>
      <w:r w:rsidRPr="00464A1D">
        <w:rPr>
          <w:bCs/>
          <w:sz w:val="24"/>
          <w:szCs w:val="24"/>
          <w:lang w:val="en-GB"/>
        </w:rPr>
        <w:t xml:space="preserve">(1979) characterized the species as common in the 1970s and Engbring </w:t>
      </w:r>
      <w:r w:rsidRPr="00464A1D">
        <w:rPr>
          <w:bCs/>
          <w:i/>
          <w:sz w:val="24"/>
          <w:szCs w:val="24"/>
          <w:lang w:val="en-GB"/>
        </w:rPr>
        <w:t xml:space="preserve">et al. </w:t>
      </w:r>
      <w:r w:rsidRPr="00464A1D">
        <w:rPr>
          <w:bCs/>
          <w:sz w:val="24"/>
          <w:szCs w:val="24"/>
          <w:lang w:val="en-GB"/>
        </w:rPr>
        <w:t xml:space="preserve">(1986) reported a population of around 4,800 birds in 1982. In 2007, an island-wide bird survey of Saipan showed that the Nightingale Reed-warbler has declined since 1982 to 2,742 birds (Camp </w:t>
      </w:r>
      <w:r w:rsidRPr="00464A1D">
        <w:rPr>
          <w:bCs/>
          <w:i/>
          <w:sz w:val="24"/>
          <w:szCs w:val="24"/>
          <w:lang w:val="en-GB"/>
        </w:rPr>
        <w:t xml:space="preserve">et al. </w:t>
      </w:r>
      <w:r w:rsidRPr="00464A1D">
        <w:rPr>
          <w:bCs/>
          <w:sz w:val="24"/>
          <w:szCs w:val="24"/>
          <w:lang w:val="en-GB"/>
        </w:rPr>
        <w:t>2009). Saipan is the primary stronghold for the species, making this a result of great concern regarding the long-term conservation of the species in the Mariana Islands.</w:t>
      </w:r>
    </w:p>
    <w:p w14:paraId="0DEE62B5" w14:textId="77777777" w:rsidR="00724350" w:rsidRPr="00464A1D" w:rsidRDefault="00724350" w:rsidP="00724350">
      <w:pPr>
        <w:spacing w:line="360" w:lineRule="auto"/>
        <w:ind w:firstLine="720"/>
        <w:rPr>
          <w:bCs/>
          <w:sz w:val="24"/>
          <w:szCs w:val="24"/>
          <w:lang w:val="en-GB"/>
        </w:rPr>
      </w:pPr>
      <w:r w:rsidRPr="00464A1D">
        <w:rPr>
          <w:bCs/>
          <w:sz w:val="24"/>
          <w:szCs w:val="24"/>
          <w:lang w:val="en-GB"/>
        </w:rPr>
        <w:t xml:space="preserve">Limited information is available on the Nightingale Reed-warbler population on Alamagan prior to the 1980s. Reichel </w:t>
      </w:r>
      <w:r w:rsidRPr="00464A1D">
        <w:rPr>
          <w:bCs/>
          <w:i/>
          <w:sz w:val="24"/>
          <w:szCs w:val="24"/>
          <w:lang w:val="en-GB"/>
        </w:rPr>
        <w:t>et al.</w:t>
      </w:r>
      <w:r w:rsidRPr="00464A1D">
        <w:rPr>
          <w:bCs/>
          <w:sz w:val="24"/>
          <w:szCs w:val="24"/>
          <w:lang w:val="en-GB"/>
        </w:rPr>
        <w:t xml:space="preserve"> (1992) estimated the population to be between 350 and 1,000 pairs based on limited surveys in 1988 and 1990. They reported the species occurred in forested areas with open or brushy understories and in forest edges adjacent to swordgrass </w:t>
      </w:r>
      <w:r w:rsidRPr="00464A1D">
        <w:rPr>
          <w:bCs/>
          <w:i/>
          <w:sz w:val="24"/>
          <w:szCs w:val="24"/>
          <w:lang w:val="en-GB"/>
        </w:rPr>
        <w:t>Miscanthus floridulus</w:t>
      </w:r>
      <w:r w:rsidRPr="00464A1D">
        <w:rPr>
          <w:bCs/>
          <w:sz w:val="24"/>
          <w:szCs w:val="24"/>
          <w:lang w:val="en-GB"/>
        </w:rPr>
        <w:t>. Stinson (1993) estimated the population to be around 2,000 individuals based on a survey of the northern half of the island in 1992. DFW (2000) estimated the population to be 173 pairs based on extensive surveys of the entire island in 2000.</w:t>
      </w:r>
    </w:p>
    <w:p w14:paraId="0D4D68E3" w14:textId="77777777" w:rsidR="00724350" w:rsidRPr="00464A1D" w:rsidRDefault="00724350" w:rsidP="00724350">
      <w:pPr>
        <w:spacing w:line="360" w:lineRule="auto"/>
        <w:rPr>
          <w:bCs/>
          <w:sz w:val="24"/>
          <w:szCs w:val="24"/>
          <w:lang w:val="en-GB"/>
        </w:rPr>
      </w:pPr>
    </w:p>
    <w:p w14:paraId="6DBD899B" w14:textId="77777777" w:rsidR="00724350" w:rsidRDefault="00724350" w:rsidP="00724350">
      <w:pPr>
        <w:spacing w:line="360" w:lineRule="auto"/>
        <w:rPr>
          <w:b/>
          <w:bCs/>
          <w:sz w:val="24"/>
          <w:szCs w:val="24"/>
          <w:lang w:val="en-GB"/>
        </w:rPr>
      </w:pPr>
      <w:r w:rsidRPr="00464A1D">
        <w:rPr>
          <w:b/>
          <w:bCs/>
          <w:sz w:val="24"/>
          <w:szCs w:val="24"/>
          <w:lang w:val="en-GB"/>
        </w:rPr>
        <w:t xml:space="preserve">References </w:t>
      </w:r>
    </w:p>
    <w:p w14:paraId="1B54E18B" w14:textId="77777777" w:rsidR="00724350" w:rsidRDefault="00724350" w:rsidP="00724350">
      <w:pPr>
        <w:spacing w:line="360" w:lineRule="auto"/>
        <w:rPr>
          <w:rFonts w:eastAsia="Calibri"/>
          <w:sz w:val="24"/>
          <w:szCs w:val="24"/>
          <w:lang w:val="en-GB"/>
        </w:rPr>
      </w:pPr>
    </w:p>
    <w:p w14:paraId="225D4A12" w14:textId="77777777" w:rsidR="00724350" w:rsidRPr="00464A1D" w:rsidRDefault="00724350" w:rsidP="00724350">
      <w:pPr>
        <w:spacing w:line="360" w:lineRule="auto"/>
        <w:rPr>
          <w:rFonts w:eastAsia="Calibri"/>
          <w:bCs/>
          <w:sz w:val="24"/>
          <w:szCs w:val="24"/>
          <w:lang w:val="en-GB"/>
        </w:rPr>
      </w:pPr>
      <w:r w:rsidRPr="00464A1D">
        <w:rPr>
          <w:rFonts w:eastAsia="Calibri"/>
          <w:sz w:val="24"/>
          <w:szCs w:val="24"/>
          <w:lang w:val="en-GB"/>
        </w:rPr>
        <w:t xml:space="preserve">Baker, R. H. (1951) The avifauna of Micronesia, its origin, evolution, and distribution. </w:t>
      </w:r>
      <w:r w:rsidRPr="00464A1D">
        <w:rPr>
          <w:rFonts w:eastAsia="Calibri"/>
          <w:i/>
          <w:sz w:val="24"/>
          <w:szCs w:val="24"/>
          <w:lang w:val="en-GB"/>
        </w:rPr>
        <w:t>Univ. Kans. Publ. Mus. Nat. Hist.</w:t>
      </w:r>
      <w:r w:rsidRPr="00464A1D">
        <w:rPr>
          <w:rFonts w:eastAsia="Calibri"/>
          <w:sz w:val="24"/>
          <w:szCs w:val="24"/>
          <w:lang w:val="en-GB"/>
        </w:rPr>
        <w:t xml:space="preserve"> 3: 1–359. </w:t>
      </w:r>
    </w:p>
    <w:p w14:paraId="6FEF4D55" w14:textId="77777777" w:rsidR="00724350" w:rsidRDefault="00724350" w:rsidP="00724350">
      <w:pPr>
        <w:widowControl/>
        <w:autoSpaceDE/>
        <w:autoSpaceDN/>
        <w:adjustRightInd/>
        <w:spacing w:after="160" w:line="360" w:lineRule="auto"/>
        <w:ind w:left="720" w:hanging="720"/>
        <w:rPr>
          <w:rFonts w:eastAsia="Calibri"/>
          <w:sz w:val="24"/>
          <w:szCs w:val="24"/>
          <w:lang w:val="en-GB"/>
        </w:rPr>
      </w:pPr>
    </w:p>
    <w:p w14:paraId="4A76A9F1" w14:textId="77777777" w:rsidR="00724350" w:rsidRPr="00464A1D" w:rsidRDefault="00724350" w:rsidP="00724350">
      <w:pPr>
        <w:widowControl/>
        <w:autoSpaceDE/>
        <w:autoSpaceDN/>
        <w:adjustRightInd/>
        <w:spacing w:after="160" w:line="360" w:lineRule="auto"/>
        <w:ind w:left="720" w:hanging="720"/>
        <w:rPr>
          <w:rFonts w:eastAsia="Calibri"/>
          <w:sz w:val="24"/>
          <w:szCs w:val="24"/>
          <w:lang w:val="en-GB"/>
        </w:rPr>
      </w:pPr>
      <w:r w:rsidRPr="00464A1D">
        <w:rPr>
          <w:rFonts w:eastAsia="Calibri"/>
          <w:sz w:val="24"/>
          <w:szCs w:val="24"/>
          <w:lang w:val="en-GB"/>
        </w:rPr>
        <w:t xml:space="preserve">Camp, R. J., Pratt, T. K., Marshall, A. P., Amidon, F. and Williams, L. (2009) Status and trends of the land bird avifauna on Saipan, Mariana Islands, with emphasis on the endangered </w:t>
      </w:r>
      <w:r w:rsidRPr="00464A1D">
        <w:rPr>
          <w:rFonts w:eastAsia="Calibri"/>
          <w:sz w:val="24"/>
          <w:szCs w:val="24"/>
          <w:lang w:val="en-GB"/>
        </w:rPr>
        <w:lastRenderedPageBreak/>
        <w:t>Nightingale Reed-warbler</w:t>
      </w:r>
      <w:r w:rsidRPr="00464A1D">
        <w:rPr>
          <w:rFonts w:eastAsia="Calibri"/>
          <w:i/>
          <w:sz w:val="24"/>
          <w:szCs w:val="24"/>
          <w:lang w:val="en-GB"/>
        </w:rPr>
        <w:t xml:space="preserve"> (Acrocephalus luscinia)</w:t>
      </w:r>
      <w:r w:rsidRPr="00464A1D">
        <w:rPr>
          <w:rFonts w:eastAsia="Calibri"/>
          <w:sz w:val="24"/>
          <w:szCs w:val="24"/>
          <w:lang w:val="en-GB"/>
        </w:rPr>
        <w:t xml:space="preserve">. </w:t>
      </w:r>
      <w:r w:rsidRPr="00464A1D">
        <w:rPr>
          <w:rFonts w:eastAsia="Calibri"/>
          <w:i/>
          <w:sz w:val="24"/>
          <w:szCs w:val="24"/>
          <w:lang w:val="en-GB"/>
        </w:rPr>
        <w:t>Bird Conserv. Internatn.</w:t>
      </w:r>
      <w:r w:rsidRPr="00464A1D">
        <w:rPr>
          <w:rFonts w:eastAsia="Calibri"/>
          <w:sz w:val="24"/>
          <w:szCs w:val="24"/>
          <w:lang w:val="en-GB"/>
        </w:rPr>
        <w:t xml:space="preserve"> 19: 323–337.</w:t>
      </w:r>
    </w:p>
    <w:p w14:paraId="45626A54"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Craig, R. J. and Chandran, R. (1993) Wildlife species recorded during the Aguiguan expedition. Pp. 1–7 </w:t>
      </w:r>
      <w:r w:rsidRPr="00464A1D">
        <w:rPr>
          <w:rFonts w:eastAsia="Calibri"/>
          <w:i/>
          <w:sz w:val="24"/>
          <w:szCs w:val="24"/>
          <w:lang w:val="en-GB"/>
        </w:rPr>
        <w:t>in</w:t>
      </w:r>
      <w:r w:rsidRPr="00464A1D">
        <w:rPr>
          <w:rFonts w:eastAsia="Calibri"/>
          <w:sz w:val="24"/>
          <w:szCs w:val="24"/>
          <w:lang w:val="en-GB"/>
        </w:rPr>
        <w:t xml:space="preserve"> R. J. Craig, ed. </w:t>
      </w:r>
      <w:r w:rsidRPr="00464A1D">
        <w:rPr>
          <w:rFonts w:eastAsia="Calibri"/>
          <w:i/>
          <w:sz w:val="24"/>
          <w:szCs w:val="24"/>
          <w:lang w:val="en-GB"/>
        </w:rPr>
        <w:t>The Aguiguan expedition</w:t>
      </w:r>
      <w:r w:rsidRPr="00464A1D">
        <w:rPr>
          <w:rFonts w:eastAsia="Calibri"/>
          <w:sz w:val="24"/>
          <w:szCs w:val="24"/>
          <w:lang w:val="en-GB"/>
        </w:rPr>
        <w:t>. Proceedings of the Mariana Research Symposium, Northern Marianas College.</w:t>
      </w:r>
    </w:p>
    <w:p w14:paraId="6B95E1F1"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bCs/>
          <w:sz w:val="24"/>
          <w:szCs w:val="24"/>
          <w:lang w:val="en-GB"/>
        </w:rPr>
        <w:t xml:space="preserve">Division of Fish and Wildlife (2000) </w:t>
      </w:r>
      <w:r w:rsidRPr="00464A1D">
        <w:rPr>
          <w:rFonts w:eastAsia="Calibri"/>
          <w:bCs/>
          <w:i/>
          <w:sz w:val="24"/>
          <w:szCs w:val="24"/>
          <w:lang w:val="en-GB"/>
        </w:rPr>
        <w:t>Wildlife and vegetation surveys: Pagan 2000</w:t>
      </w:r>
      <w:r w:rsidRPr="00464A1D">
        <w:rPr>
          <w:rFonts w:eastAsia="Calibri"/>
          <w:bCs/>
          <w:sz w:val="24"/>
          <w:szCs w:val="24"/>
          <w:lang w:val="en-GB"/>
        </w:rPr>
        <w:t>. Technical Report 7. CNMI Division of Fish and Wildlife, Saipan, MP.</w:t>
      </w:r>
    </w:p>
    <w:p w14:paraId="7009DB0D"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bCs/>
          <w:sz w:val="24"/>
          <w:szCs w:val="24"/>
          <w:lang w:val="en-GB"/>
        </w:rPr>
        <w:t xml:space="preserve">Engbring, J. and Ramsey, F. L. (1984) </w:t>
      </w:r>
      <w:r w:rsidRPr="00464A1D">
        <w:rPr>
          <w:rFonts w:eastAsia="Calibri"/>
          <w:bCs/>
          <w:i/>
          <w:sz w:val="24"/>
          <w:szCs w:val="24"/>
          <w:lang w:val="en-GB"/>
        </w:rPr>
        <w:t xml:space="preserve">Distribution and abundance of the forest birds of Guam: Results of a 1981 survey. </w:t>
      </w:r>
      <w:r w:rsidRPr="00464A1D">
        <w:rPr>
          <w:rFonts w:eastAsia="Calibri"/>
          <w:bCs/>
          <w:sz w:val="24"/>
          <w:szCs w:val="24"/>
          <w:lang w:val="en-GB"/>
        </w:rPr>
        <w:t>U.S. Fish and Wildlife Service, Honolulu, Hawaii.</w:t>
      </w:r>
    </w:p>
    <w:p w14:paraId="45256F58"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bCs/>
          <w:sz w:val="24"/>
          <w:szCs w:val="24"/>
          <w:lang w:val="en-GB"/>
        </w:rPr>
        <w:t xml:space="preserve">Engbring, J., Ramsey, F.L. and Wildman, V.J. (1986) </w:t>
      </w:r>
      <w:r w:rsidRPr="00464A1D">
        <w:rPr>
          <w:rFonts w:eastAsia="Calibri"/>
          <w:bCs/>
          <w:i/>
          <w:sz w:val="24"/>
          <w:szCs w:val="24"/>
          <w:lang w:val="en-GB"/>
        </w:rPr>
        <w:t>Micronesian forest bird survey, 1982: Saipan, Tinian, Aguijan, and Rota.</w:t>
      </w:r>
      <w:r w:rsidRPr="00464A1D">
        <w:rPr>
          <w:rFonts w:eastAsia="Calibri"/>
          <w:bCs/>
          <w:sz w:val="24"/>
          <w:szCs w:val="24"/>
          <w:lang w:val="en-GB"/>
        </w:rPr>
        <w:t xml:space="preserve"> U.S. Fish and Wildlife Service, Honolulu, Hawaii.</w:t>
      </w:r>
    </w:p>
    <w:p w14:paraId="482D52EB" w14:textId="77777777" w:rsidR="00724350" w:rsidRPr="00464A1D" w:rsidRDefault="00724350" w:rsidP="00724350">
      <w:pPr>
        <w:widowControl/>
        <w:autoSpaceDE/>
        <w:autoSpaceDN/>
        <w:adjustRightInd/>
        <w:spacing w:after="160" w:line="360" w:lineRule="auto"/>
        <w:rPr>
          <w:rFonts w:eastAsia="Calibri"/>
          <w:sz w:val="24"/>
          <w:szCs w:val="24"/>
          <w:lang w:val="en-GB"/>
        </w:rPr>
      </w:pPr>
      <w:r w:rsidRPr="00464A1D">
        <w:rPr>
          <w:rFonts w:eastAsia="Calibri"/>
          <w:sz w:val="24"/>
          <w:szCs w:val="24"/>
          <w:lang w:val="en-GB"/>
        </w:rPr>
        <w:t xml:space="preserve">Jenkins, J. M. (1983) The native forest birds of Guam. </w:t>
      </w:r>
      <w:r w:rsidRPr="00464A1D">
        <w:rPr>
          <w:rFonts w:eastAsia="Calibri"/>
          <w:i/>
          <w:sz w:val="24"/>
          <w:szCs w:val="24"/>
          <w:lang w:val="en-GB"/>
        </w:rPr>
        <w:t>Ornithol. Monogr</w:t>
      </w:r>
      <w:r w:rsidRPr="00464A1D">
        <w:rPr>
          <w:rFonts w:eastAsia="Calibri"/>
          <w:sz w:val="24"/>
          <w:szCs w:val="24"/>
          <w:lang w:val="en-GB"/>
        </w:rPr>
        <w:t xml:space="preserve"> 31: 598.2 AME.</w:t>
      </w:r>
    </w:p>
    <w:p w14:paraId="0DD2D3F2"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Lusk, M. (1993) </w:t>
      </w:r>
      <w:r w:rsidRPr="00464A1D">
        <w:rPr>
          <w:rFonts w:eastAsia="Calibri"/>
          <w:i/>
          <w:sz w:val="24"/>
          <w:szCs w:val="24"/>
          <w:lang w:val="en-GB"/>
        </w:rPr>
        <w:t>Field trip report Aguiguan, August 23-26</w:t>
      </w:r>
      <w:r w:rsidRPr="00464A1D">
        <w:rPr>
          <w:rFonts w:eastAsia="Calibri"/>
          <w:sz w:val="24"/>
          <w:szCs w:val="24"/>
          <w:lang w:val="en-GB"/>
        </w:rPr>
        <w:t>. CNMI Division of Fish and Wildlife, Saipan, MP.</w:t>
      </w:r>
    </w:p>
    <w:p w14:paraId="6C19A4D5"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Marshall, A. P., Kessler, C. C. and Worthington, D. J. (1996) </w:t>
      </w:r>
      <w:r w:rsidRPr="00464A1D">
        <w:rPr>
          <w:rFonts w:eastAsia="Calibri"/>
          <w:i/>
          <w:sz w:val="24"/>
          <w:szCs w:val="24"/>
          <w:lang w:val="en-GB"/>
        </w:rPr>
        <w:t>Endemic bird monitoring, planning, and management</w:t>
      </w:r>
      <w:r w:rsidRPr="00464A1D">
        <w:rPr>
          <w:rFonts w:eastAsia="Calibri"/>
          <w:sz w:val="24"/>
          <w:szCs w:val="24"/>
          <w:lang w:val="en-GB"/>
        </w:rPr>
        <w:t xml:space="preserve">. Pp. 40–45 </w:t>
      </w:r>
      <w:r w:rsidRPr="00464A1D">
        <w:rPr>
          <w:rFonts w:eastAsia="Calibri"/>
          <w:i/>
          <w:sz w:val="24"/>
          <w:szCs w:val="24"/>
          <w:lang w:val="en-GB"/>
        </w:rPr>
        <w:t>in</w:t>
      </w:r>
      <w:r w:rsidRPr="00464A1D">
        <w:rPr>
          <w:rFonts w:eastAsia="Calibri"/>
          <w:sz w:val="24"/>
          <w:szCs w:val="24"/>
          <w:lang w:val="en-GB"/>
        </w:rPr>
        <w:t xml:space="preserve"> Annual Report, FY 1995. CNMI Division of Fish and Wildlife, Saipan, MP.</w:t>
      </w:r>
    </w:p>
    <w:p w14:paraId="2ED568E1"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Marshall, J. T., Jr. (1949) The endemic avifauna of Saipan, Tinian, Guam and Palau. </w:t>
      </w:r>
      <w:r w:rsidRPr="00464A1D">
        <w:rPr>
          <w:rFonts w:eastAsia="Calibri"/>
          <w:i/>
          <w:sz w:val="24"/>
          <w:szCs w:val="24"/>
          <w:lang w:val="en-GB"/>
        </w:rPr>
        <w:t>Condor</w:t>
      </w:r>
      <w:r w:rsidRPr="00464A1D">
        <w:rPr>
          <w:rFonts w:eastAsia="Calibri"/>
          <w:sz w:val="24"/>
          <w:szCs w:val="24"/>
          <w:lang w:val="en-GB"/>
        </w:rPr>
        <w:t xml:space="preserve"> 51: 200–221. </w:t>
      </w:r>
    </w:p>
    <w:p w14:paraId="4C254FFC"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Pratt, L. (2010) </w:t>
      </w:r>
      <w:r w:rsidRPr="00464A1D">
        <w:rPr>
          <w:rFonts w:eastAsia="Calibri"/>
          <w:i/>
          <w:sz w:val="24"/>
          <w:szCs w:val="24"/>
          <w:lang w:val="en-GB"/>
        </w:rPr>
        <w:t>Vegetation assessment of forests of Pagan Island, Commonwealth of the Northern Mariana Islands</w:t>
      </w:r>
      <w:r w:rsidRPr="00464A1D">
        <w:rPr>
          <w:rFonts w:eastAsia="Calibri"/>
          <w:sz w:val="24"/>
          <w:szCs w:val="24"/>
          <w:lang w:val="en-GB"/>
        </w:rPr>
        <w:t>. USGS, Pacific Island Ecosystems Research Center, Hawaii Volcanoes National Park, Hawaii.</w:t>
      </w:r>
    </w:p>
    <w:p w14:paraId="4E7A64FE"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Pratt, H. D., Bruner, P. L. and Berrett, D. G. (1979) America's unknown avifauna: the birds of the Mariana Islands. </w:t>
      </w:r>
      <w:r w:rsidRPr="00464A1D">
        <w:rPr>
          <w:rFonts w:eastAsia="Calibri"/>
          <w:i/>
          <w:sz w:val="24"/>
          <w:szCs w:val="24"/>
          <w:lang w:val="en-GB"/>
        </w:rPr>
        <w:t>Amer. Birds</w:t>
      </w:r>
      <w:r w:rsidRPr="00464A1D">
        <w:rPr>
          <w:rFonts w:eastAsia="Calibri"/>
          <w:sz w:val="24"/>
          <w:szCs w:val="24"/>
          <w:lang w:val="en-GB"/>
        </w:rPr>
        <w:t xml:space="preserve"> 33: 227–235.</w:t>
      </w:r>
    </w:p>
    <w:p w14:paraId="48813412"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Reichel, J. D., Wiles, G. J. and Glass, P. O. (1992) Island extinctions: the case of the endangered nightingale reed-warbler. </w:t>
      </w:r>
      <w:r w:rsidRPr="00464A1D">
        <w:rPr>
          <w:rFonts w:eastAsia="Calibri"/>
          <w:i/>
          <w:sz w:val="24"/>
          <w:szCs w:val="24"/>
          <w:lang w:val="en-GB"/>
        </w:rPr>
        <w:t>Wilson Bull.</w:t>
      </w:r>
      <w:r w:rsidRPr="00464A1D">
        <w:rPr>
          <w:rFonts w:eastAsia="Calibri"/>
          <w:sz w:val="24"/>
          <w:szCs w:val="24"/>
          <w:lang w:val="en-GB"/>
        </w:rPr>
        <w:t xml:space="preserve"> 104: 44–54.</w:t>
      </w:r>
    </w:p>
    <w:p w14:paraId="1FB7818A"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lastRenderedPageBreak/>
        <w:t xml:space="preserve">Rodda, G. H. and Savidge, J. A. (2007) Biology and Impacts of Pacific Island Invasive Species. 2. </w:t>
      </w:r>
      <w:r w:rsidRPr="00464A1D">
        <w:rPr>
          <w:rFonts w:eastAsia="Calibri"/>
          <w:i/>
          <w:sz w:val="24"/>
          <w:szCs w:val="24"/>
          <w:lang w:val="en-GB"/>
        </w:rPr>
        <w:t>Boiga irregularis</w:t>
      </w:r>
      <w:r w:rsidRPr="00464A1D">
        <w:rPr>
          <w:rFonts w:eastAsia="Calibri"/>
          <w:sz w:val="24"/>
          <w:szCs w:val="24"/>
          <w:lang w:val="en-GB"/>
        </w:rPr>
        <w:t xml:space="preserve">, the Brown Tree Snake (Reptilia: Colubridae) 1. </w:t>
      </w:r>
      <w:r w:rsidRPr="00464A1D">
        <w:rPr>
          <w:rFonts w:eastAsia="Calibri"/>
          <w:i/>
          <w:iCs/>
          <w:sz w:val="24"/>
          <w:szCs w:val="24"/>
          <w:lang w:val="en-GB"/>
        </w:rPr>
        <w:t>Pac. Sci</w:t>
      </w:r>
      <w:r w:rsidRPr="00464A1D">
        <w:rPr>
          <w:rFonts w:eastAsia="Calibri"/>
          <w:i/>
          <w:sz w:val="24"/>
          <w:szCs w:val="24"/>
          <w:lang w:val="en-GB"/>
        </w:rPr>
        <w:t>.</w:t>
      </w:r>
      <w:r w:rsidRPr="00464A1D">
        <w:rPr>
          <w:rFonts w:eastAsia="Calibri"/>
          <w:sz w:val="24"/>
          <w:szCs w:val="24"/>
          <w:lang w:val="en-GB"/>
        </w:rPr>
        <w:t> </w:t>
      </w:r>
      <w:r w:rsidRPr="00464A1D">
        <w:rPr>
          <w:rFonts w:eastAsia="Calibri"/>
          <w:iCs/>
          <w:sz w:val="24"/>
          <w:szCs w:val="24"/>
          <w:lang w:val="en-GB"/>
        </w:rPr>
        <w:t>61</w:t>
      </w:r>
      <w:r w:rsidRPr="00464A1D">
        <w:rPr>
          <w:rFonts w:eastAsia="Calibri"/>
          <w:sz w:val="24"/>
          <w:szCs w:val="24"/>
          <w:lang w:val="en-GB"/>
        </w:rPr>
        <w:t>: 307–324.</w:t>
      </w:r>
    </w:p>
    <w:p w14:paraId="5DF14D4B"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Savidge. J. A. (1987) Extinction of an island forest avifauna by an introduced snake. </w:t>
      </w:r>
      <w:r w:rsidRPr="00464A1D">
        <w:rPr>
          <w:rFonts w:eastAsia="Calibri"/>
          <w:i/>
          <w:sz w:val="24"/>
          <w:szCs w:val="24"/>
          <w:lang w:val="en-GB"/>
        </w:rPr>
        <w:t>Ecology</w:t>
      </w:r>
      <w:r w:rsidRPr="00464A1D">
        <w:rPr>
          <w:rFonts w:eastAsia="Calibri"/>
          <w:sz w:val="24"/>
          <w:szCs w:val="24"/>
          <w:lang w:val="en-GB"/>
        </w:rPr>
        <w:t xml:space="preserve"> 68: 660–668.</w:t>
      </w:r>
    </w:p>
    <w:p w14:paraId="0D2F1F00"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bCs/>
          <w:sz w:val="24"/>
          <w:szCs w:val="24"/>
          <w:lang w:val="en-GB"/>
        </w:rPr>
        <w:t xml:space="preserve">Stinson, D. W. (1993) Nightingale reed-warbler research. Pp. 257-261 </w:t>
      </w:r>
      <w:r w:rsidRPr="00464A1D">
        <w:rPr>
          <w:rFonts w:eastAsia="Calibri"/>
          <w:bCs/>
          <w:i/>
          <w:sz w:val="24"/>
          <w:szCs w:val="24"/>
          <w:lang w:val="en-GB"/>
        </w:rPr>
        <w:t>in</w:t>
      </w:r>
      <w:r w:rsidRPr="00464A1D">
        <w:rPr>
          <w:rFonts w:eastAsia="Calibri"/>
          <w:bCs/>
          <w:sz w:val="24"/>
          <w:szCs w:val="24"/>
          <w:lang w:val="en-GB"/>
        </w:rPr>
        <w:t xml:space="preserve"> Division of Fish and Wildlife Research Management Program, </w:t>
      </w:r>
      <w:r w:rsidRPr="00464A1D">
        <w:rPr>
          <w:rFonts w:eastAsia="Calibri"/>
          <w:bCs/>
          <w:i/>
          <w:sz w:val="24"/>
          <w:szCs w:val="24"/>
          <w:lang w:val="en-GB"/>
        </w:rPr>
        <w:t xml:space="preserve">Five-year Progress Report, 1 October 1987 to 30 September 1992. </w:t>
      </w:r>
      <w:r w:rsidRPr="00464A1D">
        <w:rPr>
          <w:rFonts w:eastAsia="Calibri"/>
          <w:bCs/>
          <w:sz w:val="24"/>
          <w:szCs w:val="24"/>
          <w:lang w:val="en-GB"/>
        </w:rPr>
        <w:t>CNMI Division of Fish and Wildlife, Saipan.</w:t>
      </w:r>
    </w:p>
    <w:p w14:paraId="63C4F3ED" w14:textId="77777777" w:rsidR="00724350" w:rsidRPr="00464A1D" w:rsidRDefault="00724350" w:rsidP="00724350">
      <w:pPr>
        <w:widowControl/>
        <w:autoSpaceDE/>
        <w:autoSpaceDN/>
        <w:adjustRightInd/>
        <w:spacing w:after="160" w:line="360" w:lineRule="auto"/>
        <w:rPr>
          <w:rFonts w:eastAsia="Calibri"/>
          <w:bCs/>
          <w:sz w:val="24"/>
          <w:szCs w:val="24"/>
          <w:lang w:val="en-GB"/>
        </w:rPr>
      </w:pPr>
      <w:r w:rsidRPr="00464A1D">
        <w:rPr>
          <w:rFonts w:eastAsia="Calibri"/>
          <w:sz w:val="24"/>
          <w:szCs w:val="24"/>
          <w:lang w:val="en-GB"/>
        </w:rPr>
        <w:t xml:space="preserve">Stott. K. (1947) Notes on Saipan birds. </w:t>
      </w:r>
      <w:r w:rsidRPr="00464A1D">
        <w:rPr>
          <w:rFonts w:eastAsia="Calibri"/>
          <w:i/>
          <w:sz w:val="24"/>
          <w:szCs w:val="24"/>
          <w:lang w:val="en-GB"/>
        </w:rPr>
        <w:t>Auk</w:t>
      </w:r>
      <w:r w:rsidRPr="00464A1D">
        <w:rPr>
          <w:rFonts w:eastAsia="Calibri"/>
          <w:sz w:val="24"/>
          <w:szCs w:val="24"/>
          <w:lang w:val="en-GB"/>
        </w:rPr>
        <w:t xml:space="preserve"> 64: 523–527.</w:t>
      </w:r>
    </w:p>
    <w:p w14:paraId="15CEBC64" w14:textId="77777777" w:rsidR="00724350" w:rsidRPr="00464A1D" w:rsidRDefault="00724350" w:rsidP="00724350">
      <w:pPr>
        <w:spacing w:line="360" w:lineRule="auto"/>
        <w:ind w:left="720" w:hanging="720"/>
        <w:rPr>
          <w:bCs/>
          <w:sz w:val="24"/>
          <w:szCs w:val="24"/>
          <w:lang w:val="en-GB"/>
        </w:rPr>
      </w:pPr>
      <w:r w:rsidRPr="00464A1D">
        <w:rPr>
          <w:rFonts w:eastAsia="Calibri"/>
          <w:color w:val="000000"/>
          <w:sz w:val="24"/>
          <w:szCs w:val="24"/>
          <w:lang w:val="en-GB"/>
        </w:rPr>
        <w:t xml:space="preserve">Tenorio and Associates (1979) </w:t>
      </w:r>
      <w:r w:rsidRPr="00464A1D">
        <w:rPr>
          <w:rFonts w:eastAsia="Calibri"/>
          <w:i/>
          <w:color w:val="000000"/>
          <w:sz w:val="24"/>
          <w:szCs w:val="24"/>
          <w:lang w:val="en-GB"/>
        </w:rPr>
        <w:t>Ornithological survey of wetlands in Guam, Saipan, Tinian, and Pagan</w:t>
      </w:r>
      <w:r w:rsidRPr="00464A1D">
        <w:rPr>
          <w:rFonts w:eastAsia="Calibri"/>
          <w:color w:val="000000"/>
          <w:sz w:val="24"/>
          <w:szCs w:val="24"/>
          <w:lang w:val="en-GB"/>
        </w:rPr>
        <w:t>. U.S. Army Corps of Engineers, Pacific Ocean Division.</w:t>
      </w:r>
    </w:p>
    <w:p w14:paraId="371E1462" w14:textId="77777777" w:rsidR="00724350" w:rsidRPr="00464A1D" w:rsidRDefault="00724350" w:rsidP="00724350">
      <w:pPr>
        <w:spacing w:line="360" w:lineRule="auto"/>
        <w:rPr>
          <w:lang w:val="en-GB"/>
        </w:rPr>
      </w:pPr>
      <w:r w:rsidRPr="00464A1D">
        <w:rPr>
          <w:lang w:val="en-GB"/>
        </w:rPr>
        <w:br w:type="page"/>
      </w:r>
    </w:p>
    <w:p w14:paraId="1800B517" w14:textId="77777777" w:rsidR="00724350" w:rsidRPr="00AB1E74" w:rsidRDefault="00724350" w:rsidP="00724350">
      <w:pPr>
        <w:pStyle w:val="Heading1"/>
        <w:rPr>
          <w:lang w:val="en-GB"/>
        </w:rPr>
      </w:pPr>
      <w:bookmarkStart w:id="0" w:name="_Hlk54879282"/>
      <w:r w:rsidRPr="00AB1E74">
        <w:rPr>
          <w:lang w:val="en-GB"/>
        </w:rPr>
        <w:lastRenderedPageBreak/>
        <w:t xml:space="preserve">Appendix S2. Description </w:t>
      </w:r>
      <w:bookmarkEnd w:id="0"/>
      <w:r w:rsidRPr="00AB1E74">
        <w:rPr>
          <w:lang w:val="en-GB"/>
        </w:rPr>
        <w:t>of Mariana Islands occupied or previously occupied by reed-warblers</w:t>
      </w:r>
      <w:r>
        <w:rPr>
          <w:lang w:val="en-GB"/>
        </w:rPr>
        <w:t>.</w:t>
      </w:r>
    </w:p>
    <w:p w14:paraId="6E3003C0" w14:textId="77777777" w:rsidR="00724350" w:rsidRPr="00464A1D" w:rsidRDefault="00724350" w:rsidP="00724350">
      <w:pPr>
        <w:spacing w:line="360" w:lineRule="auto"/>
        <w:rPr>
          <w:bCs/>
          <w:sz w:val="24"/>
          <w:szCs w:val="24"/>
          <w:lang w:val="en-GB"/>
        </w:rPr>
      </w:pPr>
      <w:r w:rsidRPr="00464A1D">
        <w:rPr>
          <w:bCs/>
          <w:sz w:val="24"/>
          <w:szCs w:val="24"/>
          <w:lang w:val="en-GB"/>
        </w:rPr>
        <w:t>The Mariana Islands are located in the western Pacific Ocean east of the Philippines and south of Japan (Figure 1). The 290 km long archipelago is comprised of 15 islands that include the Territory of Guam and the 14 islands of the CNMI. The older southern islands are volcanic in origin, but composed of uplifted limestone terraces, while the islands north of Farallon de Medinilla are stratovolcanoes (Trusdell 2009). While Guam and the CNMI are politically separate, all islands in the archipelago are biologically similar although the plant and animal composition varies by island. The avifauna consists of 21species of native terrestrial and freshwater birds, 12 of which are endemic and 12 are federally listed as endangered, including the four reed-warbler species. At least three additional species have become extinct or extirpated in the last 50 years, including the Guam Flycatcher (</w:t>
      </w:r>
      <w:r w:rsidRPr="00464A1D">
        <w:rPr>
          <w:bCs/>
          <w:i/>
          <w:sz w:val="24"/>
          <w:szCs w:val="24"/>
          <w:lang w:val="en-GB"/>
        </w:rPr>
        <w:t>Myiagra freycineti</w:t>
      </w:r>
      <w:r w:rsidRPr="00464A1D">
        <w:rPr>
          <w:bCs/>
          <w:sz w:val="24"/>
          <w:szCs w:val="24"/>
          <w:lang w:val="en-GB"/>
        </w:rPr>
        <w:t xml:space="preserve">; extinct due to brown tree snake predation), the Mariana Mallard </w:t>
      </w:r>
      <w:r w:rsidRPr="00464A1D">
        <w:rPr>
          <w:bCs/>
          <w:i/>
          <w:sz w:val="24"/>
          <w:szCs w:val="24"/>
          <w:lang w:val="en-GB"/>
        </w:rPr>
        <w:t>Anas oustaleti</w:t>
      </w:r>
      <w:r w:rsidRPr="00464A1D">
        <w:rPr>
          <w:bCs/>
          <w:sz w:val="24"/>
          <w:szCs w:val="24"/>
          <w:lang w:val="en-GB"/>
        </w:rPr>
        <w:t xml:space="preserve">, and the White-browed Crake </w:t>
      </w:r>
      <w:r w:rsidRPr="00464A1D">
        <w:rPr>
          <w:bCs/>
          <w:i/>
          <w:sz w:val="24"/>
          <w:szCs w:val="24"/>
          <w:lang w:val="en-GB"/>
        </w:rPr>
        <w:t>Amaurornis cinerea</w:t>
      </w:r>
      <w:r w:rsidRPr="00464A1D">
        <w:rPr>
          <w:bCs/>
          <w:sz w:val="24"/>
          <w:szCs w:val="24"/>
          <w:lang w:val="en-GB"/>
        </w:rPr>
        <w:t xml:space="preserve">, as have some subspecies (for example, the Guam Bridled White-eye </w:t>
      </w:r>
      <w:r w:rsidRPr="00464A1D">
        <w:rPr>
          <w:bCs/>
          <w:i/>
          <w:sz w:val="24"/>
          <w:szCs w:val="24"/>
          <w:lang w:val="en-GB"/>
        </w:rPr>
        <w:t>Zosterops conspicillatus conspicillatus</w:t>
      </w:r>
      <w:r w:rsidRPr="00464A1D">
        <w:rPr>
          <w:bCs/>
          <w:sz w:val="24"/>
          <w:szCs w:val="24"/>
          <w:lang w:val="en-GB"/>
        </w:rPr>
        <w:t xml:space="preserve"> (Pratt </w:t>
      </w:r>
      <w:r w:rsidRPr="00464A1D">
        <w:rPr>
          <w:bCs/>
          <w:i/>
          <w:sz w:val="24"/>
          <w:szCs w:val="24"/>
          <w:lang w:val="en-GB"/>
        </w:rPr>
        <w:t xml:space="preserve">et al. </w:t>
      </w:r>
      <w:r w:rsidRPr="00464A1D">
        <w:rPr>
          <w:bCs/>
          <w:sz w:val="24"/>
          <w:szCs w:val="24"/>
          <w:lang w:val="en-GB"/>
        </w:rPr>
        <w:t xml:space="preserve">1987, Wiles </w:t>
      </w:r>
      <w:r w:rsidRPr="00464A1D">
        <w:rPr>
          <w:bCs/>
          <w:i/>
          <w:sz w:val="24"/>
          <w:szCs w:val="24"/>
          <w:lang w:val="en-GB"/>
        </w:rPr>
        <w:t xml:space="preserve">et al. </w:t>
      </w:r>
      <w:r w:rsidRPr="00464A1D">
        <w:rPr>
          <w:bCs/>
          <w:sz w:val="24"/>
          <w:szCs w:val="24"/>
          <w:lang w:val="en-GB"/>
        </w:rPr>
        <w:t>1995, USFWS 2004).</w:t>
      </w:r>
    </w:p>
    <w:p w14:paraId="430CD922" w14:textId="77777777" w:rsidR="00724350" w:rsidRPr="00464A1D" w:rsidRDefault="00724350" w:rsidP="00724350">
      <w:pPr>
        <w:spacing w:line="360" w:lineRule="auto"/>
        <w:ind w:firstLine="720"/>
        <w:rPr>
          <w:bCs/>
          <w:sz w:val="24"/>
          <w:szCs w:val="24"/>
          <w:lang w:val="en-GB"/>
        </w:rPr>
      </w:pPr>
      <w:r w:rsidRPr="00464A1D">
        <w:rPr>
          <w:bCs/>
          <w:sz w:val="24"/>
          <w:szCs w:val="24"/>
          <w:lang w:val="en-GB"/>
        </w:rPr>
        <w:t>Humans reached the Mariana Islands around 2,000 BC and may have impacted many, if not all the islands in the archipelago (Farrell 2001, Russell 1998). These impacts include agriculturally driven habitat conversion and fragmentation, the introduction of non-native species, and hunting (Steadman 1995). The Spanish reached the Mariana Islands in the early 15</w:t>
      </w:r>
      <w:r w:rsidRPr="00464A1D">
        <w:rPr>
          <w:bCs/>
          <w:sz w:val="24"/>
          <w:szCs w:val="24"/>
          <w:vertAlign w:val="superscript"/>
          <w:lang w:val="en-GB"/>
        </w:rPr>
        <w:t>th</w:t>
      </w:r>
      <w:r w:rsidRPr="00464A1D">
        <w:rPr>
          <w:bCs/>
          <w:sz w:val="24"/>
          <w:szCs w:val="24"/>
          <w:lang w:val="en-GB"/>
        </w:rPr>
        <w:t xml:space="preserve"> century (Russell 1998) bringing with them European-based agriculture and husbandry of cattle </w:t>
      </w:r>
      <w:r w:rsidRPr="00464A1D">
        <w:rPr>
          <w:bCs/>
          <w:i/>
          <w:iCs/>
          <w:sz w:val="24"/>
          <w:szCs w:val="24"/>
          <w:lang w:val="en-GB"/>
        </w:rPr>
        <w:t>Bos taurus</w:t>
      </w:r>
      <w:r w:rsidRPr="00464A1D">
        <w:rPr>
          <w:bCs/>
          <w:sz w:val="24"/>
          <w:szCs w:val="24"/>
          <w:lang w:val="en-GB"/>
        </w:rPr>
        <w:t xml:space="preserve">, pigs </w:t>
      </w:r>
      <w:r w:rsidRPr="00464A1D">
        <w:rPr>
          <w:bCs/>
          <w:i/>
          <w:iCs/>
          <w:sz w:val="24"/>
          <w:szCs w:val="24"/>
          <w:lang w:val="en-GB"/>
        </w:rPr>
        <w:t>Sus scrofa</w:t>
      </w:r>
      <w:r w:rsidRPr="00464A1D">
        <w:rPr>
          <w:bCs/>
          <w:sz w:val="24"/>
          <w:szCs w:val="24"/>
          <w:lang w:val="en-GB"/>
        </w:rPr>
        <w:t xml:space="preserve">, and goats </w:t>
      </w:r>
      <w:r w:rsidRPr="00464A1D">
        <w:rPr>
          <w:bCs/>
          <w:i/>
          <w:iCs/>
          <w:sz w:val="24"/>
          <w:szCs w:val="24"/>
          <w:lang w:val="en-GB"/>
        </w:rPr>
        <w:t>Capra hircus</w:t>
      </w:r>
      <w:r w:rsidRPr="00464A1D">
        <w:rPr>
          <w:bCs/>
          <w:sz w:val="24"/>
          <w:szCs w:val="24"/>
          <w:lang w:val="en-GB"/>
        </w:rPr>
        <w:t xml:space="preserve"> (Farrell 1992, Russell 1998). During the 19</w:t>
      </w:r>
      <w:r w:rsidRPr="00464A1D">
        <w:rPr>
          <w:bCs/>
          <w:sz w:val="24"/>
          <w:szCs w:val="24"/>
          <w:vertAlign w:val="superscript"/>
          <w:lang w:val="en-GB"/>
        </w:rPr>
        <w:t>th</w:t>
      </w:r>
      <w:r w:rsidRPr="00464A1D">
        <w:rPr>
          <w:bCs/>
          <w:sz w:val="24"/>
          <w:szCs w:val="24"/>
          <w:lang w:val="en-GB"/>
        </w:rPr>
        <w:t xml:space="preserve"> and 20</w:t>
      </w:r>
      <w:r w:rsidRPr="00464A1D">
        <w:rPr>
          <w:bCs/>
          <w:sz w:val="24"/>
          <w:szCs w:val="24"/>
          <w:vertAlign w:val="superscript"/>
          <w:lang w:val="en-GB"/>
        </w:rPr>
        <w:t>th</w:t>
      </w:r>
      <w:r w:rsidRPr="00464A1D">
        <w:rPr>
          <w:bCs/>
          <w:sz w:val="24"/>
          <w:szCs w:val="24"/>
          <w:lang w:val="en-GB"/>
        </w:rPr>
        <w:t xml:space="preserve"> centuries the islands were controlled by Germans, Japanese and Americans, all of whom further expanded agricultural production, human settlements and military development (Farrell 2001, Russell 1998, Spennemann 1999, Bowers 2001, Rottman 2004a,b).</w:t>
      </w:r>
    </w:p>
    <w:p w14:paraId="5EF2B4E8" w14:textId="77777777" w:rsidR="00724350" w:rsidRPr="00464A1D" w:rsidRDefault="00724350" w:rsidP="00724350">
      <w:pPr>
        <w:spacing w:line="360" w:lineRule="auto"/>
        <w:ind w:firstLine="720"/>
        <w:rPr>
          <w:bCs/>
          <w:sz w:val="24"/>
          <w:szCs w:val="24"/>
          <w:lang w:val="en-GB"/>
        </w:rPr>
      </w:pPr>
      <w:r w:rsidRPr="00464A1D">
        <w:rPr>
          <w:bCs/>
          <w:sz w:val="24"/>
          <w:szCs w:val="24"/>
          <w:lang w:val="en-GB"/>
        </w:rPr>
        <w:t xml:space="preserve">Currently humans live year-round on Guam, Rota, Tinian, and Saipan. Anatahan supported a small human population until 2003 when a volcanic eruption lead to its evacuation. The other islands in the archipelago are unoccupied, although both Alamagan and Pagan are inhabited sporadically during some years. Guguan, Asuncion, Maug and Uracas see very little human use or visitation and have been designated as wildlife conservation areas by the CNMI (CNMI Constitution, Article XIV, Section 2 and CNMI Public Law 14-49). Asuncion, Maug, </w:t>
      </w:r>
      <w:r w:rsidRPr="00464A1D">
        <w:rPr>
          <w:bCs/>
          <w:sz w:val="24"/>
          <w:szCs w:val="24"/>
          <w:lang w:val="en-GB"/>
        </w:rPr>
        <w:lastRenderedPageBreak/>
        <w:t>and Uracas are further protected as part of the Marianas Trench Marine National Monument (Proclamation No. 8335, 74 F.R. 1557). Farallon de Medinilla is currently used for training by the U.S. Navy and is off-limits to civilian access.</w:t>
      </w:r>
    </w:p>
    <w:p w14:paraId="20131408" w14:textId="77777777" w:rsidR="00724350" w:rsidRPr="00464A1D" w:rsidRDefault="00724350" w:rsidP="00724350">
      <w:pPr>
        <w:spacing w:line="360" w:lineRule="auto"/>
        <w:ind w:firstLine="720"/>
        <w:rPr>
          <w:bCs/>
          <w:sz w:val="24"/>
          <w:szCs w:val="24"/>
          <w:lang w:val="en-GB"/>
        </w:rPr>
      </w:pPr>
      <w:r w:rsidRPr="00464A1D">
        <w:rPr>
          <w:bCs/>
          <w:sz w:val="24"/>
          <w:szCs w:val="24"/>
          <w:lang w:val="en-GB"/>
        </w:rPr>
        <w:t>Aguiguan is approximately 7 km</w:t>
      </w:r>
      <w:r w:rsidRPr="00464A1D">
        <w:rPr>
          <w:bCs/>
          <w:sz w:val="24"/>
          <w:szCs w:val="24"/>
          <w:vertAlign w:val="superscript"/>
          <w:lang w:val="en-GB"/>
        </w:rPr>
        <w:t>2</w:t>
      </w:r>
      <w:r w:rsidRPr="00464A1D">
        <w:rPr>
          <w:bCs/>
          <w:sz w:val="24"/>
          <w:szCs w:val="24"/>
          <w:lang w:val="en-GB"/>
        </w:rPr>
        <w:t xml:space="preserve"> in area and is located 9 km off the southwest shore of Tinian and 150 km northeast of Guam (Figure 1). The island is composed of a series of step-like limestone terraces with sheer cliffs rising from the sea on all sides (Klawunder 1993). Because of the large number of feral goats on the island, Aguiguan is commonly referred to locally as “Goat Island.” The goats have had a significant impact to the vegetation (Rice 1991, 1993, Esselstyn </w:t>
      </w:r>
      <w:r w:rsidRPr="00464A1D">
        <w:rPr>
          <w:bCs/>
          <w:i/>
          <w:iCs/>
          <w:sz w:val="24"/>
          <w:szCs w:val="24"/>
          <w:lang w:val="en-GB"/>
        </w:rPr>
        <w:t xml:space="preserve">et al. </w:t>
      </w:r>
      <w:r w:rsidRPr="00464A1D">
        <w:rPr>
          <w:bCs/>
          <w:sz w:val="24"/>
          <w:szCs w:val="24"/>
          <w:lang w:val="en-GB"/>
        </w:rPr>
        <w:t xml:space="preserve">2003). Although the island has been uninhabited since the end of World War II, human activities resulted in extensive alteration of the vegetation (Engbring </w:t>
      </w:r>
      <w:r w:rsidRPr="00464A1D">
        <w:rPr>
          <w:bCs/>
          <w:i/>
          <w:sz w:val="24"/>
          <w:szCs w:val="24"/>
          <w:lang w:val="en-GB"/>
        </w:rPr>
        <w:t xml:space="preserve">et al. </w:t>
      </w:r>
      <w:r w:rsidRPr="00464A1D">
        <w:rPr>
          <w:bCs/>
          <w:sz w:val="24"/>
          <w:szCs w:val="24"/>
          <w:lang w:val="en-GB"/>
        </w:rPr>
        <w:t xml:space="preserve">1986). A recent land cover assessment (Amidon </w:t>
      </w:r>
      <w:r w:rsidRPr="00464A1D">
        <w:rPr>
          <w:bCs/>
          <w:i/>
          <w:sz w:val="24"/>
          <w:szCs w:val="24"/>
          <w:lang w:val="en-GB"/>
        </w:rPr>
        <w:t xml:space="preserve">et al. </w:t>
      </w:r>
      <w:r w:rsidRPr="00464A1D">
        <w:rPr>
          <w:bCs/>
          <w:sz w:val="24"/>
          <w:szCs w:val="24"/>
          <w:lang w:val="en-GB"/>
        </w:rPr>
        <w:t xml:space="preserve">2017) indicates that approximately 55% of cover is native limestone forest, while 26% is scrub/shrub (primarily </w:t>
      </w:r>
      <w:r w:rsidRPr="00464A1D">
        <w:rPr>
          <w:bCs/>
          <w:i/>
          <w:sz w:val="24"/>
          <w:szCs w:val="24"/>
          <w:lang w:val="en-GB"/>
        </w:rPr>
        <w:t>Lantana camara</w:t>
      </w:r>
      <w:r w:rsidRPr="00464A1D">
        <w:rPr>
          <w:bCs/>
          <w:sz w:val="24"/>
          <w:szCs w:val="24"/>
          <w:lang w:val="en-GB"/>
        </w:rPr>
        <w:t>), 4% is tangantangan, 2% ironwood forest, 2% is mixed introduced forest, less than 1% is mixed grass/herbaceous, and the remainder of the island is unvegetated.</w:t>
      </w:r>
    </w:p>
    <w:p w14:paraId="16F43207" w14:textId="77777777" w:rsidR="00724350" w:rsidRPr="00464A1D" w:rsidRDefault="00724350" w:rsidP="00724350">
      <w:pPr>
        <w:spacing w:line="360" w:lineRule="auto"/>
        <w:ind w:firstLine="720"/>
        <w:rPr>
          <w:bCs/>
          <w:sz w:val="24"/>
          <w:szCs w:val="24"/>
          <w:lang w:val="en-GB"/>
        </w:rPr>
      </w:pPr>
      <w:r w:rsidRPr="00464A1D">
        <w:rPr>
          <w:bCs/>
          <w:sz w:val="24"/>
          <w:szCs w:val="24"/>
          <w:lang w:val="en-GB"/>
        </w:rPr>
        <w:t>Alamagan is located 255 km north of Saipan and has an area of roughly 13 km</w:t>
      </w:r>
      <w:r w:rsidRPr="00464A1D">
        <w:rPr>
          <w:bCs/>
          <w:sz w:val="24"/>
          <w:szCs w:val="24"/>
          <w:vertAlign w:val="superscript"/>
          <w:lang w:val="en-GB"/>
        </w:rPr>
        <w:t>2</w:t>
      </w:r>
      <w:r w:rsidRPr="00464A1D">
        <w:rPr>
          <w:bCs/>
          <w:sz w:val="24"/>
          <w:szCs w:val="24"/>
          <w:lang w:val="en-GB"/>
        </w:rPr>
        <w:t xml:space="preserve"> (Figure 1). Approximately 48% of the island is covered in mixed grass/herbaceous vegetation, 35% is covered in forest and scrub vegetation (16% coconut forest, 8% hibiscus thicket, 6% mixed introduced forest, and 5% scrub/shrub), while the remainder is unvegetated (Amidon </w:t>
      </w:r>
      <w:r w:rsidRPr="00464A1D">
        <w:rPr>
          <w:bCs/>
          <w:i/>
          <w:sz w:val="24"/>
          <w:szCs w:val="24"/>
          <w:lang w:val="en-GB"/>
        </w:rPr>
        <w:t xml:space="preserve">et al. </w:t>
      </w:r>
      <w:r w:rsidRPr="00464A1D">
        <w:rPr>
          <w:bCs/>
          <w:sz w:val="24"/>
          <w:szCs w:val="24"/>
          <w:lang w:val="en-GB"/>
        </w:rPr>
        <w:t>2017). The island was inhabited year-round until 2009 (de la Torre 2009) and the vegetation around the old village and homestead sites was extensively modified by humans (DFW 2000). The island also currently exhibits signs of substantial impacts from the feral ungulates (cattle, pigs, and goats), including erosion, likely due to population increases after human residents evacuated due to a typhoon.</w:t>
      </w:r>
    </w:p>
    <w:p w14:paraId="312FF615" w14:textId="77777777" w:rsidR="00724350" w:rsidRPr="00464A1D" w:rsidRDefault="00724350" w:rsidP="00724350">
      <w:pPr>
        <w:spacing w:line="360" w:lineRule="auto"/>
        <w:ind w:firstLine="720"/>
        <w:rPr>
          <w:bCs/>
          <w:sz w:val="24"/>
          <w:szCs w:val="24"/>
          <w:lang w:val="en-GB"/>
        </w:rPr>
      </w:pPr>
      <w:r w:rsidRPr="00464A1D">
        <w:rPr>
          <w:bCs/>
          <w:sz w:val="24"/>
          <w:szCs w:val="24"/>
          <w:lang w:val="en-GB"/>
        </w:rPr>
        <w:t>Pagan, the fifth largest island of the Mariana archipelago at 48 km</w:t>
      </w:r>
      <w:r w:rsidRPr="00464A1D">
        <w:rPr>
          <w:bCs/>
          <w:sz w:val="24"/>
          <w:szCs w:val="24"/>
          <w:vertAlign w:val="superscript"/>
          <w:lang w:val="en-GB"/>
        </w:rPr>
        <w:t>2</w:t>
      </w:r>
      <w:r w:rsidRPr="00464A1D">
        <w:rPr>
          <w:bCs/>
          <w:sz w:val="24"/>
          <w:szCs w:val="24"/>
          <w:lang w:val="en-GB"/>
        </w:rPr>
        <w:t xml:space="preserve"> in area, is located approximately 305 km north of Saipan (Figure 1). The island is comprised of a northern and southern stratovolcano connected by a narrow isthmus. The northern volcano, Mt. Pagan, is active and was emitting steam and gas in 2016 (Global Volcanism Program 2016). Approximately 47% of the island is forested (34% ironwood forest, 10% coconut forest, and 3% mixed introduced forest) with the remainder dominated by mixed grass/herbaceous vegetation (25%), and bare rock and old lava flow (21%; Amidon </w:t>
      </w:r>
      <w:r w:rsidRPr="00464A1D">
        <w:rPr>
          <w:bCs/>
          <w:i/>
          <w:sz w:val="24"/>
          <w:szCs w:val="24"/>
          <w:lang w:val="en-GB"/>
        </w:rPr>
        <w:t xml:space="preserve">et al. </w:t>
      </w:r>
      <w:r w:rsidRPr="00464A1D">
        <w:rPr>
          <w:bCs/>
          <w:sz w:val="24"/>
          <w:szCs w:val="24"/>
          <w:lang w:val="en-GB"/>
        </w:rPr>
        <w:t xml:space="preserve">2017). The island was inhabited </w:t>
      </w:r>
      <w:r w:rsidRPr="00464A1D">
        <w:rPr>
          <w:bCs/>
          <w:sz w:val="24"/>
          <w:szCs w:val="24"/>
          <w:lang w:val="en-GB"/>
        </w:rPr>
        <w:lastRenderedPageBreak/>
        <w:t>until a volcanic eruption in 1981 caused the evacuation of 300 residents (Cave 2015). It is still occasionally inhabited, and many former residents wish to return (Cave 2015, Todino 2016).</w:t>
      </w:r>
    </w:p>
    <w:p w14:paraId="18005EAB" w14:textId="77777777" w:rsidR="00724350" w:rsidRPr="00464A1D" w:rsidRDefault="00724350" w:rsidP="00724350">
      <w:pPr>
        <w:spacing w:line="360" w:lineRule="auto"/>
        <w:ind w:firstLine="720"/>
        <w:rPr>
          <w:bCs/>
          <w:sz w:val="24"/>
          <w:szCs w:val="24"/>
          <w:lang w:val="en-GB"/>
        </w:rPr>
      </w:pPr>
      <w:r w:rsidRPr="00464A1D">
        <w:rPr>
          <w:bCs/>
          <w:sz w:val="24"/>
          <w:szCs w:val="24"/>
          <w:lang w:val="en-GB"/>
        </w:rPr>
        <w:t>Tinian, the third largest island in the Mariana archipelago at 101 km</w:t>
      </w:r>
      <w:r w:rsidRPr="00464A1D">
        <w:rPr>
          <w:bCs/>
          <w:sz w:val="24"/>
          <w:szCs w:val="24"/>
          <w:vertAlign w:val="superscript"/>
          <w:lang w:val="en-GB"/>
        </w:rPr>
        <w:t>2</w:t>
      </w:r>
      <w:r w:rsidRPr="00464A1D">
        <w:rPr>
          <w:bCs/>
          <w:sz w:val="24"/>
          <w:szCs w:val="24"/>
          <w:lang w:val="en-GB"/>
        </w:rPr>
        <w:t xml:space="preserve"> in area, is located 8 km southwest of Saipan and 166 km northeast of Guam (Figure 1). The island is formed of low plateaus with a gentle limestone ridge to the south (Camp </w:t>
      </w:r>
      <w:r w:rsidRPr="00464A1D">
        <w:rPr>
          <w:bCs/>
          <w:i/>
          <w:sz w:val="24"/>
          <w:szCs w:val="24"/>
          <w:lang w:val="en-GB"/>
        </w:rPr>
        <w:t>et al.</w:t>
      </w:r>
      <w:r w:rsidRPr="00464A1D">
        <w:rPr>
          <w:bCs/>
          <w:sz w:val="24"/>
          <w:szCs w:val="24"/>
          <w:lang w:val="en-GB"/>
        </w:rPr>
        <w:t xml:space="preserve"> 2012). The vegetation is heavily dominated by non-native species and only around 4 percent of native limestone forest remains and that has been heavily altered by humans and nonnative species (Engbring </w:t>
      </w:r>
      <w:r w:rsidRPr="00464A1D">
        <w:rPr>
          <w:bCs/>
          <w:i/>
          <w:sz w:val="24"/>
          <w:szCs w:val="24"/>
          <w:lang w:val="en-GB"/>
        </w:rPr>
        <w:t xml:space="preserve">et al. </w:t>
      </w:r>
      <w:r w:rsidRPr="00464A1D">
        <w:rPr>
          <w:bCs/>
          <w:sz w:val="24"/>
          <w:szCs w:val="24"/>
          <w:lang w:val="en-GB"/>
        </w:rPr>
        <w:t xml:space="preserve">1986, Amidon </w:t>
      </w:r>
      <w:r w:rsidRPr="00464A1D">
        <w:rPr>
          <w:bCs/>
          <w:i/>
          <w:sz w:val="24"/>
          <w:szCs w:val="24"/>
          <w:lang w:val="en-GB"/>
        </w:rPr>
        <w:t xml:space="preserve">et al. </w:t>
      </w:r>
      <w:r w:rsidRPr="00464A1D">
        <w:rPr>
          <w:bCs/>
          <w:sz w:val="24"/>
          <w:szCs w:val="24"/>
          <w:lang w:val="en-GB"/>
        </w:rPr>
        <w:t xml:space="preserve">2017). After World War II, the island was re-vegetated with tangantangan that has since expanded into large thickets across the island (Engbring </w:t>
      </w:r>
      <w:r w:rsidRPr="00464A1D">
        <w:rPr>
          <w:bCs/>
          <w:i/>
          <w:sz w:val="24"/>
          <w:szCs w:val="24"/>
          <w:lang w:val="en-GB"/>
        </w:rPr>
        <w:t xml:space="preserve">et al. </w:t>
      </w:r>
      <w:r w:rsidRPr="00464A1D">
        <w:rPr>
          <w:bCs/>
          <w:sz w:val="24"/>
          <w:szCs w:val="24"/>
          <w:lang w:val="en-GB"/>
        </w:rPr>
        <w:t xml:space="preserve">1986, Amidon </w:t>
      </w:r>
      <w:r w:rsidRPr="00464A1D">
        <w:rPr>
          <w:bCs/>
          <w:i/>
          <w:sz w:val="24"/>
          <w:szCs w:val="24"/>
          <w:lang w:val="en-GB"/>
        </w:rPr>
        <w:t xml:space="preserve">et al. </w:t>
      </w:r>
      <w:r w:rsidRPr="00464A1D">
        <w:rPr>
          <w:bCs/>
          <w:sz w:val="24"/>
          <w:szCs w:val="24"/>
          <w:lang w:val="en-GB"/>
        </w:rPr>
        <w:t>2017). The northern 2/3 of the island is leased to the U.S. Navy (U.S. Navy 2010) for training exercises, although portions of the north are still used for public recreation, grazing, and agriculture. Most of the 3,136 people on island (Saipan Tribune 2011) live in or near the town of San Jose in the south. Goats were recently introduced to the southeast part of the island by a former Mayor and the area is already showing signs of overgrazing (APM, pers. obs.).</w:t>
      </w:r>
    </w:p>
    <w:p w14:paraId="613C9432" w14:textId="77777777" w:rsidR="00724350" w:rsidRPr="00464A1D" w:rsidRDefault="00724350" w:rsidP="00724350">
      <w:pPr>
        <w:spacing w:line="360" w:lineRule="auto"/>
        <w:ind w:firstLine="720"/>
        <w:rPr>
          <w:bCs/>
          <w:sz w:val="24"/>
          <w:szCs w:val="24"/>
          <w:lang w:val="en-GB"/>
        </w:rPr>
      </w:pPr>
      <w:r w:rsidRPr="00464A1D">
        <w:rPr>
          <w:bCs/>
          <w:sz w:val="24"/>
          <w:szCs w:val="24"/>
          <w:lang w:val="en-GB"/>
        </w:rPr>
        <w:t>Saipan, the second largest of the islands in the Mariana archipelago at 119 km</w:t>
      </w:r>
      <w:r w:rsidRPr="00464A1D">
        <w:rPr>
          <w:bCs/>
          <w:sz w:val="24"/>
          <w:szCs w:val="24"/>
          <w:vertAlign w:val="superscript"/>
          <w:lang w:val="en-GB"/>
        </w:rPr>
        <w:t>2</w:t>
      </w:r>
      <w:r w:rsidRPr="00464A1D">
        <w:rPr>
          <w:bCs/>
          <w:sz w:val="24"/>
          <w:szCs w:val="24"/>
          <w:lang w:val="en-GB"/>
        </w:rPr>
        <w:t xml:space="preserve">, is the center of the CNMI government and has the largest human population. It is located 185 km north of Guam and is made up of a series of low-lying plateaus with a limestone ridge that is dominated by Mt. Takpochao (Figure 1). The vegetation is also highly altered by humans and nonnative species. The island was seeded with tangantangan after the war and tangantangan thickets and mixed introduced forest now dominate the island (Engbring </w:t>
      </w:r>
      <w:r w:rsidRPr="00464A1D">
        <w:rPr>
          <w:bCs/>
          <w:i/>
          <w:sz w:val="24"/>
          <w:szCs w:val="24"/>
          <w:lang w:val="en-GB"/>
        </w:rPr>
        <w:t xml:space="preserve">et al. </w:t>
      </w:r>
      <w:r w:rsidRPr="00464A1D">
        <w:rPr>
          <w:bCs/>
          <w:sz w:val="24"/>
          <w:szCs w:val="24"/>
          <w:lang w:val="en-GB"/>
        </w:rPr>
        <w:t xml:space="preserve">1986, Amidon </w:t>
      </w:r>
      <w:r w:rsidRPr="00464A1D">
        <w:rPr>
          <w:bCs/>
          <w:i/>
          <w:sz w:val="24"/>
          <w:szCs w:val="24"/>
          <w:lang w:val="en-GB"/>
        </w:rPr>
        <w:t xml:space="preserve">et al. </w:t>
      </w:r>
      <w:r w:rsidRPr="00464A1D">
        <w:rPr>
          <w:bCs/>
          <w:sz w:val="24"/>
          <w:szCs w:val="24"/>
          <w:lang w:val="en-GB"/>
        </w:rPr>
        <w:t xml:space="preserve">2017). Only around 16% of the island is covered in native dominated forest (Amidon </w:t>
      </w:r>
      <w:r w:rsidRPr="00464A1D">
        <w:rPr>
          <w:bCs/>
          <w:i/>
          <w:sz w:val="24"/>
          <w:szCs w:val="24"/>
          <w:lang w:val="en-GB"/>
        </w:rPr>
        <w:t xml:space="preserve">et al. </w:t>
      </w:r>
      <w:r w:rsidRPr="00464A1D">
        <w:rPr>
          <w:bCs/>
          <w:sz w:val="24"/>
          <w:szCs w:val="24"/>
          <w:lang w:val="en-GB"/>
        </w:rPr>
        <w:t>2017). The latest census figures place the Saipan population at 48,220 (Saipan Tribune August 26, 2011, US Census Bureau 2010).</w:t>
      </w:r>
    </w:p>
    <w:p w14:paraId="6C0E2657" w14:textId="77777777" w:rsidR="00724350" w:rsidRPr="00464A1D" w:rsidRDefault="00724350" w:rsidP="00724350">
      <w:pPr>
        <w:spacing w:line="360" w:lineRule="auto"/>
        <w:rPr>
          <w:b/>
          <w:bCs/>
          <w:sz w:val="24"/>
          <w:szCs w:val="24"/>
          <w:lang w:val="en-GB"/>
        </w:rPr>
      </w:pPr>
    </w:p>
    <w:p w14:paraId="75E1D22F" w14:textId="77777777" w:rsidR="00724350" w:rsidRPr="00464A1D" w:rsidRDefault="00724350" w:rsidP="00724350">
      <w:pPr>
        <w:spacing w:line="360" w:lineRule="auto"/>
        <w:rPr>
          <w:b/>
          <w:bCs/>
          <w:sz w:val="24"/>
          <w:szCs w:val="24"/>
          <w:lang w:val="en-GB"/>
        </w:rPr>
      </w:pPr>
      <w:r w:rsidRPr="00464A1D">
        <w:rPr>
          <w:b/>
          <w:bCs/>
          <w:sz w:val="24"/>
          <w:szCs w:val="24"/>
          <w:lang w:val="en-GB"/>
        </w:rPr>
        <w:t>References</w:t>
      </w:r>
    </w:p>
    <w:p w14:paraId="73495B91"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Amidon, F., Metevier, M. and Miller, S. E. (2017) </w:t>
      </w:r>
      <w:r w:rsidRPr="00464A1D">
        <w:rPr>
          <w:rFonts w:eastAsia="Calibri"/>
          <w:i/>
          <w:sz w:val="24"/>
          <w:szCs w:val="24"/>
          <w:lang w:val="en-GB"/>
        </w:rPr>
        <w:t>Vegetation mapping of the Mariana Islands:  Commonwealth of the Northern Mariana Islands and Territory of Guam</w:t>
      </w:r>
      <w:r w:rsidRPr="00464A1D">
        <w:rPr>
          <w:rFonts w:eastAsia="Calibri"/>
          <w:sz w:val="24"/>
          <w:szCs w:val="24"/>
          <w:lang w:val="en-GB"/>
        </w:rPr>
        <w:t>. November 2017 final report, US. Fish and Wildlife Service, Honolulu, Hawaii.</w:t>
      </w:r>
    </w:p>
    <w:p w14:paraId="604ACBAD"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lastRenderedPageBreak/>
        <w:t xml:space="preserve">Camp, R. J., Amidon, F. A., Marshall, A. P. and Pratt, T. K. (2012) Bird populations on the island of Tinian: Persistence despite wholesale loss of native forests. </w:t>
      </w:r>
      <w:r w:rsidRPr="00464A1D">
        <w:rPr>
          <w:rFonts w:eastAsia="Calibri"/>
          <w:i/>
          <w:sz w:val="24"/>
          <w:szCs w:val="24"/>
          <w:lang w:val="en-GB"/>
        </w:rPr>
        <w:t>Pac. Sci.</w:t>
      </w:r>
      <w:r w:rsidRPr="00464A1D">
        <w:rPr>
          <w:rFonts w:eastAsia="Calibri"/>
          <w:sz w:val="24"/>
          <w:szCs w:val="24"/>
          <w:lang w:val="en-GB"/>
        </w:rPr>
        <w:t xml:space="preserve"> 66: 283–298.</w:t>
      </w:r>
    </w:p>
    <w:p w14:paraId="30748B62"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Cave, J. (2015) </w:t>
      </w:r>
      <w:r w:rsidRPr="00464A1D">
        <w:rPr>
          <w:rFonts w:eastAsia="Calibri"/>
          <w:i/>
          <w:sz w:val="24"/>
          <w:szCs w:val="24"/>
          <w:lang w:val="en-GB"/>
        </w:rPr>
        <w:t>The Pentagon wants to the bomb the hell out of this tiny Pacific Island</w:t>
      </w:r>
      <w:r w:rsidRPr="00464A1D">
        <w:rPr>
          <w:rFonts w:eastAsia="Calibri"/>
          <w:sz w:val="24"/>
          <w:szCs w:val="24"/>
          <w:lang w:val="en-GB"/>
        </w:rPr>
        <w:t>. Huffington Post. Published 29 May 2015. Updated 6 December 2017. Accessed 7 February 2018.</w:t>
      </w:r>
    </w:p>
    <w:p w14:paraId="0213F8C9"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iCs/>
          <w:sz w:val="24"/>
          <w:szCs w:val="24"/>
          <w:lang w:val="en-GB"/>
        </w:rPr>
        <w:t xml:space="preserve">de la Torre, F. (2009) </w:t>
      </w:r>
      <w:hyperlink r:id="rId5" w:history="1">
        <w:r w:rsidRPr="00464A1D">
          <w:rPr>
            <w:rFonts w:eastAsia="Calibri"/>
            <w:iCs/>
            <w:color w:val="000000"/>
            <w:sz w:val="24"/>
            <w:szCs w:val="24"/>
            <w:u w:val="single"/>
            <w:lang w:val="en-GB"/>
          </w:rPr>
          <w:t>All residents of Alamagan, Agrihan facing evacuation.</w:t>
        </w:r>
      </w:hyperlink>
      <w:r w:rsidRPr="00464A1D">
        <w:rPr>
          <w:rFonts w:eastAsia="Calibri"/>
          <w:iCs/>
          <w:sz w:val="24"/>
          <w:szCs w:val="24"/>
          <w:lang w:val="en-GB"/>
        </w:rPr>
        <w:t xml:space="preserve"> </w:t>
      </w:r>
      <w:r w:rsidRPr="00464A1D">
        <w:rPr>
          <w:rFonts w:eastAsia="Calibri"/>
          <w:i/>
          <w:iCs/>
          <w:sz w:val="24"/>
          <w:szCs w:val="24"/>
          <w:lang w:val="en-GB"/>
        </w:rPr>
        <w:t>Saipan Tribune</w:t>
      </w:r>
      <w:r w:rsidRPr="00464A1D">
        <w:rPr>
          <w:rFonts w:eastAsia="Calibri"/>
          <w:iCs/>
          <w:sz w:val="24"/>
          <w:szCs w:val="24"/>
          <w:lang w:val="en-GB"/>
        </w:rPr>
        <w:t>. Archived on September 19, 2009. Retrieved February 6, 2018.</w:t>
      </w:r>
    </w:p>
    <w:p w14:paraId="533BE3C0"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bCs/>
          <w:sz w:val="24"/>
          <w:szCs w:val="24"/>
          <w:lang w:val="en-GB"/>
        </w:rPr>
        <w:t xml:space="preserve">Division of Fish and Wildlife (2000) </w:t>
      </w:r>
      <w:r w:rsidRPr="00464A1D">
        <w:rPr>
          <w:rFonts w:eastAsia="Calibri"/>
          <w:bCs/>
          <w:i/>
          <w:sz w:val="24"/>
          <w:szCs w:val="24"/>
          <w:lang w:val="en-GB"/>
        </w:rPr>
        <w:t>Wildlife and vegetation surveys: Pagan 2000</w:t>
      </w:r>
      <w:r w:rsidRPr="00464A1D">
        <w:rPr>
          <w:rFonts w:eastAsia="Calibri"/>
          <w:bCs/>
          <w:sz w:val="24"/>
          <w:szCs w:val="24"/>
          <w:lang w:val="en-GB"/>
        </w:rPr>
        <w:t>. Technical Report 7. CNMI Division of Fish and Wildlife, Saipan, MP.</w:t>
      </w:r>
    </w:p>
    <w:p w14:paraId="3B9D2773"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Engbring, J., Ramsey, F.L. and Wildman, V.J. (1986) </w:t>
      </w:r>
      <w:r w:rsidRPr="00464A1D">
        <w:rPr>
          <w:rFonts w:eastAsia="Calibri"/>
          <w:i/>
          <w:sz w:val="24"/>
          <w:szCs w:val="24"/>
          <w:lang w:val="en-GB"/>
        </w:rPr>
        <w:t>Micronesian forest bird survey, 1982: Saipan, Tinian, Aguijan, and Rota</w:t>
      </w:r>
      <w:r w:rsidRPr="00464A1D">
        <w:rPr>
          <w:rFonts w:eastAsia="Calibri"/>
          <w:sz w:val="24"/>
          <w:szCs w:val="24"/>
          <w:lang w:val="en-GB"/>
        </w:rPr>
        <w:t>. U.S. Fish and Wildlife Service, Honolulu, Hawaii.</w:t>
      </w:r>
    </w:p>
    <w:p w14:paraId="16FF4A6F"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Esselstyn, J., Cruz, J. B., Williams, L. L. and Hawley, N. (2003) </w:t>
      </w:r>
      <w:r w:rsidRPr="00464A1D">
        <w:rPr>
          <w:rFonts w:eastAsia="Calibri"/>
          <w:i/>
          <w:iCs/>
          <w:sz w:val="24"/>
          <w:szCs w:val="24"/>
          <w:lang w:val="en-GB"/>
        </w:rPr>
        <w:t>Wildlife and vegetation surveys Aguiguan 2002</w:t>
      </w:r>
      <w:r w:rsidRPr="00464A1D">
        <w:rPr>
          <w:rFonts w:eastAsia="Calibri"/>
          <w:sz w:val="24"/>
          <w:szCs w:val="24"/>
          <w:lang w:val="en-GB"/>
        </w:rPr>
        <w:t>. Technical Report 9. CNMI Division of Fish and Wildlife, Saipan, MP.</w:t>
      </w:r>
    </w:p>
    <w:p w14:paraId="5AD74E21" w14:textId="77777777" w:rsidR="00724350" w:rsidRPr="00464A1D" w:rsidRDefault="00724350" w:rsidP="00724350">
      <w:pPr>
        <w:widowControl/>
        <w:autoSpaceDE/>
        <w:autoSpaceDN/>
        <w:adjustRightInd/>
        <w:spacing w:after="160" w:line="360" w:lineRule="auto"/>
        <w:rPr>
          <w:rFonts w:eastAsia="Calibri"/>
          <w:bCs/>
          <w:sz w:val="24"/>
          <w:szCs w:val="24"/>
          <w:lang w:val="en-GB"/>
        </w:rPr>
      </w:pPr>
      <w:r w:rsidRPr="00464A1D">
        <w:rPr>
          <w:rFonts w:eastAsia="Calibri"/>
          <w:bCs/>
          <w:sz w:val="24"/>
          <w:szCs w:val="24"/>
          <w:lang w:val="en-GB"/>
        </w:rPr>
        <w:t xml:space="preserve">Farrell, D. A. (1992) </w:t>
      </w:r>
      <w:r w:rsidRPr="00464A1D">
        <w:rPr>
          <w:rFonts w:eastAsia="Calibri"/>
          <w:bCs/>
          <w:i/>
          <w:sz w:val="24"/>
          <w:szCs w:val="24"/>
          <w:lang w:val="en-GB"/>
        </w:rPr>
        <w:t>Tinian</w:t>
      </w:r>
      <w:r w:rsidRPr="00464A1D">
        <w:rPr>
          <w:rFonts w:eastAsia="Calibri"/>
          <w:bCs/>
          <w:sz w:val="24"/>
          <w:szCs w:val="24"/>
          <w:lang w:val="en-GB"/>
        </w:rPr>
        <w:t>. Micronesian Productions, CNMI, Tinian, MP.</w:t>
      </w:r>
    </w:p>
    <w:p w14:paraId="10DD1E9C"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bCs/>
          <w:sz w:val="24"/>
          <w:szCs w:val="24"/>
          <w:lang w:val="en-GB"/>
        </w:rPr>
        <w:t xml:space="preserve">Farrell, D. A. (2001) </w:t>
      </w:r>
      <w:r w:rsidRPr="00464A1D">
        <w:rPr>
          <w:rFonts w:eastAsia="Calibri"/>
          <w:bCs/>
          <w:i/>
          <w:sz w:val="24"/>
          <w:szCs w:val="24"/>
          <w:lang w:val="en-GB"/>
        </w:rPr>
        <w:t>History of the Mariana Islands to Partition</w:t>
      </w:r>
      <w:r w:rsidRPr="00464A1D">
        <w:rPr>
          <w:rFonts w:eastAsia="Calibri"/>
          <w:bCs/>
          <w:sz w:val="24"/>
          <w:szCs w:val="24"/>
          <w:lang w:val="en-GB"/>
        </w:rPr>
        <w:t>. Public School System, Commonwealth of the Northern Mariana Islands.</w:t>
      </w:r>
    </w:p>
    <w:p w14:paraId="0DEBF940"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Global Volcanism Program (2016) </w:t>
      </w:r>
      <w:r w:rsidRPr="00464A1D">
        <w:rPr>
          <w:rFonts w:eastAsia="Calibri"/>
          <w:i/>
          <w:sz w:val="24"/>
          <w:szCs w:val="24"/>
          <w:lang w:val="en-GB"/>
        </w:rPr>
        <w:t>Report on Pagan (United States)</w:t>
      </w:r>
      <w:r w:rsidRPr="00464A1D">
        <w:rPr>
          <w:rFonts w:eastAsia="Calibri"/>
          <w:sz w:val="24"/>
          <w:szCs w:val="24"/>
          <w:lang w:val="en-GB"/>
        </w:rPr>
        <w:t xml:space="preserve">. </w:t>
      </w:r>
      <w:r w:rsidRPr="00464A1D">
        <w:rPr>
          <w:rFonts w:eastAsia="Calibri"/>
          <w:i/>
          <w:sz w:val="24"/>
          <w:szCs w:val="24"/>
          <w:lang w:val="en-GB"/>
        </w:rPr>
        <w:t>In</w:t>
      </w:r>
      <w:r w:rsidRPr="00464A1D">
        <w:rPr>
          <w:rFonts w:eastAsia="Calibri"/>
          <w:sz w:val="24"/>
          <w:szCs w:val="24"/>
          <w:lang w:val="en-GB"/>
        </w:rPr>
        <w:t xml:space="preserve"> Sennert, S K, ed. Weekly Volcanic Activity Report, 27 January-2 February 2016. Smithsonian Institution and U.S. Geological Survey.</w:t>
      </w:r>
    </w:p>
    <w:p w14:paraId="30C5D708" w14:textId="77777777" w:rsidR="00724350" w:rsidRPr="00464A1D" w:rsidRDefault="00724350" w:rsidP="00724350">
      <w:pPr>
        <w:widowControl/>
        <w:autoSpaceDE/>
        <w:autoSpaceDN/>
        <w:adjustRightInd/>
        <w:spacing w:after="160" w:line="360" w:lineRule="auto"/>
        <w:ind w:left="720" w:hanging="720"/>
        <w:rPr>
          <w:rFonts w:eastAsia="Calibri"/>
          <w:sz w:val="24"/>
          <w:szCs w:val="24"/>
          <w:lang w:val="en-GB"/>
        </w:rPr>
      </w:pPr>
      <w:r w:rsidRPr="00464A1D">
        <w:rPr>
          <w:rFonts w:eastAsia="Calibri"/>
          <w:sz w:val="24"/>
          <w:szCs w:val="24"/>
          <w:lang w:val="en-GB"/>
        </w:rPr>
        <w:t xml:space="preserve">Klawunder, L. L. (1993) A cursory look at the geology of Aguiguan Island. Pp. 26–29 in R. J. Craig, ed. </w:t>
      </w:r>
      <w:r w:rsidRPr="00464A1D">
        <w:rPr>
          <w:rFonts w:eastAsia="Calibri"/>
          <w:i/>
          <w:iCs/>
          <w:sz w:val="24"/>
          <w:szCs w:val="24"/>
          <w:lang w:val="en-GB"/>
        </w:rPr>
        <w:t>The Aguiguan expedition</w:t>
      </w:r>
      <w:r w:rsidRPr="00464A1D">
        <w:rPr>
          <w:rFonts w:eastAsia="Calibri"/>
          <w:sz w:val="24"/>
          <w:szCs w:val="24"/>
          <w:lang w:val="en-GB"/>
        </w:rPr>
        <w:t>. Proceedings of the Mariana Research Symposium, Northern Marianas College.</w:t>
      </w:r>
    </w:p>
    <w:p w14:paraId="30D70C06"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Oustalet, M. E. (1896) Les mammiferes et les oiseaux des Iles Mariannes. </w:t>
      </w:r>
      <w:r w:rsidRPr="00464A1D">
        <w:rPr>
          <w:rFonts w:eastAsia="Calibri"/>
          <w:i/>
          <w:sz w:val="24"/>
          <w:szCs w:val="24"/>
          <w:lang w:val="en-GB"/>
        </w:rPr>
        <w:t>Nouvelles Archives du Museum d'Histoire Naturelle</w:t>
      </w:r>
      <w:r w:rsidRPr="00464A1D">
        <w:rPr>
          <w:rFonts w:eastAsia="Calibri"/>
          <w:sz w:val="24"/>
          <w:szCs w:val="24"/>
          <w:lang w:val="en-GB"/>
        </w:rPr>
        <w:t xml:space="preserve">, ser. 3, 8:4–74. </w:t>
      </w:r>
    </w:p>
    <w:p w14:paraId="44F50BE9"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lastRenderedPageBreak/>
        <w:t xml:space="preserve">Pratt, H. D., Bruner, P. L. and Berrett, D. G. (1987) </w:t>
      </w:r>
      <w:r w:rsidRPr="00464A1D">
        <w:rPr>
          <w:rFonts w:eastAsia="Calibri"/>
          <w:i/>
          <w:sz w:val="24"/>
          <w:szCs w:val="24"/>
          <w:lang w:val="en-GB"/>
        </w:rPr>
        <w:t>A field guide to birds of Hawaii and the tropical Pacific</w:t>
      </w:r>
      <w:r w:rsidRPr="00464A1D">
        <w:rPr>
          <w:rFonts w:eastAsia="Calibri"/>
          <w:sz w:val="24"/>
          <w:szCs w:val="24"/>
          <w:lang w:val="en-GB"/>
        </w:rPr>
        <w:t>. Princeton Univ. Press, Princeton, New Jersey.</w:t>
      </w:r>
    </w:p>
    <w:p w14:paraId="07D6B94C" w14:textId="77777777" w:rsidR="00724350" w:rsidRPr="00464A1D" w:rsidRDefault="00724350" w:rsidP="00724350">
      <w:pPr>
        <w:widowControl/>
        <w:autoSpaceDE/>
        <w:autoSpaceDN/>
        <w:adjustRightInd/>
        <w:spacing w:after="160" w:line="360" w:lineRule="auto"/>
        <w:ind w:left="720" w:hanging="720"/>
        <w:rPr>
          <w:rFonts w:eastAsia="Calibri"/>
          <w:sz w:val="24"/>
          <w:szCs w:val="24"/>
          <w:lang w:val="en-GB"/>
        </w:rPr>
      </w:pPr>
      <w:r w:rsidRPr="00464A1D">
        <w:rPr>
          <w:rFonts w:eastAsia="Calibri"/>
          <w:sz w:val="24"/>
          <w:szCs w:val="24"/>
          <w:lang w:val="en-GB"/>
        </w:rPr>
        <w:t xml:space="preserve">Rice, C. G. (1991) Goat removal from Aguijan Island: Lessons for future efforts. </w:t>
      </w:r>
      <w:r w:rsidRPr="00464A1D">
        <w:rPr>
          <w:rFonts w:eastAsia="Calibri"/>
          <w:i/>
          <w:iCs/>
          <w:sz w:val="24"/>
          <w:szCs w:val="24"/>
          <w:lang w:val="en-GB"/>
        </w:rPr>
        <w:t>T. West. Sect. Wildl. Soc</w:t>
      </w:r>
      <w:r w:rsidRPr="00464A1D">
        <w:rPr>
          <w:rFonts w:eastAsia="Calibri"/>
          <w:iCs/>
          <w:sz w:val="24"/>
          <w:szCs w:val="24"/>
          <w:lang w:val="en-GB"/>
        </w:rPr>
        <w:t>.</w:t>
      </w:r>
      <w:r w:rsidRPr="00464A1D">
        <w:rPr>
          <w:rFonts w:eastAsia="Calibri"/>
          <w:i/>
          <w:iCs/>
          <w:sz w:val="24"/>
          <w:szCs w:val="24"/>
          <w:lang w:val="en-GB"/>
        </w:rPr>
        <w:t xml:space="preserve"> </w:t>
      </w:r>
      <w:r w:rsidRPr="00464A1D">
        <w:rPr>
          <w:rFonts w:eastAsia="Calibri"/>
          <w:sz w:val="24"/>
          <w:szCs w:val="24"/>
          <w:lang w:val="en-GB"/>
        </w:rPr>
        <w:t>27: 42–46.</w:t>
      </w:r>
    </w:p>
    <w:p w14:paraId="538F4F4E" w14:textId="77777777" w:rsidR="00724350" w:rsidRPr="00464A1D" w:rsidRDefault="00724350" w:rsidP="00724350">
      <w:pPr>
        <w:widowControl/>
        <w:autoSpaceDE/>
        <w:autoSpaceDN/>
        <w:adjustRightInd/>
        <w:spacing w:after="160" w:line="360" w:lineRule="auto"/>
        <w:ind w:left="720" w:hanging="720"/>
        <w:rPr>
          <w:rFonts w:eastAsia="Calibri"/>
          <w:sz w:val="24"/>
          <w:szCs w:val="24"/>
          <w:lang w:val="en-GB"/>
        </w:rPr>
      </w:pPr>
      <w:r w:rsidRPr="00464A1D">
        <w:rPr>
          <w:rFonts w:eastAsia="Calibri"/>
          <w:sz w:val="24"/>
          <w:szCs w:val="24"/>
          <w:lang w:val="en-GB"/>
        </w:rPr>
        <w:t xml:space="preserve">Rice, C. G. (1993) </w:t>
      </w:r>
      <w:r w:rsidRPr="00464A1D">
        <w:rPr>
          <w:rFonts w:eastAsia="Calibri"/>
          <w:i/>
          <w:sz w:val="24"/>
          <w:szCs w:val="24"/>
          <w:lang w:val="en-GB"/>
        </w:rPr>
        <w:t>Feral ungulate research</w:t>
      </w:r>
      <w:r w:rsidRPr="00464A1D">
        <w:rPr>
          <w:rFonts w:eastAsia="Calibri"/>
          <w:sz w:val="24"/>
          <w:szCs w:val="24"/>
          <w:lang w:val="en-GB"/>
        </w:rPr>
        <w:t xml:space="preserve">. Pp. 303–319 </w:t>
      </w:r>
      <w:r w:rsidRPr="00464A1D">
        <w:rPr>
          <w:rFonts w:eastAsia="Calibri"/>
          <w:i/>
          <w:sz w:val="24"/>
          <w:szCs w:val="24"/>
          <w:lang w:val="en-GB"/>
        </w:rPr>
        <w:t>in</w:t>
      </w:r>
      <w:r w:rsidRPr="00464A1D">
        <w:rPr>
          <w:rFonts w:eastAsia="Calibri"/>
          <w:sz w:val="24"/>
          <w:szCs w:val="24"/>
          <w:lang w:val="en-GB"/>
        </w:rPr>
        <w:t xml:space="preserve"> </w:t>
      </w:r>
      <w:r w:rsidRPr="00464A1D">
        <w:rPr>
          <w:rFonts w:eastAsia="Calibri"/>
          <w:iCs/>
          <w:sz w:val="24"/>
          <w:szCs w:val="24"/>
          <w:lang w:val="en-GB"/>
        </w:rPr>
        <w:t>Five Year Progress Report, Fiscal Years 1988 to 1992</w:t>
      </w:r>
      <w:r w:rsidRPr="00464A1D">
        <w:rPr>
          <w:rFonts w:eastAsia="Calibri"/>
          <w:sz w:val="24"/>
          <w:szCs w:val="24"/>
          <w:lang w:val="en-GB"/>
        </w:rPr>
        <w:t>. CNMI Division of Fish and Wildlife, Saipan, MP.</w:t>
      </w:r>
    </w:p>
    <w:p w14:paraId="3BE2541B" w14:textId="77777777" w:rsidR="00724350" w:rsidRPr="00464A1D" w:rsidRDefault="00724350" w:rsidP="00724350">
      <w:pPr>
        <w:widowControl/>
        <w:autoSpaceDE/>
        <w:autoSpaceDN/>
        <w:adjustRightInd/>
        <w:spacing w:after="160" w:line="360" w:lineRule="auto"/>
        <w:rPr>
          <w:rFonts w:eastAsia="Calibri"/>
          <w:bCs/>
          <w:sz w:val="24"/>
          <w:szCs w:val="24"/>
          <w:lang w:val="en-GB"/>
        </w:rPr>
      </w:pPr>
      <w:r w:rsidRPr="00464A1D">
        <w:rPr>
          <w:rFonts w:eastAsia="Calibri"/>
          <w:bCs/>
          <w:sz w:val="24"/>
          <w:szCs w:val="24"/>
          <w:lang w:val="en-GB"/>
        </w:rPr>
        <w:t xml:space="preserve">Rottman, G. L. (2004a) </w:t>
      </w:r>
      <w:r w:rsidRPr="00464A1D">
        <w:rPr>
          <w:rFonts w:eastAsia="Calibri"/>
          <w:bCs/>
          <w:i/>
          <w:sz w:val="24"/>
          <w:szCs w:val="24"/>
          <w:lang w:val="en-GB"/>
        </w:rPr>
        <w:t>Guam 1941 &amp; 1944: Loss and Reconquest</w:t>
      </w:r>
      <w:r w:rsidRPr="00464A1D">
        <w:rPr>
          <w:rFonts w:eastAsia="Calibri"/>
          <w:bCs/>
          <w:sz w:val="24"/>
          <w:szCs w:val="24"/>
          <w:lang w:val="en-GB"/>
        </w:rPr>
        <w:t>. Osprey Publishing, U.K.</w:t>
      </w:r>
    </w:p>
    <w:p w14:paraId="74C15171"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bCs/>
          <w:sz w:val="24"/>
          <w:szCs w:val="24"/>
          <w:lang w:val="en-GB"/>
        </w:rPr>
        <w:t>Rottman, G. L. (2004b</w:t>
      </w:r>
      <w:r w:rsidRPr="00464A1D">
        <w:rPr>
          <w:rFonts w:eastAsia="Calibri"/>
          <w:bCs/>
          <w:i/>
          <w:sz w:val="24"/>
          <w:szCs w:val="24"/>
          <w:lang w:val="en-GB"/>
        </w:rPr>
        <w:t>) Saipan &amp; Tinian 1944: Piercing the Japanese Empire</w:t>
      </w:r>
      <w:r w:rsidRPr="00464A1D">
        <w:rPr>
          <w:rFonts w:eastAsia="Calibri"/>
          <w:bCs/>
          <w:sz w:val="24"/>
          <w:szCs w:val="24"/>
          <w:lang w:val="en-GB"/>
        </w:rPr>
        <w:t>. Osprey Publishing, U.K.</w:t>
      </w:r>
    </w:p>
    <w:p w14:paraId="375E60C0"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bCs/>
          <w:sz w:val="24"/>
          <w:szCs w:val="24"/>
          <w:lang w:val="en-GB"/>
        </w:rPr>
        <w:t xml:space="preserve">Russell, S. (1998) </w:t>
      </w:r>
      <w:r w:rsidRPr="00464A1D">
        <w:rPr>
          <w:rFonts w:eastAsia="Calibri"/>
          <w:bCs/>
          <w:i/>
          <w:sz w:val="24"/>
          <w:szCs w:val="24"/>
          <w:lang w:val="en-GB"/>
        </w:rPr>
        <w:t>Tiempon I Manmofo'na: Ancient Chamorro Culture and History of the Northern Mariana Islands</w:t>
      </w:r>
      <w:r w:rsidRPr="00464A1D">
        <w:rPr>
          <w:rFonts w:eastAsia="Calibri"/>
          <w:bCs/>
          <w:sz w:val="24"/>
          <w:szCs w:val="24"/>
          <w:lang w:val="en-GB"/>
        </w:rPr>
        <w:t>. Division of Historic Preservation, Micronesian Archaeological Survey, Report No. 32.</w:t>
      </w:r>
    </w:p>
    <w:p w14:paraId="3AB2739A" w14:textId="77777777" w:rsidR="00724350" w:rsidRPr="00464A1D" w:rsidRDefault="00724350" w:rsidP="00724350">
      <w:pPr>
        <w:widowControl/>
        <w:autoSpaceDE/>
        <w:autoSpaceDN/>
        <w:adjustRightInd/>
        <w:spacing w:after="160" w:line="360" w:lineRule="auto"/>
        <w:rPr>
          <w:rFonts w:eastAsia="Calibri"/>
          <w:bCs/>
          <w:sz w:val="24"/>
          <w:szCs w:val="24"/>
          <w:lang w:val="en-GB"/>
        </w:rPr>
      </w:pPr>
      <w:r w:rsidRPr="00464A1D">
        <w:rPr>
          <w:rFonts w:eastAsia="Calibri"/>
          <w:bCs/>
          <w:sz w:val="24"/>
          <w:szCs w:val="24"/>
          <w:lang w:val="en-GB"/>
        </w:rPr>
        <w:t>Saipan Tribune 2011</w:t>
      </w:r>
    </w:p>
    <w:p w14:paraId="6B09AA38" w14:textId="77777777" w:rsidR="00724350" w:rsidRPr="00464A1D" w:rsidRDefault="00724350" w:rsidP="00724350">
      <w:pPr>
        <w:widowControl/>
        <w:autoSpaceDE/>
        <w:autoSpaceDN/>
        <w:adjustRightInd/>
        <w:spacing w:after="160" w:line="360" w:lineRule="auto"/>
        <w:rPr>
          <w:rFonts w:eastAsia="Calibri"/>
          <w:bCs/>
          <w:sz w:val="24"/>
          <w:szCs w:val="24"/>
          <w:lang w:val="en-GB"/>
        </w:rPr>
      </w:pPr>
      <w:r w:rsidRPr="00464A1D">
        <w:rPr>
          <w:rFonts w:eastAsia="Calibri"/>
          <w:bCs/>
          <w:sz w:val="24"/>
          <w:szCs w:val="24"/>
          <w:lang w:val="en-GB"/>
        </w:rPr>
        <w:t>Saipan Tribune August 26, 2011</w:t>
      </w:r>
    </w:p>
    <w:p w14:paraId="6CD406ED"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bCs/>
          <w:sz w:val="24"/>
          <w:szCs w:val="24"/>
          <w:lang w:val="en-GB"/>
        </w:rPr>
        <w:t xml:space="preserve">Spennemann, D. H. R. (1999) </w:t>
      </w:r>
      <w:r w:rsidRPr="00464A1D">
        <w:rPr>
          <w:rFonts w:eastAsia="Calibri"/>
          <w:bCs/>
          <w:i/>
          <w:sz w:val="24"/>
          <w:szCs w:val="24"/>
          <w:lang w:val="en-GB"/>
        </w:rPr>
        <w:t>Aurora Australis: The German Period in the Mariana Islands 1899-1914</w:t>
      </w:r>
      <w:r w:rsidRPr="00464A1D">
        <w:rPr>
          <w:rFonts w:eastAsia="Calibri"/>
          <w:bCs/>
          <w:sz w:val="24"/>
          <w:szCs w:val="24"/>
          <w:lang w:val="en-GB"/>
        </w:rPr>
        <w:t>. Division of Historic Preservation, Occasional Historical Paper Series No. 5.</w:t>
      </w:r>
    </w:p>
    <w:p w14:paraId="1D1A912F"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Steadman, D. W. (1995) </w:t>
      </w:r>
      <w:r w:rsidRPr="00464A1D">
        <w:rPr>
          <w:rFonts w:eastAsia="Calibri"/>
          <w:color w:val="000000"/>
          <w:sz w:val="24"/>
          <w:szCs w:val="24"/>
          <w:lang w:val="en-GB"/>
        </w:rPr>
        <w:t xml:space="preserve">Prehistoric Extinctions of Pacific Island Birds: Biodiversity Meets Zooarchaeology. </w:t>
      </w:r>
      <w:r w:rsidRPr="00464A1D">
        <w:rPr>
          <w:rFonts w:eastAsia="Calibri"/>
          <w:i/>
          <w:color w:val="000000"/>
          <w:sz w:val="24"/>
          <w:szCs w:val="24"/>
          <w:lang w:val="en-GB"/>
        </w:rPr>
        <w:t>Science</w:t>
      </w:r>
      <w:r w:rsidRPr="00464A1D">
        <w:rPr>
          <w:rFonts w:eastAsia="Calibri"/>
          <w:color w:val="000000"/>
          <w:sz w:val="24"/>
          <w:szCs w:val="24"/>
          <w:lang w:val="en-GB"/>
        </w:rPr>
        <w:t xml:space="preserve"> 267: 1123</w:t>
      </w:r>
      <w:r w:rsidRPr="00464A1D">
        <w:rPr>
          <w:rFonts w:eastAsia="Calibri"/>
          <w:sz w:val="24"/>
          <w:szCs w:val="24"/>
          <w:lang w:val="en-GB"/>
        </w:rPr>
        <w:t>–</w:t>
      </w:r>
      <w:r w:rsidRPr="00464A1D">
        <w:rPr>
          <w:rFonts w:eastAsia="Calibri"/>
          <w:color w:val="000000"/>
          <w:sz w:val="24"/>
          <w:szCs w:val="24"/>
          <w:lang w:val="en-GB"/>
        </w:rPr>
        <w:t>1131.</w:t>
      </w:r>
    </w:p>
    <w:p w14:paraId="1F407EE2"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bCs/>
          <w:sz w:val="24"/>
          <w:szCs w:val="24"/>
          <w:lang w:val="en-GB"/>
        </w:rPr>
        <w:t xml:space="preserve">Todino, J. B. (2016) </w:t>
      </w:r>
      <w:r w:rsidRPr="00464A1D">
        <w:rPr>
          <w:rFonts w:eastAsia="Calibri"/>
          <w:bCs/>
          <w:i/>
          <w:sz w:val="24"/>
          <w:szCs w:val="24"/>
          <w:lang w:val="en-GB"/>
        </w:rPr>
        <w:t>No one’s on Pagan</w:t>
      </w:r>
      <w:r w:rsidRPr="00464A1D">
        <w:rPr>
          <w:rFonts w:eastAsia="Calibri"/>
          <w:bCs/>
          <w:sz w:val="24"/>
          <w:szCs w:val="24"/>
          <w:lang w:val="en-GB"/>
        </w:rPr>
        <w:t>. Marianas Variety. Printed 29 September 2016. Accessed 7 February 2018.</w:t>
      </w:r>
    </w:p>
    <w:p w14:paraId="08507088"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Trusdell, F. A. (2009) Marianas, Geology. Pp. 598–602 </w:t>
      </w:r>
      <w:r w:rsidRPr="00464A1D">
        <w:rPr>
          <w:rFonts w:eastAsia="Calibri"/>
          <w:i/>
          <w:sz w:val="24"/>
          <w:szCs w:val="24"/>
          <w:lang w:val="en-GB"/>
        </w:rPr>
        <w:t>in</w:t>
      </w:r>
      <w:r w:rsidRPr="00464A1D">
        <w:rPr>
          <w:rFonts w:eastAsia="Calibri"/>
          <w:sz w:val="24"/>
          <w:szCs w:val="24"/>
          <w:lang w:val="en-GB"/>
        </w:rPr>
        <w:t xml:space="preserve"> R. G. Gillespie and D. A. Clague, eds. </w:t>
      </w:r>
      <w:r w:rsidRPr="00464A1D">
        <w:rPr>
          <w:rFonts w:eastAsia="Calibri"/>
          <w:i/>
          <w:sz w:val="24"/>
          <w:szCs w:val="24"/>
          <w:lang w:val="en-GB"/>
        </w:rPr>
        <w:t>Encyclopedia of islands</w:t>
      </w:r>
      <w:r w:rsidRPr="00464A1D">
        <w:rPr>
          <w:rFonts w:eastAsia="Calibri"/>
          <w:sz w:val="24"/>
          <w:szCs w:val="24"/>
          <w:lang w:val="en-GB"/>
        </w:rPr>
        <w:t>. University of California Press, Berkeley and Los Angeles, California.</w:t>
      </w:r>
    </w:p>
    <w:p w14:paraId="10F9CF60"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bCs/>
          <w:sz w:val="24"/>
          <w:szCs w:val="24"/>
          <w:lang w:val="en-GB"/>
        </w:rPr>
        <w:lastRenderedPageBreak/>
        <w:t xml:space="preserve">U.S. Census Bureau. (2010) </w:t>
      </w:r>
      <w:r w:rsidRPr="00464A1D">
        <w:rPr>
          <w:rFonts w:eastAsia="Calibri"/>
          <w:bCs/>
          <w:i/>
          <w:sz w:val="24"/>
          <w:szCs w:val="24"/>
          <w:lang w:val="en-GB"/>
        </w:rPr>
        <w:t>Population of the Commonwealth of the Northern Mariana Islands:  2000 and 2010</w:t>
      </w:r>
      <w:r w:rsidRPr="00464A1D">
        <w:rPr>
          <w:rFonts w:eastAsia="Calibri"/>
          <w:bCs/>
          <w:sz w:val="24"/>
          <w:szCs w:val="24"/>
          <w:lang w:val="en-GB"/>
        </w:rPr>
        <w:t xml:space="preserve"> [Data File]. Retrieved from https://www.census.gov/2010census/news/xls/cb11cn178_cnmi.xls </w:t>
      </w:r>
    </w:p>
    <w:p w14:paraId="5A9551AB"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sz w:val="24"/>
          <w:szCs w:val="24"/>
          <w:lang w:val="en-GB"/>
        </w:rPr>
        <w:t xml:space="preserve">U.S. Fish and Wildlife Service (2004) Removing the Mariana Mallard and Guam Broadbill from the Federal List of Endangered and Threatened Wildlife. </w:t>
      </w:r>
      <w:r w:rsidRPr="00464A1D">
        <w:rPr>
          <w:rFonts w:eastAsia="Calibri"/>
          <w:i/>
          <w:sz w:val="24"/>
          <w:szCs w:val="24"/>
          <w:lang w:val="en-GB"/>
        </w:rPr>
        <w:t>Fed. Reg.</w:t>
      </w:r>
      <w:r w:rsidRPr="00464A1D">
        <w:rPr>
          <w:rFonts w:eastAsia="Calibri"/>
          <w:sz w:val="24"/>
          <w:szCs w:val="24"/>
          <w:lang w:val="en-GB"/>
        </w:rPr>
        <w:t xml:space="preserve"> 69: 8116–8119.</w:t>
      </w:r>
    </w:p>
    <w:p w14:paraId="2D6AE503" w14:textId="77777777" w:rsidR="00724350" w:rsidRPr="00464A1D" w:rsidRDefault="00724350" w:rsidP="00724350">
      <w:pPr>
        <w:widowControl/>
        <w:autoSpaceDE/>
        <w:autoSpaceDN/>
        <w:adjustRightInd/>
        <w:spacing w:after="160" w:line="360" w:lineRule="auto"/>
        <w:ind w:left="720" w:hanging="720"/>
        <w:rPr>
          <w:rFonts w:eastAsia="Calibri"/>
          <w:bCs/>
          <w:sz w:val="24"/>
          <w:szCs w:val="24"/>
          <w:lang w:val="en-GB"/>
        </w:rPr>
      </w:pPr>
      <w:r w:rsidRPr="00464A1D">
        <w:rPr>
          <w:rFonts w:eastAsia="Calibri"/>
          <w:bCs/>
          <w:sz w:val="24"/>
          <w:szCs w:val="24"/>
          <w:lang w:val="en-GB"/>
        </w:rPr>
        <w:t xml:space="preserve">U.S. Navy. (2010) </w:t>
      </w:r>
      <w:r w:rsidRPr="00464A1D">
        <w:rPr>
          <w:rFonts w:eastAsia="Calibri"/>
          <w:bCs/>
          <w:i/>
          <w:sz w:val="24"/>
          <w:szCs w:val="24"/>
          <w:lang w:val="en-GB"/>
        </w:rPr>
        <w:t>Biological assessment, potential effects on Service-listed species from Guam and Tinian military relocation, relocating Marines from Okinawa, visiting aircraft carrier berthing, and Army air and missile defense task force.</w:t>
      </w:r>
      <w:r w:rsidRPr="00464A1D">
        <w:rPr>
          <w:rFonts w:eastAsia="Calibri"/>
          <w:bCs/>
          <w:sz w:val="24"/>
          <w:szCs w:val="24"/>
          <w:lang w:val="en-GB"/>
        </w:rPr>
        <w:t xml:space="preserve"> Naval Facilities Engineering Command Pacific, Honolulu, Hawai‘i.</w:t>
      </w:r>
    </w:p>
    <w:p w14:paraId="78E08066" w14:textId="77777777" w:rsidR="00724350" w:rsidRPr="00464A1D" w:rsidRDefault="00724350" w:rsidP="00724350">
      <w:pPr>
        <w:spacing w:line="360" w:lineRule="auto"/>
        <w:ind w:left="720" w:hanging="720"/>
        <w:rPr>
          <w:b/>
          <w:bCs/>
          <w:sz w:val="24"/>
          <w:szCs w:val="24"/>
          <w:lang w:val="en-GB"/>
        </w:rPr>
      </w:pPr>
      <w:r w:rsidRPr="00464A1D">
        <w:rPr>
          <w:rFonts w:eastAsia="Calibri"/>
          <w:sz w:val="24"/>
          <w:szCs w:val="24"/>
          <w:lang w:val="en-GB"/>
        </w:rPr>
        <w:t xml:space="preserve">Wiles, G. J., Aguon, C. F., Davis, G. W. and Grout, D. J. (1995) The status and distribution of endangered animals and plants in northern Guam. </w:t>
      </w:r>
      <w:r w:rsidRPr="00464A1D">
        <w:rPr>
          <w:rFonts w:eastAsia="Calibri"/>
          <w:i/>
          <w:sz w:val="24"/>
          <w:szCs w:val="24"/>
          <w:lang w:val="en-GB"/>
        </w:rPr>
        <w:t>Micronesica</w:t>
      </w:r>
      <w:r w:rsidRPr="00464A1D">
        <w:rPr>
          <w:rFonts w:eastAsia="Calibri"/>
          <w:sz w:val="24"/>
          <w:szCs w:val="24"/>
          <w:lang w:val="en-GB"/>
        </w:rPr>
        <w:t xml:space="preserve"> 28: 31–49.</w:t>
      </w:r>
      <w:r w:rsidRPr="00464A1D">
        <w:rPr>
          <w:sz w:val="24"/>
          <w:szCs w:val="24"/>
          <w:lang w:val="en-GB"/>
        </w:rPr>
        <w:br w:type="page"/>
      </w:r>
    </w:p>
    <w:p w14:paraId="57AAC0DD" w14:textId="77777777" w:rsidR="00724350" w:rsidRPr="00AB1E74" w:rsidRDefault="00724350" w:rsidP="00724350">
      <w:pPr>
        <w:pStyle w:val="Heading1"/>
        <w:rPr>
          <w:lang w:val="en-GB"/>
        </w:rPr>
      </w:pPr>
      <w:r w:rsidRPr="00AB1E74">
        <w:rPr>
          <w:lang w:val="en-GB"/>
        </w:rPr>
        <w:lastRenderedPageBreak/>
        <w:t>Appendix S3. Point-transect survey model evaluation</w:t>
      </w:r>
      <w:r>
        <w:rPr>
          <w:lang w:val="en-GB"/>
        </w:rPr>
        <w:t>.</w:t>
      </w:r>
    </w:p>
    <w:p w14:paraId="4CB5C935" w14:textId="77777777" w:rsidR="00724350" w:rsidRPr="00464A1D" w:rsidRDefault="00724350" w:rsidP="00724350">
      <w:pPr>
        <w:spacing w:line="360" w:lineRule="auto"/>
        <w:rPr>
          <w:rFonts w:eastAsia="Calibri"/>
          <w:sz w:val="24"/>
          <w:szCs w:val="24"/>
          <w:lang w:val="en-GB"/>
        </w:rPr>
      </w:pPr>
      <w:r w:rsidRPr="00B124DD">
        <w:rPr>
          <w:rFonts w:eastAsia="Calibri"/>
          <w:bCs/>
          <w:sz w:val="24"/>
          <w:szCs w:val="24"/>
          <w:lang w:val="en-GB"/>
        </w:rPr>
        <w:t>Appendix S3</w:t>
      </w:r>
      <w:r w:rsidRPr="00464A1D">
        <w:rPr>
          <w:rFonts w:eastAsia="Calibri"/>
          <w:sz w:val="24"/>
          <w:szCs w:val="24"/>
          <w:lang w:val="en-GB"/>
        </w:rPr>
        <w:t>.</w:t>
      </w:r>
      <w:r>
        <w:rPr>
          <w:rFonts w:eastAsia="Calibri"/>
          <w:sz w:val="24"/>
          <w:szCs w:val="24"/>
          <w:lang w:val="en-GB"/>
        </w:rPr>
        <w:t xml:space="preserve"> Figure 1.</w:t>
      </w:r>
      <w:r w:rsidRPr="00464A1D">
        <w:rPr>
          <w:rFonts w:eastAsia="Calibri"/>
          <w:sz w:val="24"/>
          <w:szCs w:val="24"/>
          <w:lang w:val="en-GB"/>
        </w:rPr>
        <w:t xml:space="preserve"> Histogram of reed-warbler detections used to derive the detection function and population estimates via distance sampling. A best fit line of these data were modeled using the hazard-rate detection function with the covariate survey.</w:t>
      </w:r>
    </w:p>
    <w:p w14:paraId="74F4D7CF" w14:textId="77777777" w:rsidR="00724350" w:rsidRPr="00464A1D" w:rsidRDefault="00724350" w:rsidP="00724350">
      <w:pPr>
        <w:spacing w:line="360" w:lineRule="auto"/>
        <w:rPr>
          <w:rFonts w:eastAsia="Calibri"/>
          <w:sz w:val="24"/>
          <w:szCs w:val="24"/>
          <w:lang w:val="en-GB"/>
        </w:rPr>
      </w:pPr>
      <w:r w:rsidRPr="00464A1D">
        <w:rPr>
          <w:noProof/>
          <w:sz w:val="24"/>
          <w:szCs w:val="24"/>
          <w:lang w:val="en-GB"/>
        </w:rPr>
        <w:drawing>
          <wp:anchor distT="0" distB="0" distL="114300" distR="114300" simplePos="0" relativeHeight="251659264" behindDoc="0" locked="0" layoutInCell="1" allowOverlap="1" wp14:anchorId="4171A545" wp14:editId="3FDE1B63">
            <wp:simplePos x="0" y="0"/>
            <wp:positionH relativeFrom="column">
              <wp:posOffset>0</wp:posOffset>
            </wp:positionH>
            <wp:positionV relativeFrom="paragraph">
              <wp:posOffset>170815</wp:posOffset>
            </wp:positionV>
            <wp:extent cx="5857875" cy="3776980"/>
            <wp:effectExtent l="0" t="0" r="0" b="0"/>
            <wp:wrapSquare wrapText="bothSides"/>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7875" cy="3776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80D11" w14:textId="77777777" w:rsidR="00724350" w:rsidRPr="00464A1D" w:rsidRDefault="00724350" w:rsidP="00724350">
      <w:pPr>
        <w:widowControl/>
        <w:autoSpaceDE/>
        <w:autoSpaceDN/>
        <w:adjustRightInd/>
        <w:spacing w:line="360" w:lineRule="auto"/>
        <w:rPr>
          <w:b/>
          <w:sz w:val="24"/>
          <w:szCs w:val="24"/>
          <w:lang w:val="en-GB"/>
        </w:rPr>
      </w:pPr>
      <w:r w:rsidRPr="00464A1D">
        <w:rPr>
          <w:b/>
          <w:sz w:val="24"/>
          <w:szCs w:val="24"/>
          <w:lang w:val="en-GB"/>
        </w:rPr>
        <w:br w:type="page"/>
      </w:r>
    </w:p>
    <w:p w14:paraId="7FEA4287" w14:textId="77777777" w:rsidR="00724350" w:rsidRPr="00464A1D" w:rsidRDefault="00724350" w:rsidP="00724350">
      <w:pPr>
        <w:spacing w:line="360" w:lineRule="auto"/>
        <w:rPr>
          <w:sz w:val="24"/>
          <w:szCs w:val="24"/>
          <w:lang w:val="en-GB"/>
        </w:rPr>
      </w:pPr>
      <w:r w:rsidRPr="00B124DD">
        <w:rPr>
          <w:bCs/>
          <w:sz w:val="24"/>
          <w:szCs w:val="24"/>
          <w:lang w:val="en-GB"/>
        </w:rPr>
        <w:lastRenderedPageBreak/>
        <w:t xml:space="preserve">Appendix </w:t>
      </w:r>
      <w:r>
        <w:rPr>
          <w:bCs/>
          <w:sz w:val="24"/>
          <w:szCs w:val="24"/>
          <w:lang w:val="en-GB"/>
        </w:rPr>
        <w:t xml:space="preserve">S3. Table 1. </w:t>
      </w:r>
      <w:r w:rsidRPr="00464A1D">
        <w:rPr>
          <w:sz w:val="24"/>
          <w:szCs w:val="24"/>
          <w:lang w:val="en-GB"/>
        </w:rPr>
        <w:t xml:space="preserve">Point-transect sampling model selection results for the reed-warbler data. Models are half-normal (H-norm) and hazard-rate (H-rate) key detection functions. Except for a covariate representing Survey (FWS 2010 Alamagan, DFW 2000 Alamagan, and DFW Saipan) no series expansion adjustment terms or sampling and site covariates were modeled because of over-fitting concerns due to the small numbers of detections. </w:t>
      </w:r>
      <w:r w:rsidRPr="00464A1D">
        <w:rPr>
          <w:i/>
          <w:iCs/>
          <w:sz w:val="24"/>
          <w:szCs w:val="24"/>
          <w:lang w:val="en-GB"/>
        </w:rPr>
        <w:t>K</w:t>
      </w:r>
      <w:r w:rsidRPr="00464A1D">
        <w:rPr>
          <w:sz w:val="24"/>
          <w:szCs w:val="24"/>
          <w:lang w:val="en-GB"/>
        </w:rPr>
        <w:t xml:space="preserve"> is the number of estimated parameters, </w:t>
      </w:r>
      <w:r w:rsidRPr="00464A1D">
        <w:rPr>
          <w:i/>
          <w:iCs/>
          <w:sz w:val="24"/>
          <w:szCs w:val="24"/>
          <w:lang w:val="en-GB"/>
        </w:rPr>
        <w:t>L</w:t>
      </w:r>
      <w:r w:rsidRPr="00464A1D">
        <w:rPr>
          <w:sz w:val="24"/>
          <w:szCs w:val="24"/>
          <w:lang w:val="en-GB"/>
        </w:rPr>
        <w:t xml:space="preserve"> is the estimate of the log-likelihood, AIC</w:t>
      </w:r>
      <w:r w:rsidRPr="00464A1D">
        <w:rPr>
          <w:i/>
          <w:iCs/>
          <w:sz w:val="24"/>
          <w:szCs w:val="24"/>
          <w:vertAlign w:val="subscript"/>
          <w:lang w:val="en-GB"/>
        </w:rPr>
        <w:t>c</w:t>
      </w:r>
      <w:r w:rsidRPr="00464A1D">
        <w:rPr>
          <w:sz w:val="24"/>
          <w:szCs w:val="24"/>
          <w:lang w:val="en-GB"/>
        </w:rPr>
        <w:t xml:space="preserve"> is the 2nd-order Akaike's Information Criterion corrected for small sample sizes, ΔAIC</w:t>
      </w:r>
      <w:r w:rsidRPr="00464A1D">
        <w:rPr>
          <w:i/>
          <w:iCs/>
          <w:sz w:val="24"/>
          <w:szCs w:val="24"/>
          <w:vertAlign w:val="subscript"/>
          <w:lang w:val="en-GB"/>
        </w:rPr>
        <w:t>c</w:t>
      </w:r>
      <w:r w:rsidRPr="00464A1D">
        <w:rPr>
          <w:sz w:val="24"/>
          <w:szCs w:val="24"/>
          <w:lang w:val="en-GB"/>
        </w:rPr>
        <w:t xml:space="preserve"> is the difference among the AIC</w:t>
      </w:r>
      <w:r w:rsidRPr="00464A1D">
        <w:rPr>
          <w:i/>
          <w:iCs/>
          <w:sz w:val="24"/>
          <w:szCs w:val="24"/>
          <w:vertAlign w:val="subscript"/>
          <w:lang w:val="en-GB"/>
        </w:rPr>
        <w:t>c</w:t>
      </w:r>
      <w:r w:rsidRPr="00464A1D">
        <w:rPr>
          <w:sz w:val="24"/>
          <w:szCs w:val="24"/>
          <w:lang w:val="en-GB"/>
        </w:rPr>
        <w:t xml:space="preserve"> values, and </w:t>
      </w:r>
      <w:r w:rsidRPr="00464A1D">
        <w:rPr>
          <w:i/>
          <w:iCs/>
          <w:sz w:val="24"/>
          <w:szCs w:val="24"/>
          <w:lang w:val="en-GB"/>
        </w:rPr>
        <w:t>w</w:t>
      </w:r>
      <w:r w:rsidRPr="00464A1D">
        <w:rPr>
          <w:i/>
          <w:iCs/>
          <w:sz w:val="24"/>
          <w:szCs w:val="24"/>
          <w:vertAlign w:val="subscript"/>
          <w:lang w:val="en-GB"/>
        </w:rPr>
        <w:t>i</w:t>
      </w:r>
      <w:r w:rsidRPr="00464A1D">
        <w:rPr>
          <w:sz w:val="24"/>
          <w:szCs w:val="24"/>
          <w:lang w:val="en-GB"/>
        </w:rPr>
        <w:t xml:space="preserve"> is the Akaike model weight that the likelihood that model is the best model (of the 3 models evaluated).</w:t>
      </w:r>
    </w:p>
    <w:tbl>
      <w:tblPr>
        <w:tblW w:w="5000" w:type="pct"/>
        <w:jc w:val="center"/>
        <w:tblCellMar>
          <w:left w:w="0" w:type="dxa"/>
          <w:right w:w="0" w:type="dxa"/>
        </w:tblCellMar>
        <w:tblLook w:val="0000" w:firstRow="0" w:lastRow="0" w:firstColumn="0" w:lastColumn="0" w:noHBand="0" w:noVBand="0"/>
      </w:tblPr>
      <w:tblGrid>
        <w:gridCol w:w="2436"/>
        <w:gridCol w:w="1386"/>
        <w:gridCol w:w="1385"/>
        <w:gridCol w:w="1385"/>
        <w:gridCol w:w="1385"/>
        <w:gridCol w:w="1383"/>
      </w:tblGrid>
      <w:tr w:rsidR="00724350" w:rsidRPr="00464A1D" w14:paraId="7C382558" w14:textId="77777777" w:rsidTr="002C2881">
        <w:trPr>
          <w:trHeight w:val="255"/>
          <w:jc w:val="center"/>
        </w:trPr>
        <w:tc>
          <w:tcPr>
            <w:tcW w:w="1301" w:type="pct"/>
            <w:tcBorders>
              <w:top w:val="single" w:sz="4" w:space="0" w:color="auto"/>
              <w:left w:val="nil"/>
              <w:bottom w:val="single" w:sz="4" w:space="0" w:color="auto"/>
              <w:right w:val="nil"/>
            </w:tcBorders>
            <w:noWrap/>
            <w:vAlign w:val="bottom"/>
          </w:tcPr>
          <w:p w14:paraId="590730E6" w14:textId="77777777" w:rsidR="00724350" w:rsidRPr="00464A1D" w:rsidRDefault="00724350" w:rsidP="002C2881">
            <w:pPr>
              <w:spacing w:line="360" w:lineRule="auto"/>
              <w:rPr>
                <w:sz w:val="24"/>
                <w:szCs w:val="24"/>
                <w:lang w:val="en-GB"/>
              </w:rPr>
            </w:pPr>
            <w:r w:rsidRPr="00464A1D">
              <w:rPr>
                <w:sz w:val="24"/>
                <w:szCs w:val="24"/>
                <w:lang w:val="en-GB"/>
              </w:rPr>
              <w:t>Model</w:t>
            </w:r>
          </w:p>
        </w:tc>
        <w:tc>
          <w:tcPr>
            <w:tcW w:w="740" w:type="pct"/>
            <w:tcBorders>
              <w:top w:val="single" w:sz="4" w:space="0" w:color="auto"/>
              <w:left w:val="nil"/>
              <w:bottom w:val="single" w:sz="4" w:space="0" w:color="auto"/>
              <w:right w:val="nil"/>
            </w:tcBorders>
            <w:noWrap/>
            <w:vAlign w:val="bottom"/>
          </w:tcPr>
          <w:p w14:paraId="03EBCB23" w14:textId="77777777" w:rsidR="00724350" w:rsidRPr="00464A1D" w:rsidRDefault="00724350" w:rsidP="002C2881">
            <w:pPr>
              <w:spacing w:line="360" w:lineRule="auto"/>
              <w:jc w:val="center"/>
              <w:rPr>
                <w:i/>
                <w:sz w:val="24"/>
                <w:szCs w:val="24"/>
                <w:lang w:val="en-GB"/>
              </w:rPr>
            </w:pPr>
            <w:r w:rsidRPr="00464A1D">
              <w:rPr>
                <w:i/>
                <w:sz w:val="24"/>
                <w:szCs w:val="24"/>
                <w:lang w:val="en-GB"/>
              </w:rPr>
              <w:t>k</w:t>
            </w:r>
          </w:p>
        </w:tc>
        <w:tc>
          <w:tcPr>
            <w:tcW w:w="740" w:type="pct"/>
            <w:tcBorders>
              <w:top w:val="single" w:sz="4" w:space="0" w:color="auto"/>
              <w:left w:val="nil"/>
              <w:bottom w:val="single" w:sz="4" w:space="0" w:color="auto"/>
              <w:right w:val="nil"/>
            </w:tcBorders>
            <w:noWrap/>
            <w:vAlign w:val="bottom"/>
          </w:tcPr>
          <w:p w14:paraId="07DCC08E" w14:textId="77777777" w:rsidR="00724350" w:rsidRPr="00464A1D" w:rsidRDefault="00724350" w:rsidP="002C2881">
            <w:pPr>
              <w:spacing w:line="360" w:lineRule="auto"/>
              <w:jc w:val="center"/>
              <w:rPr>
                <w:i/>
                <w:sz w:val="24"/>
                <w:szCs w:val="24"/>
                <w:lang w:val="en-GB"/>
              </w:rPr>
            </w:pPr>
            <w:r w:rsidRPr="00464A1D">
              <w:rPr>
                <w:i/>
                <w:sz w:val="24"/>
                <w:szCs w:val="24"/>
                <w:lang w:val="en-GB"/>
              </w:rPr>
              <w:t>L</w:t>
            </w:r>
          </w:p>
        </w:tc>
        <w:tc>
          <w:tcPr>
            <w:tcW w:w="740" w:type="pct"/>
            <w:tcBorders>
              <w:top w:val="single" w:sz="4" w:space="0" w:color="auto"/>
              <w:left w:val="nil"/>
              <w:bottom w:val="single" w:sz="4" w:space="0" w:color="auto"/>
              <w:right w:val="nil"/>
            </w:tcBorders>
            <w:noWrap/>
            <w:vAlign w:val="bottom"/>
          </w:tcPr>
          <w:p w14:paraId="3AD3BBF6" w14:textId="77777777" w:rsidR="00724350" w:rsidRPr="00464A1D" w:rsidRDefault="00724350" w:rsidP="002C2881">
            <w:pPr>
              <w:spacing w:line="360" w:lineRule="auto"/>
              <w:jc w:val="center"/>
              <w:rPr>
                <w:sz w:val="24"/>
                <w:szCs w:val="24"/>
                <w:lang w:val="en-GB"/>
              </w:rPr>
            </w:pPr>
            <w:r w:rsidRPr="00464A1D">
              <w:rPr>
                <w:sz w:val="24"/>
                <w:szCs w:val="24"/>
                <w:lang w:val="en-GB"/>
              </w:rPr>
              <w:t>AIC</w:t>
            </w:r>
            <w:r w:rsidRPr="00464A1D">
              <w:rPr>
                <w:sz w:val="24"/>
                <w:szCs w:val="24"/>
                <w:vertAlign w:val="subscript"/>
                <w:lang w:val="en-GB"/>
              </w:rPr>
              <w:t>c</w:t>
            </w:r>
          </w:p>
        </w:tc>
        <w:tc>
          <w:tcPr>
            <w:tcW w:w="740" w:type="pct"/>
            <w:tcBorders>
              <w:top w:val="single" w:sz="4" w:space="0" w:color="auto"/>
              <w:left w:val="nil"/>
              <w:bottom w:val="single" w:sz="4" w:space="0" w:color="auto"/>
              <w:right w:val="nil"/>
            </w:tcBorders>
            <w:noWrap/>
            <w:vAlign w:val="bottom"/>
          </w:tcPr>
          <w:p w14:paraId="67DEA4EE" w14:textId="77777777" w:rsidR="00724350" w:rsidRPr="00464A1D" w:rsidRDefault="00724350" w:rsidP="002C2881">
            <w:pPr>
              <w:spacing w:line="360" w:lineRule="auto"/>
              <w:jc w:val="center"/>
              <w:rPr>
                <w:sz w:val="24"/>
                <w:szCs w:val="24"/>
                <w:lang w:val="en-GB"/>
              </w:rPr>
            </w:pPr>
            <w:r w:rsidRPr="00464A1D">
              <w:rPr>
                <w:sz w:val="24"/>
                <w:szCs w:val="24"/>
                <w:lang w:val="en-GB"/>
              </w:rPr>
              <w:t>ΔAIC</w:t>
            </w:r>
            <w:r w:rsidRPr="00464A1D">
              <w:rPr>
                <w:sz w:val="24"/>
                <w:szCs w:val="24"/>
                <w:vertAlign w:val="subscript"/>
                <w:lang w:val="en-GB"/>
              </w:rPr>
              <w:t>c</w:t>
            </w:r>
          </w:p>
        </w:tc>
        <w:tc>
          <w:tcPr>
            <w:tcW w:w="740" w:type="pct"/>
            <w:tcBorders>
              <w:top w:val="single" w:sz="4" w:space="0" w:color="auto"/>
              <w:left w:val="nil"/>
              <w:bottom w:val="single" w:sz="4" w:space="0" w:color="auto"/>
              <w:right w:val="nil"/>
            </w:tcBorders>
            <w:noWrap/>
            <w:vAlign w:val="bottom"/>
          </w:tcPr>
          <w:p w14:paraId="636A331F" w14:textId="77777777" w:rsidR="00724350" w:rsidRPr="00464A1D" w:rsidRDefault="00724350" w:rsidP="002C2881">
            <w:pPr>
              <w:spacing w:line="360" w:lineRule="auto"/>
              <w:jc w:val="center"/>
              <w:rPr>
                <w:i/>
                <w:sz w:val="24"/>
                <w:szCs w:val="24"/>
                <w:lang w:val="en-GB"/>
              </w:rPr>
            </w:pPr>
            <w:r w:rsidRPr="00464A1D">
              <w:rPr>
                <w:i/>
                <w:sz w:val="24"/>
                <w:szCs w:val="24"/>
                <w:lang w:val="en-GB"/>
              </w:rPr>
              <w:t>w</w:t>
            </w:r>
            <w:r w:rsidRPr="00464A1D">
              <w:rPr>
                <w:i/>
                <w:sz w:val="24"/>
                <w:szCs w:val="24"/>
                <w:vertAlign w:val="subscript"/>
                <w:lang w:val="en-GB"/>
              </w:rPr>
              <w:t>i</w:t>
            </w:r>
          </w:p>
        </w:tc>
      </w:tr>
      <w:tr w:rsidR="00724350" w:rsidRPr="00464A1D" w14:paraId="1859A362" w14:textId="77777777" w:rsidTr="002C2881">
        <w:trPr>
          <w:trHeight w:hRule="exact" w:val="288"/>
          <w:jc w:val="center"/>
        </w:trPr>
        <w:tc>
          <w:tcPr>
            <w:tcW w:w="1301" w:type="pct"/>
            <w:tcBorders>
              <w:top w:val="nil"/>
              <w:left w:val="nil"/>
              <w:bottom w:val="nil"/>
              <w:right w:val="nil"/>
            </w:tcBorders>
            <w:noWrap/>
            <w:vAlign w:val="bottom"/>
          </w:tcPr>
          <w:p w14:paraId="10FD8F31" w14:textId="77777777" w:rsidR="00724350" w:rsidRPr="00464A1D" w:rsidRDefault="00724350" w:rsidP="002C2881">
            <w:pPr>
              <w:spacing w:line="360" w:lineRule="auto"/>
              <w:rPr>
                <w:sz w:val="24"/>
                <w:szCs w:val="24"/>
                <w:lang w:val="en-GB"/>
              </w:rPr>
            </w:pPr>
            <w:r w:rsidRPr="00464A1D">
              <w:rPr>
                <w:sz w:val="24"/>
                <w:szCs w:val="24"/>
                <w:lang w:val="en-GB"/>
              </w:rPr>
              <w:t>H-rate Key Survey</w:t>
            </w:r>
          </w:p>
        </w:tc>
        <w:tc>
          <w:tcPr>
            <w:tcW w:w="740" w:type="pct"/>
            <w:tcBorders>
              <w:top w:val="nil"/>
              <w:left w:val="nil"/>
              <w:bottom w:val="nil"/>
              <w:right w:val="nil"/>
            </w:tcBorders>
            <w:noWrap/>
            <w:vAlign w:val="bottom"/>
          </w:tcPr>
          <w:p w14:paraId="6A6B05C4" w14:textId="77777777" w:rsidR="00724350" w:rsidRPr="00464A1D" w:rsidRDefault="00724350" w:rsidP="002C2881">
            <w:pPr>
              <w:spacing w:line="360" w:lineRule="auto"/>
              <w:jc w:val="center"/>
              <w:rPr>
                <w:sz w:val="24"/>
                <w:szCs w:val="24"/>
                <w:lang w:val="en-GB"/>
              </w:rPr>
            </w:pPr>
            <w:r w:rsidRPr="00464A1D">
              <w:rPr>
                <w:sz w:val="24"/>
                <w:szCs w:val="24"/>
                <w:lang w:val="en-GB"/>
              </w:rPr>
              <w:t>3</w:t>
            </w:r>
          </w:p>
        </w:tc>
        <w:tc>
          <w:tcPr>
            <w:tcW w:w="740" w:type="pct"/>
            <w:tcBorders>
              <w:top w:val="nil"/>
              <w:left w:val="nil"/>
              <w:bottom w:val="nil"/>
              <w:right w:val="nil"/>
            </w:tcBorders>
            <w:noWrap/>
            <w:vAlign w:val="bottom"/>
          </w:tcPr>
          <w:p w14:paraId="26C92E89" w14:textId="77777777" w:rsidR="00724350" w:rsidRPr="00464A1D" w:rsidRDefault="00724350" w:rsidP="002C2881">
            <w:pPr>
              <w:spacing w:line="360" w:lineRule="auto"/>
              <w:jc w:val="center"/>
              <w:rPr>
                <w:sz w:val="24"/>
                <w:szCs w:val="24"/>
                <w:lang w:val="en-GB"/>
              </w:rPr>
            </w:pPr>
            <w:r w:rsidRPr="00464A1D">
              <w:rPr>
                <w:sz w:val="24"/>
                <w:szCs w:val="24"/>
                <w:lang w:val="en-GB"/>
              </w:rPr>
              <w:t>-487.10</w:t>
            </w:r>
          </w:p>
        </w:tc>
        <w:tc>
          <w:tcPr>
            <w:tcW w:w="740" w:type="pct"/>
            <w:tcBorders>
              <w:top w:val="nil"/>
              <w:left w:val="nil"/>
              <w:bottom w:val="nil"/>
              <w:right w:val="nil"/>
            </w:tcBorders>
            <w:noWrap/>
            <w:vAlign w:val="bottom"/>
          </w:tcPr>
          <w:p w14:paraId="0F0AFAB1" w14:textId="77777777" w:rsidR="00724350" w:rsidRPr="00464A1D" w:rsidRDefault="00724350" w:rsidP="002C2881">
            <w:pPr>
              <w:spacing w:line="360" w:lineRule="auto"/>
              <w:jc w:val="center"/>
              <w:rPr>
                <w:sz w:val="24"/>
                <w:szCs w:val="24"/>
                <w:lang w:val="en-GB"/>
              </w:rPr>
            </w:pPr>
            <w:r w:rsidRPr="00464A1D">
              <w:rPr>
                <w:sz w:val="24"/>
                <w:szCs w:val="24"/>
                <w:lang w:val="en-GB"/>
              </w:rPr>
              <w:t>980.40</w:t>
            </w:r>
          </w:p>
        </w:tc>
        <w:tc>
          <w:tcPr>
            <w:tcW w:w="740" w:type="pct"/>
            <w:tcBorders>
              <w:top w:val="nil"/>
              <w:left w:val="nil"/>
              <w:bottom w:val="nil"/>
              <w:right w:val="nil"/>
            </w:tcBorders>
            <w:noWrap/>
            <w:vAlign w:val="bottom"/>
          </w:tcPr>
          <w:p w14:paraId="333FFF44" w14:textId="77777777" w:rsidR="00724350" w:rsidRPr="00464A1D" w:rsidRDefault="00724350" w:rsidP="002C2881">
            <w:pPr>
              <w:spacing w:line="360" w:lineRule="auto"/>
              <w:jc w:val="center"/>
              <w:rPr>
                <w:sz w:val="24"/>
                <w:szCs w:val="24"/>
                <w:lang w:val="en-GB"/>
              </w:rPr>
            </w:pPr>
            <w:r w:rsidRPr="00464A1D">
              <w:rPr>
                <w:sz w:val="24"/>
                <w:szCs w:val="24"/>
                <w:lang w:val="en-GB"/>
              </w:rPr>
              <w:t>0.00</w:t>
            </w:r>
          </w:p>
        </w:tc>
        <w:tc>
          <w:tcPr>
            <w:tcW w:w="740" w:type="pct"/>
            <w:tcBorders>
              <w:top w:val="nil"/>
              <w:left w:val="nil"/>
              <w:bottom w:val="nil"/>
              <w:right w:val="nil"/>
            </w:tcBorders>
            <w:noWrap/>
            <w:vAlign w:val="bottom"/>
          </w:tcPr>
          <w:p w14:paraId="39309890" w14:textId="77777777" w:rsidR="00724350" w:rsidRPr="00464A1D" w:rsidRDefault="00724350" w:rsidP="002C2881">
            <w:pPr>
              <w:spacing w:line="360" w:lineRule="auto"/>
              <w:jc w:val="center"/>
              <w:rPr>
                <w:sz w:val="24"/>
                <w:szCs w:val="24"/>
                <w:lang w:val="en-GB"/>
              </w:rPr>
            </w:pPr>
            <w:r w:rsidRPr="00464A1D">
              <w:rPr>
                <w:sz w:val="24"/>
                <w:szCs w:val="24"/>
                <w:lang w:val="en-GB"/>
              </w:rPr>
              <w:t>0.836</w:t>
            </w:r>
          </w:p>
        </w:tc>
      </w:tr>
      <w:tr w:rsidR="00724350" w:rsidRPr="00464A1D" w14:paraId="001929A8" w14:textId="77777777" w:rsidTr="002C2881">
        <w:trPr>
          <w:trHeight w:hRule="exact" w:val="288"/>
          <w:jc w:val="center"/>
        </w:trPr>
        <w:tc>
          <w:tcPr>
            <w:tcW w:w="1301" w:type="pct"/>
            <w:tcBorders>
              <w:top w:val="nil"/>
              <w:left w:val="nil"/>
              <w:right w:val="nil"/>
            </w:tcBorders>
            <w:noWrap/>
            <w:vAlign w:val="bottom"/>
          </w:tcPr>
          <w:p w14:paraId="41DD9CA0" w14:textId="77777777" w:rsidR="00724350" w:rsidRPr="00464A1D" w:rsidRDefault="00724350" w:rsidP="002C2881">
            <w:pPr>
              <w:spacing w:line="360" w:lineRule="auto"/>
              <w:rPr>
                <w:sz w:val="24"/>
                <w:szCs w:val="24"/>
                <w:lang w:val="en-GB"/>
              </w:rPr>
            </w:pPr>
            <w:r w:rsidRPr="00464A1D">
              <w:rPr>
                <w:sz w:val="24"/>
                <w:szCs w:val="24"/>
                <w:lang w:val="en-GB"/>
              </w:rPr>
              <w:t>H-rate Key</w:t>
            </w:r>
          </w:p>
        </w:tc>
        <w:tc>
          <w:tcPr>
            <w:tcW w:w="740" w:type="pct"/>
            <w:tcBorders>
              <w:top w:val="nil"/>
              <w:left w:val="nil"/>
              <w:right w:val="nil"/>
            </w:tcBorders>
            <w:noWrap/>
            <w:vAlign w:val="bottom"/>
          </w:tcPr>
          <w:p w14:paraId="6DCE7E8A" w14:textId="77777777" w:rsidR="00724350" w:rsidRPr="00464A1D" w:rsidRDefault="00724350" w:rsidP="002C2881">
            <w:pPr>
              <w:spacing w:line="360" w:lineRule="auto"/>
              <w:jc w:val="center"/>
              <w:rPr>
                <w:sz w:val="24"/>
                <w:szCs w:val="24"/>
                <w:lang w:val="en-GB"/>
              </w:rPr>
            </w:pPr>
            <w:r w:rsidRPr="00464A1D">
              <w:rPr>
                <w:sz w:val="24"/>
                <w:szCs w:val="24"/>
                <w:lang w:val="en-GB"/>
              </w:rPr>
              <w:t>2</w:t>
            </w:r>
          </w:p>
        </w:tc>
        <w:tc>
          <w:tcPr>
            <w:tcW w:w="740" w:type="pct"/>
            <w:tcBorders>
              <w:top w:val="nil"/>
              <w:left w:val="nil"/>
              <w:right w:val="nil"/>
            </w:tcBorders>
            <w:noWrap/>
            <w:vAlign w:val="bottom"/>
          </w:tcPr>
          <w:p w14:paraId="25D95ADD" w14:textId="77777777" w:rsidR="00724350" w:rsidRPr="00464A1D" w:rsidRDefault="00724350" w:rsidP="002C2881">
            <w:pPr>
              <w:spacing w:line="360" w:lineRule="auto"/>
              <w:jc w:val="center"/>
              <w:rPr>
                <w:sz w:val="24"/>
                <w:szCs w:val="24"/>
                <w:lang w:val="en-GB"/>
              </w:rPr>
            </w:pPr>
            <w:r w:rsidRPr="00464A1D">
              <w:rPr>
                <w:sz w:val="24"/>
                <w:szCs w:val="24"/>
                <w:lang w:val="en-GB"/>
              </w:rPr>
              <w:t>-490.42</w:t>
            </w:r>
          </w:p>
        </w:tc>
        <w:tc>
          <w:tcPr>
            <w:tcW w:w="740" w:type="pct"/>
            <w:tcBorders>
              <w:top w:val="nil"/>
              <w:left w:val="nil"/>
              <w:right w:val="nil"/>
            </w:tcBorders>
            <w:noWrap/>
            <w:vAlign w:val="bottom"/>
          </w:tcPr>
          <w:p w14:paraId="1E7F84F6" w14:textId="77777777" w:rsidR="00724350" w:rsidRPr="00464A1D" w:rsidRDefault="00724350" w:rsidP="002C2881">
            <w:pPr>
              <w:spacing w:line="360" w:lineRule="auto"/>
              <w:jc w:val="center"/>
              <w:rPr>
                <w:sz w:val="24"/>
                <w:szCs w:val="24"/>
                <w:lang w:val="en-GB"/>
              </w:rPr>
            </w:pPr>
            <w:r w:rsidRPr="00464A1D">
              <w:rPr>
                <w:sz w:val="24"/>
                <w:szCs w:val="24"/>
                <w:lang w:val="en-GB"/>
              </w:rPr>
              <w:t>984.94</w:t>
            </w:r>
          </w:p>
        </w:tc>
        <w:tc>
          <w:tcPr>
            <w:tcW w:w="740" w:type="pct"/>
            <w:tcBorders>
              <w:top w:val="nil"/>
              <w:left w:val="nil"/>
              <w:right w:val="nil"/>
            </w:tcBorders>
            <w:noWrap/>
            <w:vAlign w:val="bottom"/>
          </w:tcPr>
          <w:p w14:paraId="1D1C9F72" w14:textId="77777777" w:rsidR="00724350" w:rsidRPr="00464A1D" w:rsidRDefault="00724350" w:rsidP="002C2881">
            <w:pPr>
              <w:spacing w:line="360" w:lineRule="auto"/>
              <w:jc w:val="center"/>
              <w:rPr>
                <w:sz w:val="24"/>
                <w:szCs w:val="24"/>
                <w:lang w:val="en-GB"/>
              </w:rPr>
            </w:pPr>
            <w:r w:rsidRPr="00464A1D">
              <w:rPr>
                <w:sz w:val="24"/>
                <w:szCs w:val="24"/>
                <w:lang w:val="en-GB"/>
              </w:rPr>
              <w:t>4.54</w:t>
            </w:r>
          </w:p>
        </w:tc>
        <w:tc>
          <w:tcPr>
            <w:tcW w:w="740" w:type="pct"/>
            <w:tcBorders>
              <w:top w:val="nil"/>
              <w:left w:val="nil"/>
              <w:right w:val="nil"/>
            </w:tcBorders>
            <w:noWrap/>
            <w:vAlign w:val="bottom"/>
          </w:tcPr>
          <w:p w14:paraId="6E1D963A" w14:textId="77777777" w:rsidR="00724350" w:rsidRPr="00464A1D" w:rsidRDefault="00724350" w:rsidP="002C2881">
            <w:pPr>
              <w:spacing w:line="360" w:lineRule="auto"/>
              <w:jc w:val="center"/>
              <w:rPr>
                <w:sz w:val="24"/>
                <w:szCs w:val="24"/>
                <w:lang w:val="en-GB"/>
              </w:rPr>
            </w:pPr>
            <w:r w:rsidRPr="00464A1D">
              <w:rPr>
                <w:sz w:val="24"/>
                <w:szCs w:val="24"/>
                <w:lang w:val="en-GB"/>
              </w:rPr>
              <w:t>0.086</w:t>
            </w:r>
          </w:p>
        </w:tc>
      </w:tr>
      <w:tr w:rsidR="00724350" w:rsidRPr="00464A1D" w14:paraId="33591C13" w14:textId="77777777" w:rsidTr="002C2881">
        <w:trPr>
          <w:trHeight w:hRule="exact" w:val="288"/>
          <w:jc w:val="center"/>
        </w:trPr>
        <w:tc>
          <w:tcPr>
            <w:tcW w:w="1301" w:type="pct"/>
            <w:tcBorders>
              <w:top w:val="nil"/>
              <w:left w:val="nil"/>
              <w:bottom w:val="single" w:sz="4" w:space="0" w:color="auto"/>
              <w:right w:val="nil"/>
            </w:tcBorders>
            <w:noWrap/>
            <w:vAlign w:val="bottom"/>
          </w:tcPr>
          <w:p w14:paraId="605FCBCD" w14:textId="77777777" w:rsidR="00724350" w:rsidRPr="00464A1D" w:rsidRDefault="00724350" w:rsidP="002C2881">
            <w:pPr>
              <w:spacing w:line="360" w:lineRule="auto"/>
              <w:rPr>
                <w:sz w:val="24"/>
                <w:szCs w:val="24"/>
                <w:lang w:val="en-GB"/>
              </w:rPr>
            </w:pPr>
            <w:r w:rsidRPr="00464A1D">
              <w:rPr>
                <w:sz w:val="24"/>
                <w:szCs w:val="24"/>
                <w:lang w:val="en-GB"/>
              </w:rPr>
              <w:t>H-norm Key</w:t>
            </w:r>
          </w:p>
        </w:tc>
        <w:tc>
          <w:tcPr>
            <w:tcW w:w="740" w:type="pct"/>
            <w:tcBorders>
              <w:top w:val="nil"/>
              <w:left w:val="nil"/>
              <w:bottom w:val="single" w:sz="4" w:space="0" w:color="auto"/>
              <w:right w:val="nil"/>
            </w:tcBorders>
            <w:noWrap/>
            <w:vAlign w:val="bottom"/>
          </w:tcPr>
          <w:p w14:paraId="561A5309" w14:textId="77777777" w:rsidR="00724350" w:rsidRPr="00464A1D" w:rsidRDefault="00724350" w:rsidP="002C2881">
            <w:pPr>
              <w:spacing w:line="360" w:lineRule="auto"/>
              <w:jc w:val="center"/>
              <w:rPr>
                <w:sz w:val="24"/>
                <w:szCs w:val="24"/>
                <w:lang w:val="en-GB"/>
              </w:rPr>
            </w:pPr>
            <w:r w:rsidRPr="00464A1D">
              <w:rPr>
                <w:sz w:val="24"/>
                <w:szCs w:val="24"/>
                <w:lang w:val="en-GB"/>
              </w:rPr>
              <w:t>1</w:t>
            </w:r>
          </w:p>
        </w:tc>
        <w:tc>
          <w:tcPr>
            <w:tcW w:w="740" w:type="pct"/>
            <w:tcBorders>
              <w:top w:val="nil"/>
              <w:left w:val="nil"/>
              <w:bottom w:val="single" w:sz="4" w:space="0" w:color="auto"/>
              <w:right w:val="nil"/>
            </w:tcBorders>
            <w:noWrap/>
            <w:vAlign w:val="bottom"/>
          </w:tcPr>
          <w:p w14:paraId="4AF06665" w14:textId="77777777" w:rsidR="00724350" w:rsidRPr="00464A1D" w:rsidRDefault="00724350" w:rsidP="002C2881">
            <w:pPr>
              <w:spacing w:line="360" w:lineRule="auto"/>
              <w:jc w:val="center"/>
              <w:rPr>
                <w:sz w:val="24"/>
                <w:szCs w:val="24"/>
                <w:lang w:val="en-GB"/>
              </w:rPr>
            </w:pPr>
            <w:r w:rsidRPr="00464A1D">
              <w:rPr>
                <w:sz w:val="24"/>
                <w:szCs w:val="24"/>
                <w:lang w:val="en-GB"/>
              </w:rPr>
              <w:t>-491.56</w:t>
            </w:r>
          </w:p>
        </w:tc>
        <w:tc>
          <w:tcPr>
            <w:tcW w:w="740" w:type="pct"/>
            <w:tcBorders>
              <w:top w:val="nil"/>
              <w:left w:val="nil"/>
              <w:bottom w:val="single" w:sz="4" w:space="0" w:color="auto"/>
              <w:right w:val="nil"/>
            </w:tcBorders>
            <w:noWrap/>
            <w:vAlign w:val="bottom"/>
          </w:tcPr>
          <w:p w14:paraId="039520A3" w14:textId="77777777" w:rsidR="00724350" w:rsidRPr="00464A1D" w:rsidRDefault="00724350" w:rsidP="002C2881">
            <w:pPr>
              <w:spacing w:line="360" w:lineRule="auto"/>
              <w:jc w:val="center"/>
              <w:rPr>
                <w:sz w:val="24"/>
                <w:szCs w:val="24"/>
                <w:lang w:val="en-GB"/>
              </w:rPr>
            </w:pPr>
            <w:r w:rsidRPr="00464A1D">
              <w:rPr>
                <w:sz w:val="24"/>
                <w:szCs w:val="24"/>
                <w:lang w:val="en-GB"/>
              </w:rPr>
              <w:t>985.16</w:t>
            </w:r>
          </w:p>
        </w:tc>
        <w:tc>
          <w:tcPr>
            <w:tcW w:w="740" w:type="pct"/>
            <w:tcBorders>
              <w:top w:val="nil"/>
              <w:left w:val="nil"/>
              <w:bottom w:val="single" w:sz="4" w:space="0" w:color="auto"/>
              <w:right w:val="nil"/>
            </w:tcBorders>
            <w:noWrap/>
            <w:vAlign w:val="bottom"/>
          </w:tcPr>
          <w:p w14:paraId="0B11CEEE" w14:textId="77777777" w:rsidR="00724350" w:rsidRPr="00464A1D" w:rsidRDefault="00724350" w:rsidP="002C2881">
            <w:pPr>
              <w:spacing w:line="360" w:lineRule="auto"/>
              <w:jc w:val="center"/>
              <w:rPr>
                <w:sz w:val="24"/>
                <w:szCs w:val="24"/>
                <w:lang w:val="en-GB"/>
              </w:rPr>
            </w:pPr>
            <w:r w:rsidRPr="00464A1D">
              <w:rPr>
                <w:sz w:val="24"/>
                <w:szCs w:val="24"/>
                <w:lang w:val="en-GB"/>
              </w:rPr>
              <w:t>4.76</w:t>
            </w:r>
          </w:p>
        </w:tc>
        <w:tc>
          <w:tcPr>
            <w:tcW w:w="740" w:type="pct"/>
            <w:tcBorders>
              <w:top w:val="nil"/>
              <w:left w:val="nil"/>
              <w:bottom w:val="single" w:sz="4" w:space="0" w:color="auto"/>
              <w:right w:val="nil"/>
            </w:tcBorders>
            <w:noWrap/>
            <w:vAlign w:val="bottom"/>
          </w:tcPr>
          <w:p w14:paraId="453C3F67" w14:textId="77777777" w:rsidR="00724350" w:rsidRPr="00464A1D" w:rsidRDefault="00724350" w:rsidP="002C2881">
            <w:pPr>
              <w:spacing w:line="360" w:lineRule="auto"/>
              <w:jc w:val="center"/>
              <w:rPr>
                <w:sz w:val="24"/>
                <w:szCs w:val="24"/>
                <w:lang w:val="en-GB"/>
              </w:rPr>
            </w:pPr>
            <w:r w:rsidRPr="00464A1D">
              <w:rPr>
                <w:sz w:val="24"/>
                <w:szCs w:val="24"/>
                <w:lang w:val="en-GB"/>
              </w:rPr>
              <w:t>0.077</w:t>
            </w:r>
          </w:p>
        </w:tc>
      </w:tr>
    </w:tbl>
    <w:p w14:paraId="7C96CD94" w14:textId="77777777" w:rsidR="00724350" w:rsidRPr="00464A1D" w:rsidRDefault="00724350" w:rsidP="00724350">
      <w:pPr>
        <w:spacing w:line="360" w:lineRule="auto"/>
        <w:rPr>
          <w:sz w:val="24"/>
          <w:szCs w:val="24"/>
          <w:lang w:val="en-GB"/>
        </w:rPr>
      </w:pPr>
    </w:p>
    <w:p w14:paraId="4059AE50" w14:textId="77777777" w:rsidR="00724350" w:rsidRPr="00464A1D" w:rsidRDefault="00724350" w:rsidP="00724350">
      <w:pPr>
        <w:spacing w:line="360" w:lineRule="auto"/>
        <w:rPr>
          <w:sz w:val="24"/>
          <w:szCs w:val="24"/>
          <w:lang w:val="en-GB"/>
        </w:rPr>
      </w:pPr>
    </w:p>
    <w:p w14:paraId="4B80FD2B" w14:textId="77777777" w:rsidR="00724350" w:rsidRPr="00464A1D" w:rsidRDefault="00724350" w:rsidP="00724350">
      <w:pPr>
        <w:widowControl/>
        <w:autoSpaceDE/>
        <w:autoSpaceDN/>
        <w:adjustRightInd/>
        <w:spacing w:line="360" w:lineRule="auto"/>
        <w:rPr>
          <w:rFonts w:eastAsia="Calibri"/>
          <w:b/>
          <w:bCs/>
          <w:sz w:val="24"/>
          <w:szCs w:val="24"/>
          <w:lang w:val="en-GB"/>
        </w:rPr>
      </w:pPr>
      <w:r w:rsidRPr="00464A1D">
        <w:rPr>
          <w:rFonts w:eastAsia="Calibri"/>
          <w:b/>
          <w:bCs/>
          <w:sz w:val="24"/>
          <w:szCs w:val="24"/>
          <w:lang w:val="en-GB"/>
        </w:rPr>
        <w:br w:type="page"/>
      </w:r>
    </w:p>
    <w:p w14:paraId="2E7D26C0" w14:textId="77777777" w:rsidR="00724350" w:rsidRPr="00AB1E74" w:rsidRDefault="00724350" w:rsidP="00724350">
      <w:pPr>
        <w:pStyle w:val="Heading1"/>
        <w:rPr>
          <w:rFonts w:eastAsia="Calibri"/>
          <w:lang w:val="en-GB"/>
        </w:rPr>
      </w:pPr>
      <w:r w:rsidRPr="00AB1E74">
        <w:rPr>
          <w:rFonts w:eastAsia="Calibri"/>
          <w:lang w:val="en-GB"/>
        </w:rPr>
        <w:lastRenderedPageBreak/>
        <w:t>Appendix S4. Occupancy model evaluation</w:t>
      </w:r>
      <w:r>
        <w:rPr>
          <w:rFonts w:eastAsia="Calibri"/>
          <w:lang w:val="en-GB"/>
        </w:rPr>
        <w:t>.</w:t>
      </w:r>
    </w:p>
    <w:p w14:paraId="12445C35" w14:textId="77777777" w:rsidR="00724350" w:rsidRPr="00464A1D" w:rsidRDefault="00724350" w:rsidP="00724350">
      <w:pPr>
        <w:widowControl/>
        <w:autoSpaceDE/>
        <w:autoSpaceDN/>
        <w:adjustRightInd/>
        <w:spacing w:line="360" w:lineRule="auto"/>
        <w:rPr>
          <w:sz w:val="24"/>
          <w:szCs w:val="24"/>
          <w:lang w:val="en-GB"/>
        </w:rPr>
      </w:pPr>
      <w:r w:rsidRPr="00464A1D">
        <w:rPr>
          <w:rFonts w:eastAsia="Calibri"/>
          <w:sz w:val="24"/>
          <w:szCs w:val="24"/>
          <w:lang w:val="en-GB"/>
        </w:rPr>
        <w:t xml:space="preserve">Selection of models describing the relation of reed-warbler occurrence to site and sampling covariates. </w:t>
      </w:r>
      <w:r w:rsidRPr="00464A1D">
        <w:rPr>
          <w:sz w:val="24"/>
          <w:szCs w:val="24"/>
          <w:lang w:val="en-GB"/>
        </w:rPr>
        <w:t>Covariates are indicated in parentheses following the occupancy symbol “</w:t>
      </w:r>
      <w:r w:rsidRPr="00464A1D">
        <w:rPr>
          <w:i/>
          <w:iCs/>
          <w:sz w:val="24"/>
          <w:szCs w:val="24"/>
          <w:lang w:val="en-GB"/>
        </w:rPr>
        <w:t>ψ</w:t>
      </w:r>
      <w:r w:rsidRPr="00464A1D">
        <w:rPr>
          <w:sz w:val="24"/>
          <w:szCs w:val="24"/>
          <w:lang w:val="en-GB"/>
        </w:rPr>
        <w:t>” and detection probability symbol “</w:t>
      </w:r>
      <w:r w:rsidRPr="00464A1D">
        <w:rPr>
          <w:i/>
          <w:sz w:val="24"/>
          <w:szCs w:val="24"/>
          <w:lang w:val="en-GB"/>
        </w:rPr>
        <w:t>p</w:t>
      </w:r>
      <w:r w:rsidRPr="00464A1D">
        <w:rPr>
          <w:sz w:val="24"/>
          <w:szCs w:val="24"/>
          <w:lang w:val="en-GB"/>
        </w:rPr>
        <w:t xml:space="preserve">”. Site covariates “veg”, “understory”, “canhgt”, “cancov”, and “time”, refer to vegetation type, understory closure/openness, canopy height, and canopy cover, respectively. The sampling covariate “time” indicates the time of day (morning or afternoon) at which the observation was made. </w:t>
      </w:r>
      <w:r w:rsidRPr="00464A1D">
        <w:rPr>
          <w:rFonts w:eastAsia="Calibri"/>
          <w:sz w:val="24"/>
          <w:szCs w:val="24"/>
          <w:lang w:val="en-GB"/>
        </w:rPr>
        <w:t xml:space="preserve">The term “global” refers to a model that includes all covariates. Column </w:t>
      </w:r>
      <w:r w:rsidRPr="00464A1D">
        <w:rPr>
          <w:rFonts w:eastAsia="Calibri"/>
          <w:i/>
          <w:iCs/>
          <w:sz w:val="24"/>
          <w:szCs w:val="24"/>
          <w:lang w:val="en-GB"/>
        </w:rPr>
        <w:t>k</w:t>
      </w:r>
      <w:r w:rsidRPr="00464A1D">
        <w:rPr>
          <w:rFonts w:eastAsia="Calibri"/>
          <w:sz w:val="24"/>
          <w:szCs w:val="24"/>
          <w:lang w:val="en-GB"/>
        </w:rPr>
        <w:t xml:space="preserve"> is the number of model parameters; </w:t>
      </w:r>
      <w:r w:rsidRPr="00464A1D">
        <w:rPr>
          <w:rFonts w:eastAsia="Calibri"/>
          <w:i/>
          <w:iCs/>
          <w:sz w:val="24"/>
          <w:szCs w:val="24"/>
          <w:lang w:val="en-GB"/>
        </w:rPr>
        <w:t>L</w:t>
      </w:r>
      <w:r w:rsidRPr="00464A1D">
        <w:rPr>
          <w:rFonts w:eastAsia="Calibri"/>
          <w:sz w:val="24"/>
          <w:szCs w:val="24"/>
          <w:lang w:val="en-GB"/>
        </w:rPr>
        <w:t xml:space="preserve"> is the -2*log likelihood; ΔQAIC</w:t>
      </w:r>
      <w:r w:rsidRPr="00464A1D">
        <w:rPr>
          <w:rFonts w:eastAsia="Calibri"/>
          <w:sz w:val="24"/>
          <w:szCs w:val="24"/>
          <w:vertAlign w:val="subscript"/>
          <w:lang w:val="en-GB"/>
        </w:rPr>
        <w:t>c</w:t>
      </w:r>
      <w:r w:rsidRPr="00464A1D">
        <w:rPr>
          <w:rFonts w:eastAsia="Calibri"/>
          <w:sz w:val="24"/>
          <w:szCs w:val="24"/>
          <w:lang w:val="en-GB"/>
        </w:rPr>
        <w:t xml:space="preserve"> is the relative difference in QAIC</w:t>
      </w:r>
      <w:r w:rsidRPr="00464A1D">
        <w:rPr>
          <w:rFonts w:eastAsia="Calibri"/>
          <w:sz w:val="24"/>
          <w:szCs w:val="24"/>
          <w:vertAlign w:val="subscript"/>
          <w:lang w:val="en-GB"/>
        </w:rPr>
        <w:t>c</w:t>
      </w:r>
      <w:r w:rsidRPr="00464A1D">
        <w:rPr>
          <w:rFonts w:eastAsia="Calibri"/>
          <w:sz w:val="24"/>
          <w:szCs w:val="24"/>
          <w:lang w:val="en-GB"/>
        </w:rPr>
        <w:t xml:space="preserve"> values from the model with the smallest value; </w:t>
      </w:r>
      <w:r w:rsidRPr="00464A1D">
        <w:rPr>
          <w:rFonts w:eastAsia="Calibri"/>
          <w:i/>
          <w:iCs/>
          <w:sz w:val="24"/>
          <w:szCs w:val="24"/>
          <w:lang w:val="en-GB"/>
        </w:rPr>
        <w:t>w</w:t>
      </w:r>
      <w:r w:rsidRPr="00464A1D">
        <w:rPr>
          <w:rFonts w:eastAsia="Calibri"/>
          <w:sz w:val="24"/>
          <w:szCs w:val="24"/>
          <w:lang w:val="en-GB"/>
        </w:rPr>
        <w:t xml:space="preserve"> is the QAIC</w:t>
      </w:r>
      <w:r w:rsidRPr="00464A1D">
        <w:rPr>
          <w:rFonts w:eastAsia="Calibri"/>
          <w:sz w:val="24"/>
          <w:szCs w:val="24"/>
          <w:vertAlign w:val="subscript"/>
          <w:lang w:val="en-GB"/>
        </w:rPr>
        <w:t>c</w:t>
      </w:r>
      <w:r w:rsidRPr="00464A1D">
        <w:rPr>
          <w:rFonts w:eastAsia="Calibri"/>
          <w:sz w:val="24"/>
          <w:szCs w:val="24"/>
          <w:lang w:val="en-GB"/>
        </w:rPr>
        <w:t xml:space="preserve"> model weight; ĉ is the estimated average over-dispersion parameter; and</w:t>
      </w:r>
      <w:r w:rsidRPr="00464A1D">
        <w:rPr>
          <w:rFonts w:eastAsia="Calibri"/>
          <w:i/>
          <w:iCs/>
          <w:sz w:val="24"/>
          <w:szCs w:val="24"/>
          <w:lang w:val="en-GB"/>
        </w:rPr>
        <w:t xml:space="preserve"> Χ</w:t>
      </w:r>
      <w:r w:rsidRPr="00464A1D">
        <w:rPr>
          <w:rFonts w:eastAsia="Calibri"/>
          <w:sz w:val="24"/>
          <w:szCs w:val="24"/>
          <w:vertAlign w:val="superscript"/>
          <w:lang w:val="en-GB"/>
        </w:rPr>
        <w:t>2</w:t>
      </w:r>
      <w:r w:rsidRPr="00464A1D">
        <w:rPr>
          <w:rFonts w:eastAsia="Calibri"/>
          <w:sz w:val="24"/>
          <w:szCs w:val="24"/>
          <w:lang w:val="en-GB"/>
        </w:rPr>
        <w:t xml:space="preserve"> </w:t>
      </w:r>
      <w:r w:rsidRPr="00464A1D">
        <w:rPr>
          <w:rFonts w:eastAsia="Calibri"/>
          <w:i/>
          <w:iCs/>
          <w:sz w:val="24"/>
          <w:szCs w:val="24"/>
          <w:lang w:val="en-GB"/>
        </w:rPr>
        <w:t>p</w:t>
      </w:r>
      <w:r w:rsidRPr="00464A1D">
        <w:rPr>
          <w:rFonts w:eastAsia="Calibri"/>
          <w:sz w:val="24"/>
          <w:szCs w:val="24"/>
          <w:lang w:val="en-GB"/>
        </w:rPr>
        <w:t xml:space="preserve">-value is the probability of observing a </w:t>
      </w:r>
      <w:r w:rsidRPr="00464A1D">
        <w:rPr>
          <w:rFonts w:eastAsia="Calibri"/>
          <w:i/>
          <w:iCs/>
          <w:sz w:val="24"/>
          <w:szCs w:val="24"/>
          <w:lang w:val="en-GB"/>
        </w:rPr>
        <w:t>Χ</w:t>
      </w:r>
      <w:r w:rsidRPr="00464A1D">
        <w:rPr>
          <w:rFonts w:eastAsia="Calibri"/>
          <w:sz w:val="24"/>
          <w:szCs w:val="24"/>
          <w:vertAlign w:val="superscript"/>
          <w:lang w:val="en-GB"/>
        </w:rPr>
        <w:t>2</w:t>
      </w:r>
      <w:r w:rsidRPr="00464A1D">
        <w:rPr>
          <w:rFonts w:eastAsia="Calibri"/>
          <w:sz w:val="24"/>
          <w:szCs w:val="24"/>
          <w:lang w:val="en-GB"/>
        </w:rPr>
        <w:t xml:space="preserve"> greater than or equal to the test statistic based upon 999 parametric bootstraps. Shaded rows are top-ranked models for which occupancy estimates are provided in Table 2.</w:t>
      </w:r>
    </w:p>
    <w:tbl>
      <w:tblPr>
        <w:tblW w:w="9696" w:type="dxa"/>
        <w:tblCellMar>
          <w:left w:w="0" w:type="dxa"/>
          <w:right w:w="0" w:type="dxa"/>
        </w:tblCellMar>
        <w:tblLook w:val="0000" w:firstRow="0" w:lastRow="0" w:firstColumn="0" w:lastColumn="0" w:noHBand="0" w:noVBand="0"/>
      </w:tblPr>
      <w:tblGrid>
        <w:gridCol w:w="3758"/>
        <w:gridCol w:w="203"/>
        <w:gridCol w:w="336"/>
        <w:gridCol w:w="10"/>
        <w:gridCol w:w="926"/>
        <w:gridCol w:w="76"/>
        <w:gridCol w:w="1198"/>
        <w:gridCol w:w="945"/>
        <w:gridCol w:w="71"/>
        <w:gridCol w:w="846"/>
        <w:gridCol w:w="33"/>
        <w:gridCol w:w="1375"/>
        <w:gridCol w:w="24"/>
      </w:tblGrid>
      <w:tr w:rsidR="00724350" w:rsidRPr="00464A1D" w14:paraId="75D9D74A" w14:textId="77777777" w:rsidTr="002C2881">
        <w:trPr>
          <w:trHeight w:hRule="exact" w:val="259"/>
        </w:trPr>
        <w:tc>
          <w:tcPr>
            <w:tcW w:w="3742" w:type="dxa"/>
            <w:tcBorders>
              <w:top w:val="single" w:sz="4" w:space="0" w:color="auto"/>
              <w:left w:val="nil"/>
              <w:bottom w:val="single" w:sz="4" w:space="0" w:color="auto"/>
              <w:right w:val="nil"/>
            </w:tcBorders>
            <w:noWrap/>
            <w:vAlign w:val="center"/>
          </w:tcPr>
          <w:p w14:paraId="63922987" w14:textId="77777777" w:rsidR="00724350" w:rsidRPr="00464A1D" w:rsidRDefault="00724350" w:rsidP="002C2881">
            <w:pPr>
              <w:spacing w:line="360" w:lineRule="auto"/>
              <w:ind w:right="136"/>
              <w:jc w:val="center"/>
              <w:rPr>
                <w:rFonts w:eastAsia="Calibri"/>
                <w:sz w:val="24"/>
                <w:szCs w:val="24"/>
                <w:lang w:val="en-GB"/>
              </w:rPr>
            </w:pPr>
            <w:r w:rsidRPr="00464A1D">
              <w:rPr>
                <w:rFonts w:eastAsia="Calibri"/>
                <w:sz w:val="24"/>
                <w:szCs w:val="24"/>
                <w:lang w:val="en-GB"/>
              </w:rPr>
              <w:t>Model</w:t>
            </w:r>
          </w:p>
        </w:tc>
        <w:tc>
          <w:tcPr>
            <w:tcW w:w="555" w:type="dxa"/>
            <w:gridSpan w:val="2"/>
            <w:tcBorders>
              <w:top w:val="single" w:sz="4" w:space="0" w:color="auto"/>
              <w:left w:val="nil"/>
              <w:bottom w:val="single" w:sz="4" w:space="0" w:color="auto"/>
              <w:right w:val="nil"/>
            </w:tcBorders>
            <w:vAlign w:val="center"/>
          </w:tcPr>
          <w:p w14:paraId="79501CCC" w14:textId="77777777" w:rsidR="00724350" w:rsidRPr="00464A1D" w:rsidRDefault="00724350" w:rsidP="002C2881">
            <w:pPr>
              <w:spacing w:line="360" w:lineRule="auto"/>
              <w:ind w:left="-12" w:right="-196"/>
              <w:jc w:val="center"/>
              <w:rPr>
                <w:rFonts w:eastAsia="Calibri"/>
                <w:sz w:val="24"/>
                <w:szCs w:val="24"/>
                <w:lang w:val="en-GB"/>
              </w:rPr>
            </w:pPr>
            <w:r w:rsidRPr="00464A1D">
              <w:rPr>
                <w:rFonts w:eastAsia="Calibri"/>
                <w:i/>
                <w:iCs/>
                <w:sz w:val="24"/>
                <w:szCs w:val="24"/>
                <w:lang w:val="en-GB"/>
              </w:rPr>
              <w:t>k</w:t>
            </w:r>
          </w:p>
        </w:tc>
        <w:tc>
          <w:tcPr>
            <w:tcW w:w="936" w:type="dxa"/>
            <w:gridSpan w:val="2"/>
            <w:tcBorders>
              <w:top w:val="single" w:sz="4" w:space="0" w:color="auto"/>
              <w:left w:val="nil"/>
              <w:bottom w:val="single" w:sz="4" w:space="0" w:color="auto"/>
              <w:right w:val="nil"/>
            </w:tcBorders>
            <w:vAlign w:val="center"/>
          </w:tcPr>
          <w:p w14:paraId="116DA883" w14:textId="77777777" w:rsidR="00724350" w:rsidRPr="00464A1D" w:rsidRDefault="00724350" w:rsidP="002C2881">
            <w:pPr>
              <w:spacing w:line="360" w:lineRule="auto"/>
              <w:ind w:left="186" w:right="-42"/>
              <w:jc w:val="center"/>
              <w:rPr>
                <w:rFonts w:eastAsia="Calibri"/>
                <w:sz w:val="24"/>
                <w:szCs w:val="24"/>
                <w:lang w:val="en-GB"/>
              </w:rPr>
            </w:pPr>
            <w:r w:rsidRPr="00464A1D">
              <w:rPr>
                <w:rFonts w:eastAsia="Calibri"/>
                <w:i/>
                <w:iCs/>
                <w:sz w:val="24"/>
                <w:szCs w:val="24"/>
                <w:lang w:val="en-GB"/>
              </w:rPr>
              <w:t>L</w:t>
            </w:r>
          </w:p>
        </w:tc>
        <w:tc>
          <w:tcPr>
            <w:tcW w:w="1224" w:type="dxa"/>
            <w:gridSpan w:val="2"/>
            <w:tcBorders>
              <w:top w:val="single" w:sz="4" w:space="0" w:color="auto"/>
              <w:left w:val="nil"/>
              <w:bottom w:val="single" w:sz="4" w:space="0" w:color="auto"/>
              <w:right w:val="nil"/>
            </w:tcBorders>
            <w:noWrap/>
            <w:vAlign w:val="center"/>
          </w:tcPr>
          <w:p w14:paraId="36E65A5E" w14:textId="77777777" w:rsidR="00724350" w:rsidRPr="00464A1D" w:rsidRDefault="00724350" w:rsidP="002C2881">
            <w:pPr>
              <w:spacing w:line="360" w:lineRule="auto"/>
              <w:ind w:left="347" w:right="-131"/>
              <w:rPr>
                <w:rFonts w:eastAsia="Calibri"/>
                <w:sz w:val="24"/>
                <w:szCs w:val="24"/>
                <w:lang w:val="en-GB"/>
              </w:rPr>
            </w:pPr>
            <w:r w:rsidRPr="00464A1D">
              <w:rPr>
                <w:rFonts w:eastAsia="Calibri"/>
                <w:sz w:val="24"/>
                <w:szCs w:val="24"/>
                <w:lang w:val="en-GB"/>
              </w:rPr>
              <w:t>ΔQAICc</w:t>
            </w:r>
          </w:p>
        </w:tc>
        <w:tc>
          <w:tcPr>
            <w:tcW w:w="929" w:type="dxa"/>
            <w:tcBorders>
              <w:top w:val="single" w:sz="4" w:space="0" w:color="auto"/>
              <w:left w:val="nil"/>
              <w:bottom w:val="single" w:sz="4" w:space="0" w:color="auto"/>
              <w:right w:val="nil"/>
            </w:tcBorders>
            <w:noWrap/>
            <w:vAlign w:val="center"/>
          </w:tcPr>
          <w:p w14:paraId="3E25AB81" w14:textId="77777777" w:rsidR="00724350" w:rsidRPr="00464A1D" w:rsidRDefault="00724350" w:rsidP="002C2881">
            <w:pPr>
              <w:spacing w:line="360" w:lineRule="auto"/>
              <w:ind w:left="-246" w:right="272"/>
              <w:jc w:val="right"/>
              <w:rPr>
                <w:rFonts w:eastAsia="Calibri"/>
                <w:sz w:val="24"/>
                <w:szCs w:val="24"/>
                <w:lang w:val="en-GB"/>
              </w:rPr>
            </w:pPr>
            <w:r w:rsidRPr="00464A1D">
              <w:rPr>
                <w:rFonts w:eastAsia="Calibri"/>
                <w:i/>
                <w:iCs/>
                <w:sz w:val="24"/>
                <w:szCs w:val="24"/>
                <w:lang w:val="en-GB"/>
              </w:rPr>
              <w:t>w</w:t>
            </w:r>
          </w:p>
        </w:tc>
        <w:tc>
          <w:tcPr>
            <w:tcW w:w="901" w:type="dxa"/>
            <w:gridSpan w:val="2"/>
            <w:tcBorders>
              <w:top w:val="single" w:sz="4" w:space="0" w:color="auto"/>
              <w:left w:val="nil"/>
              <w:bottom w:val="single" w:sz="4" w:space="0" w:color="auto"/>
              <w:right w:val="nil"/>
            </w:tcBorders>
            <w:noWrap/>
            <w:vAlign w:val="center"/>
          </w:tcPr>
          <w:p w14:paraId="46314828" w14:textId="77777777" w:rsidR="00724350" w:rsidRPr="00464A1D" w:rsidRDefault="00724350" w:rsidP="002C2881">
            <w:pPr>
              <w:spacing w:line="360" w:lineRule="auto"/>
              <w:ind w:left="12" w:right="-191"/>
              <w:jc w:val="center"/>
              <w:rPr>
                <w:rFonts w:eastAsia="Calibri"/>
                <w:sz w:val="24"/>
                <w:szCs w:val="24"/>
                <w:lang w:val="en-GB"/>
              </w:rPr>
            </w:pPr>
            <w:r w:rsidRPr="00464A1D">
              <w:rPr>
                <w:rFonts w:eastAsia="Calibri"/>
                <w:sz w:val="24"/>
                <w:szCs w:val="24"/>
                <w:lang w:val="en-GB"/>
              </w:rPr>
              <w:t>ĉ</w:t>
            </w:r>
          </w:p>
        </w:tc>
        <w:tc>
          <w:tcPr>
            <w:tcW w:w="1409" w:type="dxa"/>
            <w:gridSpan w:val="3"/>
            <w:tcBorders>
              <w:top w:val="single" w:sz="4" w:space="0" w:color="auto"/>
              <w:left w:val="nil"/>
              <w:bottom w:val="single" w:sz="4" w:space="0" w:color="auto"/>
              <w:right w:val="nil"/>
            </w:tcBorders>
            <w:noWrap/>
            <w:vAlign w:val="center"/>
          </w:tcPr>
          <w:p w14:paraId="6BAA0DA1" w14:textId="77777777" w:rsidR="00724350" w:rsidRPr="00464A1D" w:rsidRDefault="00724350" w:rsidP="002C2881">
            <w:pPr>
              <w:spacing w:line="360" w:lineRule="auto"/>
              <w:ind w:left="312" w:right="-10"/>
              <w:rPr>
                <w:rFonts w:eastAsia="Calibri"/>
                <w:sz w:val="24"/>
                <w:szCs w:val="24"/>
                <w:lang w:val="en-GB"/>
              </w:rPr>
            </w:pPr>
            <w:r w:rsidRPr="00464A1D">
              <w:rPr>
                <w:rFonts w:eastAsia="Calibri"/>
                <w:i/>
                <w:iCs/>
                <w:sz w:val="24"/>
                <w:szCs w:val="24"/>
                <w:lang w:val="en-GB"/>
              </w:rPr>
              <w:t>Χ</w:t>
            </w:r>
            <w:r w:rsidRPr="00464A1D">
              <w:rPr>
                <w:rFonts w:eastAsia="Calibri"/>
                <w:sz w:val="24"/>
                <w:szCs w:val="24"/>
                <w:vertAlign w:val="superscript"/>
                <w:lang w:val="en-GB"/>
              </w:rPr>
              <w:t>2</w:t>
            </w:r>
            <w:r w:rsidRPr="00464A1D">
              <w:rPr>
                <w:rFonts w:eastAsia="Calibri"/>
                <w:sz w:val="24"/>
                <w:szCs w:val="24"/>
                <w:lang w:val="en-GB"/>
              </w:rPr>
              <w:t xml:space="preserve"> p-value</w:t>
            </w:r>
          </w:p>
        </w:tc>
      </w:tr>
      <w:tr w:rsidR="00724350" w:rsidRPr="00464A1D" w14:paraId="33CAB84A"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shd w:val="clear" w:color="auto" w:fill="EEECE1"/>
            <w:noWrap/>
            <w:vAlign w:val="bottom"/>
          </w:tcPr>
          <w:p w14:paraId="41253130"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(canhgt-veg)</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shd w:val="clear" w:color="auto" w:fill="EEECE1"/>
            <w:noWrap/>
            <w:vAlign w:val="bottom"/>
          </w:tcPr>
          <w:p w14:paraId="4ADCC94A"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6</w:t>
            </w:r>
          </w:p>
        </w:tc>
        <w:tc>
          <w:tcPr>
            <w:tcW w:w="1002" w:type="dxa"/>
            <w:gridSpan w:val="2"/>
            <w:tcBorders>
              <w:top w:val="nil"/>
              <w:left w:val="nil"/>
              <w:bottom w:val="nil"/>
              <w:right w:val="nil"/>
            </w:tcBorders>
            <w:shd w:val="clear" w:color="auto" w:fill="EEECE1"/>
            <w:noWrap/>
            <w:vAlign w:val="bottom"/>
          </w:tcPr>
          <w:p w14:paraId="13230755"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111.12</w:t>
            </w:r>
          </w:p>
        </w:tc>
        <w:tc>
          <w:tcPr>
            <w:tcW w:w="1148" w:type="dxa"/>
            <w:tcBorders>
              <w:top w:val="nil"/>
              <w:left w:val="nil"/>
              <w:bottom w:val="nil"/>
              <w:right w:val="nil"/>
            </w:tcBorders>
            <w:shd w:val="clear" w:color="auto" w:fill="EEECE1"/>
            <w:noWrap/>
            <w:vAlign w:val="bottom"/>
          </w:tcPr>
          <w:p w14:paraId="41DD0D7D"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0.0</w:t>
            </w:r>
          </w:p>
        </w:tc>
        <w:tc>
          <w:tcPr>
            <w:tcW w:w="995" w:type="dxa"/>
            <w:gridSpan w:val="2"/>
            <w:tcBorders>
              <w:top w:val="nil"/>
              <w:left w:val="nil"/>
              <w:bottom w:val="nil"/>
              <w:right w:val="nil"/>
            </w:tcBorders>
            <w:shd w:val="clear" w:color="auto" w:fill="EEECE1"/>
            <w:noWrap/>
            <w:vAlign w:val="bottom"/>
          </w:tcPr>
          <w:p w14:paraId="585B446F"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0.74</w:t>
            </w:r>
          </w:p>
        </w:tc>
        <w:tc>
          <w:tcPr>
            <w:tcW w:w="879" w:type="dxa"/>
            <w:gridSpan w:val="2"/>
            <w:tcBorders>
              <w:top w:val="nil"/>
              <w:left w:val="nil"/>
              <w:bottom w:val="nil"/>
              <w:right w:val="nil"/>
            </w:tcBorders>
            <w:shd w:val="clear" w:color="auto" w:fill="EEECE1"/>
            <w:noWrap/>
            <w:vAlign w:val="bottom"/>
          </w:tcPr>
          <w:p w14:paraId="405D2FDD"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1.406</w:t>
            </w:r>
          </w:p>
        </w:tc>
        <w:tc>
          <w:tcPr>
            <w:tcW w:w="1323" w:type="dxa"/>
            <w:tcBorders>
              <w:top w:val="nil"/>
              <w:left w:val="nil"/>
              <w:bottom w:val="nil"/>
              <w:right w:val="nil"/>
            </w:tcBorders>
            <w:shd w:val="clear" w:color="auto" w:fill="EEECE1"/>
            <w:noWrap/>
            <w:vAlign w:val="bottom"/>
          </w:tcPr>
          <w:p w14:paraId="52020D72"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0.139</w:t>
            </w:r>
          </w:p>
        </w:tc>
      </w:tr>
      <w:tr w:rsidR="00724350" w:rsidRPr="00464A1D" w14:paraId="2C98CC52"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shd w:val="clear" w:color="auto" w:fill="EEECE1"/>
            <w:noWrap/>
            <w:vAlign w:val="bottom"/>
          </w:tcPr>
          <w:p w14:paraId="030CBB9D"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(veg)</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shd w:val="clear" w:color="auto" w:fill="EEECE1"/>
            <w:noWrap/>
            <w:vAlign w:val="bottom"/>
          </w:tcPr>
          <w:p w14:paraId="1A862983"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5</w:t>
            </w:r>
          </w:p>
        </w:tc>
        <w:tc>
          <w:tcPr>
            <w:tcW w:w="1002" w:type="dxa"/>
            <w:gridSpan w:val="2"/>
            <w:tcBorders>
              <w:top w:val="nil"/>
              <w:left w:val="nil"/>
              <w:bottom w:val="nil"/>
              <w:right w:val="nil"/>
            </w:tcBorders>
            <w:shd w:val="clear" w:color="auto" w:fill="EEECE1"/>
            <w:noWrap/>
            <w:vAlign w:val="bottom"/>
          </w:tcPr>
          <w:p w14:paraId="27F35844"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111.86</w:t>
            </w:r>
          </w:p>
        </w:tc>
        <w:tc>
          <w:tcPr>
            <w:tcW w:w="1148" w:type="dxa"/>
            <w:tcBorders>
              <w:top w:val="nil"/>
              <w:left w:val="nil"/>
              <w:bottom w:val="nil"/>
              <w:right w:val="nil"/>
            </w:tcBorders>
            <w:shd w:val="clear" w:color="auto" w:fill="EEECE1"/>
            <w:noWrap/>
            <w:vAlign w:val="bottom"/>
          </w:tcPr>
          <w:p w14:paraId="3D8DF2BC"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2.7</w:t>
            </w:r>
          </w:p>
        </w:tc>
        <w:tc>
          <w:tcPr>
            <w:tcW w:w="995" w:type="dxa"/>
            <w:gridSpan w:val="2"/>
            <w:tcBorders>
              <w:top w:val="nil"/>
              <w:left w:val="nil"/>
              <w:bottom w:val="nil"/>
              <w:right w:val="nil"/>
            </w:tcBorders>
            <w:shd w:val="clear" w:color="auto" w:fill="EEECE1"/>
            <w:noWrap/>
            <w:vAlign w:val="bottom"/>
          </w:tcPr>
          <w:p w14:paraId="09A5DB76"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0.19</w:t>
            </w:r>
          </w:p>
        </w:tc>
        <w:tc>
          <w:tcPr>
            <w:tcW w:w="879" w:type="dxa"/>
            <w:gridSpan w:val="2"/>
            <w:tcBorders>
              <w:top w:val="nil"/>
              <w:left w:val="nil"/>
              <w:bottom w:val="nil"/>
              <w:right w:val="nil"/>
            </w:tcBorders>
            <w:shd w:val="clear" w:color="auto" w:fill="EEECE1"/>
            <w:noWrap/>
            <w:vAlign w:val="bottom"/>
          </w:tcPr>
          <w:p w14:paraId="3AE0E415"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1.332</w:t>
            </w:r>
          </w:p>
        </w:tc>
        <w:tc>
          <w:tcPr>
            <w:tcW w:w="1323" w:type="dxa"/>
            <w:tcBorders>
              <w:top w:val="nil"/>
              <w:left w:val="nil"/>
              <w:bottom w:val="nil"/>
              <w:right w:val="nil"/>
            </w:tcBorders>
            <w:shd w:val="clear" w:color="auto" w:fill="EEECE1"/>
            <w:noWrap/>
            <w:vAlign w:val="bottom"/>
          </w:tcPr>
          <w:p w14:paraId="609AC588"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0.139</w:t>
            </w:r>
          </w:p>
        </w:tc>
      </w:tr>
      <w:tr w:rsidR="00724350" w:rsidRPr="00464A1D" w14:paraId="3288CBBB"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7CE33E6D"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(global)</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noWrap/>
            <w:vAlign w:val="bottom"/>
          </w:tcPr>
          <w:p w14:paraId="34DED73B"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8</w:t>
            </w:r>
          </w:p>
        </w:tc>
        <w:tc>
          <w:tcPr>
            <w:tcW w:w="1002" w:type="dxa"/>
            <w:gridSpan w:val="2"/>
            <w:tcBorders>
              <w:top w:val="nil"/>
              <w:left w:val="nil"/>
              <w:bottom w:val="nil"/>
              <w:right w:val="nil"/>
            </w:tcBorders>
            <w:noWrap/>
            <w:vAlign w:val="bottom"/>
          </w:tcPr>
          <w:p w14:paraId="63F3C12E"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100.74</w:t>
            </w:r>
          </w:p>
        </w:tc>
        <w:tc>
          <w:tcPr>
            <w:tcW w:w="1148" w:type="dxa"/>
            <w:tcBorders>
              <w:top w:val="nil"/>
              <w:left w:val="nil"/>
              <w:bottom w:val="nil"/>
              <w:right w:val="nil"/>
            </w:tcBorders>
            <w:noWrap/>
            <w:vAlign w:val="bottom"/>
          </w:tcPr>
          <w:p w14:paraId="1946FE3F"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6.0</w:t>
            </w:r>
          </w:p>
        </w:tc>
        <w:tc>
          <w:tcPr>
            <w:tcW w:w="995" w:type="dxa"/>
            <w:gridSpan w:val="2"/>
            <w:tcBorders>
              <w:top w:val="nil"/>
              <w:left w:val="nil"/>
              <w:bottom w:val="nil"/>
              <w:right w:val="nil"/>
            </w:tcBorders>
            <w:noWrap/>
            <w:vAlign w:val="bottom"/>
          </w:tcPr>
          <w:p w14:paraId="53946604"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0.04</w:t>
            </w:r>
          </w:p>
        </w:tc>
        <w:tc>
          <w:tcPr>
            <w:tcW w:w="879" w:type="dxa"/>
            <w:gridSpan w:val="2"/>
            <w:tcBorders>
              <w:top w:val="nil"/>
              <w:left w:val="nil"/>
              <w:bottom w:val="nil"/>
              <w:right w:val="nil"/>
            </w:tcBorders>
            <w:noWrap/>
            <w:vAlign w:val="bottom"/>
          </w:tcPr>
          <w:p w14:paraId="7F1A8AF4"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1.252</w:t>
            </w:r>
          </w:p>
        </w:tc>
        <w:tc>
          <w:tcPr>
            <w:tcW w:w="1323" w:type="dxa"/>
            <w:tcBorders>
              <w:top w:val="nil"/>
              <w:left w:val="nil"/>
              <w:bottom w:val="nil"/>
              <w:right w:val="nil"/>
            </w:tcBorders>
            <w:noWrap/>
            <w:vAlign w:val="bottom"/>
          </w:tcPr>
          <w:p w14:paraId="3851BB3C"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0.198</w:t>
            </w:r>
          </w:p>
        </w:tc>
      </w:tr>
      <w:tr w:rsidR="00724350" w:rsidRPr="00464A1D" w14:paraId="62014330"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44FCA418"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(veg)</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nil"/>
              <w:right w:val="nil"/>
            </w:tcBorders>
            <w:noWrap/>
            <w:vAlign w:val="bottom"/>
          </w:tcPr>
          <w:p w14:paraId="2B2FFA6C"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4</w:t>
            </w:r>
          </w:p>
        </w:tc>
        <w:tc>
          <w:tcPr>
            <w:tcW w:w="1002" w:type="dxa"/>
            <w:gridSpan w:val="2"/>
            <w:tcBorders>
              <w:top w:val="nil"/>
              <w:left w:val="nil"/>
              <w:bottom w:val="nil"/>
              <w:right w:val="nil"/>
            </w:tcBorders>
            <w:noWrap/>
            <w:vAlign w:val="bottom"/>
          </w:tcPr>
          <w:p w14:paraId="6AA6C292"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112.66</w:t>
            </w:r>
          </w:p>
        </w:tc>
        <w:tc>
          <w:tcPr>
            <w:tcW w:w="1148" w:type="dxa"/>
            <w:tcBorders>
              <w:top w:val="nil"/>
              <w:left w:val="nil"/>
              <w:bottom w:val="nil"/>
              <w:right w:val="nil"/>
            </w:tcBorders>
            <w:noWrap/>
            <w:vAlign w:val="bottom"/>
          </w:tcPr>
          <w:p w14:paraId="1A8343DE"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7.7</w:t>
            </w:r>
          </w:p>
        </w:tc>
        <w:tc>
          <w:tcPr>
            <w:tcW w:w="995" w:type="dxa"/>
            <w:gridSpan w:val="2"/>
            <w:tcBorders>
              <w:top w:val="nil"/>
              <w:left w:val="nil"/>
              <w:bottom w:val="nil"/>
              <w:right w:val="nil"/>
            </w:tcBorders>
            <w:noWrap/>
            <w:vAlign w:val="bottom"/>
          </w:tcPr>
          <w:p w14:paraId="38CF538C"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0.02</w:t>
            </w:r>
          </w:p>
        </w:tc>
        <w:tc>
          <w:tcPr>
            <w:tcW w:w="879" w:type="dxa"/>
            <w:gridSpan w:val="2"/>
            <w:tcBorders>
              <w:top w:val="nil"/>
              <w:left w:val="nil"/>
              <w:bottom w:val="nil"/>
              <w:right w:val="nil"/>
            </w:tcBorders>
            <w:noWrap/>
            <w:vAlign w:val="bottom"/>
          </w:tcPr>
          <w:p w14:paraId="04C4E8AC"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1.236</w:t>
            </w:r>
          </w:p>
        </w:tc>
        <w:tc>
          <w:tcPr>
            <w:tcW w:w="1323" w:type="dxa"/>
            <w:tcBorders>
              <w:top w:val="nil"/>
              <w:left w:val="nil"/>
              <w:bottom w:val="nil"/>
              <w:right w:val="nil"/>
            </w:tcBorders>
            <w:noWrap/>
            <w:vAlign w:val="bottom"/>
          </w:tcPr>
          <w:p w14:paraId="111EB48D"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0.228</w:t>
            </w:r>
          </w:p>
        </w:tc>
      </w:tr>
      <w:tr w:rsidR="00724350" w:rsidRPr="00464A1D" w14:paraId="2B3BF47A"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657B6A97"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(canhgt-veg)</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nil"/>
              <w:right w:val="nil"/>
            </w:tcBorders>
            <w:noWrap/>
            <w:vAlign w:val="bottom"/>
          </w:tcPr>
          <w:p w14:paraId="4AB5211C"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5</w:t>
            </w:r>
          </w:p>
        </w:tc>
        <w:tc>
          <w:tcPr>
            <w:tcW w:w="1002" w:type="dxa"/>
            <w:gridSpan w:val="2"/>
            <w:tcBorders>
              <w:top w:val="nil"/>
              <w:left w:val="nil"/>
              <w:bottom w:val="nil"/>
              <w:right w:val="nil"/>
            </w:tcBorders>
            <w:noWrap/>
            <w:vAlign w:val="bottom"/>
          </w:tcPr>
          <w:p w14:paraId="21C40B7C"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111.90</w:t>
            </w:r>
          </w:p>
        </w:tc>
        <w:tc>
          <w:tcPr>
            <w:tcW w:w="1148" w:type="dxa"/>
            <w:tcBorders>
              <w:top w:val="nil"/>
              <w:left w:val="nil"/>
              <w:bottom w:val="nil"/>
              <w:right w:val="nil"/>
            </w:tcBorders>
            <w:noWrap/>
            <w:vAlign w:val="bottom"/>
          </w:tcPr>
          <w:p w14:paraId="78F9657E"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8.6</w:t>
            </w:r>
          </w:p>
        </w:tc>
        <w:tc>
          <w:tcPr>
            <w:tcW w:w="995" w:type="dxa"/>
            <w:gridSpan w:val="2"/>
            <w:tcBorders>
              <w:top w:val="nil"/>
              <w:left w:val="nil"/>
              <w:bottom w:val="nil"/>
              <w:right w:val="nil"/>
            </w:tcBorders>
            <w:noWrap/>
            <w:vAlign w:val="bottom"/>
          </w:tcPr>
          <w:p w14:paraId="12B77DA0"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0.01</w:t>
            </w:r>
          </w:p>
        </w:tc>
        <w:tc>
          <w:tcPr>
            <w:tcW w:w="879" w:type="dxa"/>
            <w:gridSpan w:val="2"/>
            <w:tcBorders>
              <w:top w:val="nil"/>
              <w:left w:val="nil"/>
              <w:bottom w:val="nil"/>
              <w:right w:val="nil"/>
            </w:tcBorders>
            <w:noWrap/>
            <w:vAlign w:val="bottom"/>
          </w:tcPr>
          <w:p w14:paraId="245B1780"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1.245</w:t>
            </w:r>
          </w:p>
        </w:tc>
        <w:tc>
          <w:tcPr>
            <w:tcW w:w="1323" w:type="dxa"/>
            <w:tcBorders>
              <w:top w:val="nil"/>
              <w:left w:val="nil"/>
              <w:bottom w:val="nil"/>
              <w:right w:val="nil"/>
            </w:tcBorders>
            <w:noWrap/>
            <w:vAlign w:val="bottom"/>
          </w:tcPr>
          <w:p w14:paraId="55A16210"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0.149</w:t>
            </w:r>
          </w:p>
        </w:tc>
      </w:tr>
      <w:tr w:rsidR="00724350" w:rsidRPr="00464A1D" w14:paraId="144EC9F3"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361EBF0B"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(understory-veg)</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nil"/>
              <w:right w:val="nil"/>
            </w:tcBorders>
            <w:noWrap/>
            <w:vAlign w:val="bottom"/>
          </w:tcPr>
          <w:p w14:paraId="5493D0DA"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5</w:t>
            </w:r>
          </w:p>
        </w:tc>
        <w:tc>
          <w:tcPr>
            <w:tcW w:w="1002" w:type="dxa"/>
            <w:gridSpan w:val="2"/>
            <w:tcBorders>
              <w:top w:val="nil"/>
              <w:left w:val="nil"/>
              <w:bottom w:val="nil"/>
              <w:right w:val="nil"/>
            </w:tcBorders>
            <w:noWrap/>
            <w:vAlign w:val="bottom"/>
          </w:tcPr>
          <w:p w14:paraId="45C01C74"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112.63</w:t>
            </w:r>
          </w:p>
        </w:tc>
        <w:tc>
          <w:tcPr>
            <w:tcW w:w="1148" w:type="dxa"/>
            <w:tcBorders>
              <w:top w:val="nil"/>
              <w:left w:val="nil"/>
              <w:bottom w:val="nil"/>
              <w:right w:val="nil"/>
            </w:tcBorders>
            <w:noWrap/>
            <w:vAlign w:val="bottom"/>
          </w:tcPr>
          <w:p w14:paraId="76105F23"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10.3</w:t>
            </w:r>
          </w:p>
        </w:tc>
        <w:tc>
          <w:tcPr>
            <w:tcW w:w="995" w:type="dxa"/>
            <w:gridSpan w:val="2"/>
            <w:tcBorders>
              <w:top w:val="nil"/>
              <w:left w:val="nil"/>
              <w:bottom w:val="nil"/>
              <w:right w:val="nil"/>
            </w:tcBorders>
            <w:noWrap/>
            <w:vAlign w:val="bottom"/>
          </w:tcPr>
          <w:p w14:paraId="6D1EA91D"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4C4AB0D9"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1.229</w:t>
            </w:r>
          </w:p>
        </w:tc>
        <w:tc>
          <w:tcPr>
            <w:tcW w:w="1323" w:type="dxa"/>
            <w:tcBorders>
              <w:top w:val="nil"/>
              <w:left w:val="nil"/>
              <w:bottom w:val="nil"/>
              <w:right w:val="nil"/>
            </w:tcBorders>
            <w:noWrap/>
            <w:vAlign w:val="bottom"/>
          </w:tcPr>
          <w:p w14:paraId="686F63A6"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0.238</w:t>
            </w:r>
          </w:p>
        </w:tc>
      </w:tr>
      <w:tr w:rsidR="00724350" w:rsidRPr="00464A1D" w14:paraId="29F983C7"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2DA61F4F"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(cancov-veg)</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nil"/>
              <w:right w:val="nil"/>
            </w:tcBorders>
            <w:noWrap/>
            <w:vAlign w:val="bottom"/>
          </w:tcPr>
          <w:p w14:paraId="590BDDBC"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5</w:t>
            </w:r>
          </w:p>
        </w:tc>
        <w:tc>
          <w:tcPr>
            <w:tcW w:w="1002" w:type="dxa"/>
            <w:gridSpan w:val="2"/>
            <w:tcBorders>
              <w:top w:val="nil"/>
              <w:left w:val="nil"/>
              <w:bottom w:val="nil"/>
              <w:right w:val="nil"/>
            </w:tcBorders>
            <w:noWrap/>
            <w:vAlign w:val="bottom"/>
          </w:tcPr>
          <w:p w14:paraId="37464C70"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107.32</w:t>
            </w:r>
          </w:p>
        </w:tc>
        <w:tc>
          <w:tcPr>
            <w:tcW w:w="1148" w:type="dxa"/>
            <w:tcBorders>
              <w:top w:val="nil"/>
              <w:left w:val="nil"/>
              <w:bottom w:val="nil"/>
              <w:right w:val="nil"/>
            </w:tcBorders>
            <w:noWrap/>
            <w:vAlign w:val="bottom"/>
          </w:tcPr>
          <w:p w14:paraId="1EEF480B"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12.1</w:t>
            </w:r>
          </w:p>
        </w:tc>
        <w:tc>
          <w:tcPr>
            <w:tcW w:w="995" w:type="dxa"/>
            <w:gridSpan w:val="2"/>
            <w:tcBorders>
              <w:top w:val="nil"/>
              <w:left w:val="nil"/>
              <w:bottom w:val="nil"/>
              <w:right w:val="nil"/>
            </w:tcBorders>
            <w:noWrap/>
            <w:vAlign w:val="bottom"/>
          </w:tcPr>
          <w:p w14:paraId="5CABA24A"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3F7DD7FC"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1.149</w:t>
            </w:r>
          </w:p>
        </w:tc>
        <w:tc>
          <w:tcPr>
            <w:tcW w:w="1323" w:type="dxa"/>
            <w:tcBorders>
              <w:top w:val="nil"/>
              <w:left w:val="nil"/>
              <w:bottom w:val="nil"/>
              <w:right w:val="nil"/>
            </w:tcBorders>
            <w:noWrap/>
            <w:vAlign w:val="bottom"/>
          </w:tcPr>
          <w:p w14:paraId="59D3B5FD"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0.238</w:t>
            </w:r>
          </w:p>
        </w:tc>
      </w:tr>
      <w:tr w:rsidR="00724350" w:rsidRPr="00464A1D" w14:paraId="7447FFB1"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64412D1A"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(global)</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nil"/>
              <w:right w:val="nil"/>
            </w:tcBorders>
            <w:noWrap/>
            <w:vAlign w:val="bottom"/>
          </w:tcPr>
          <w:p w14:paraId="336C270C"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7</w:t>
            </w:r>
          </w:p>
        </w:tc>
        <w:tc>
          <w:tcPr>
            <w:tcW w:w="1002" w:type="dxa"/>
            <w:gridSpan w:val="2"/>
            <w:tcBorders>
              <w:top w:val="nil"/>
              <w:left w:val="nil"/>
              <w:bottom w:val="nil"/>
              <w:right w:val="nil"/>
            </w:tcBorders>
            <w:noWrap/>
            <w:vAlign w:val="bottom"/>
          </w:tcPr>
          <w:p w14:paraId="5722C0B7"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101.54</w:t>
            </w:r>
          </w:p>
        </w:tc>
        <w:tc>
          <w:tcPr>
            <w:tcW w:w="1148" w:type="dxa"/>
            <w:tcBorders>
              <w:top w:val="nil"/>
              <w:left w:val="nil"/>
              <w:bottom w:val="nil"/>
              <w:right w:val="nil"/>
            </w:tcBorders>
            <w:noWrap/>
            <w:vAlign w:val="bottom"/>
          </w:tcPr>
          <w:p w14:paraId="6B47FFA6"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12.7</w:t>
            </w:r>
          </w:p>
        </w:tc>
        <w:tc>
          <w:tcPr>
            <w:tcW w:w="995" w:type="dxa"/>
            <w:gridSpan w:val="2"/>
            <w:tcBorders>
              <w:top w:val="nil"/>
              <w:left w:val="nil"/>
              <w:bottom w:val="nil"/>
              <w:right w:val="nil"/>
            </w:tcBorders>
            <w:noWrap/>
            <w:vAlign w:val="bottom"/>
          </w:tcPr>
          <w:p w14:paraId="442774F9"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38BF3D10"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1.135</w:t>
            </w:r>
          </w:p>
        </w:tc>
        <w:tc>
          <w:tcPr>
            <w:tcW w:w="1323" w:type="dxa"/>
            <w:tcBorders>
              <w:top w:val="nil"/>
              <w:left w:val="nil"/>
              <w:bottom w:val="nil"/>
              <w:right w:val="nil"/>
            </w:tcBorders>
            <w:noWrap/>
            <w:vAlign w:val="bottom"/>
          </w:tcPr>
          <w:p w14:paraId="1B966907"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0.287</w:t>
            </w:r>
          </w:p>
        </w:tc>
      </w:tr>
      <w:tr w:rsidR="00724350" w:rsidRPr="00464A1D" w14:paraId="4996F4C6"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09291474"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(understory-canhgt)</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nil"/>
              <w:right w:val="nil"/>
            </w:tcBorders>
            <w:noWrap/>
            <w:vAlign w:val="bottom"/>
          </w:tcPr>
          <w:p w14:paraId="08025007"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4</w:t>
            </w:r>
          </w:p>
        </w:tc>
        <w:tc>
          <w:tcPr>
            <w:tcW w:w="1002" w:type="dxa"/>
            <w:gridSpan w:val="2"/>
            <w:tcBorders>
              <w:top w:val="nil"/>
              <w:left w:val="nil"/>
              <w:bottom w:val="nil"/>
              <w:right w:val="nil"/>
            </w:tcBorders>
            <w:noWrap/>
            <w:vAlign w:val="bottom"/>
          </w:tcPr>
          <w:p w14:paraId="5BC4E49F"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115.48</w:t>
            </w:r>
          </w:p>
        </w:tc>
        <w:tc>
          <w:tcPr>
            <w:tcW w:w="1148" w:type="dxa"/>
            <w:tcBorders>
              <w:top w:val="nil"/>
              <w:left w:val="nil"/>
              <w:bottom w:val="nil"/>
              <w:right w:val="nil"/>
            </w:tcBorders>
            <w:noWrap/>
            <w:vAlign w:val="bottom"/>
          </w:tcPr>
          <w:p w14:paraId="2B839DED"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12.8</w:t>
            </w:r>
          </w:p>
        </w:tc>
        <w:tc>
          <w:tcPr>
            <w:tcW w:w="995" w:type="dxa"/>
            <w:gridSpan w:val="2"/>
            <w:tcBorders>
              <w:top w:val="nil"/>
              <w:left w:val="nil"/>
              <w:bottom w:val="nil"/>
              <w:right w:val="nil"/>
            </w:tcBorders>
            <w:noWrap/>
            <w:vAlign w:val="bottom"/>
          </w:tcPr>
          <w:p w14:paraId="734E51BB"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1EA25B76"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1.200</w:t>
            </w:r>
          </w:p>
        </w:tc>
        <w:tc>
          <w:tcPr>
            <w:tcW w:w="1323" w:type="dxa"/>
            <w:tcBorders>
              <w:top w:val="nil"/>
              <w:left w:val="nil"/>
              <w:bottom w:val="nil"/>
              <w:right w:val="nil"/>
            </w:tcBorders>
            <w:noWrap/>
            <w:vAlign w:val="bottom"/>
          </w:tcPr>
          <w:p w14:paraId="559B8054"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0.188</w:t>
            </w:r>
          </w:p>
        </w:tc>
      </w:tr>
      <w:tr w:rsidR="00724350" w:rsidRPr="00464A1D" w14:paraId="42D0ABBA"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3F393D1A"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(understory-veg)</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noWrap/>
            <w:vAlign w:val="bottom"/>
          </w:tcPr>
          <w:p w14:paraId="11E9DAE0"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6</w:t>
            </w:r>
          </w:p>
        </w:tc>
        <w:tc>
          <w:tcPr>
            <w:tcW w:w="1002" w:type="dxa"/>
            <w:gridSpan w:val="2"/>
            <w:tcBorders>
              <w:top w:val="nil"/>
              <w:left w:val="nil"/>
              <w:bottom w:val="nil"/>
              <w:right w:val="nil"/>
            </w:tcBorders>
            <w:noWrap/>
            <w:vAlign w:val="bottom"/>
          </w:tcPr>
          <w:p w14:paraId="537E8157"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111.82</w:t>
            </w:r>
          </w:p>
        </w:tc>
        <w:tc>
          <w:tcPr>
            <w:tcW w:w="1148" w:type="dxa"/>
            <w:tcBorders>
              <w:top w:val="nil"/>
              <w:left w:val="nil"/>
              <w:bottom w:val="nil"/>
              <w:right w:val="nil"/>
            </w:tcBorders>
            <w:noWrap/>
            <w:vAlign w:val="bottom"/>
          </w:tcPr>
          <w:p w14:paraId="3734C8C3"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13.0</w:t>
            </w:r>
          </w:p>
        </w:tc>
        <w:tc>
          <w:tcPr>
            <w:tcW w:w="995" w:type="dxa"/>
            <w:gridSpan w:val="2"/>
            <w:tcBorders>
              <w:top w:val="nil"/>
              <w:left w:val="nil"/>
              <w:bottom w:val="nil"/>
              <w:right w:val="nil"/>
            </w:tcBorders>
            <w:noWrap/>
            <w:vAlign w:val="bottom"/>
          </w:tcPr>
          <w:p w14:paraId="7F06B8BA"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3FE9BA3F"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1.214</w:t>
            </w:r>
          </w:p>
        </w:tc>
        <w:tc>
          <w:tcPr>
            <w:tcW w:w="1323" w:type="dxa"/>
            <w:tcBorders>
              <w:top w:val="nil"/>
              <w:left w:val="nil"/>
              <w:bottom w:val="nil"/>
              <w:right w:val="nil"/>
            </w:tcBorders>
            <w:noWrap/>
            <w:vAlign w:val="bottom"/>
          </w:tcPr>
          <w:p w14:paraId="049AD456"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0.208</w:t>
            </w:r>
          </w:p>
        </w:tc>
      </w:tr>
      <w:tr w:rsidR="00724350" w:rsidRPr="00464A1D" w14:paraId="10686004"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5A58D928"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(understory-canhgt)</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noWrap/>
            <w:vAlign w:val="bottom"/>
          </w:tcPr>
          <w:p w14:paraId="1D8FC487"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5</w:t>
            </w:r>
          </w:p>
        </w:tc>
        <w:tc>
          <w:tcPr>
            <w:tcW w:w="1002" w:type="dxa"/>
            <w:gridSpan w:val="2"/>
            <w:tcBorders>
              <w:top w:val="nil"/>
              <w:left w:val="nil"/>
              <w:bottom w:val="nil"/>
              <w:right w:val="nil"/>
            </w:tcBorders>
            <w:noWrap/>
            <w:vAlign w:val="bottom"/>
          </w:tcPr>
          <w:p w14:paraId="2F731F39"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114.74</w:t>
            </w:r>
          </w:p>
        </w:tc>
        <w:tc>
          <w:tcPr>
            <w:tcW w:w="1148" w:type="dxa"/>
            <w:tcBorders>
              <w:top w:val="nil"/>
              <w:left w:val="nil"/>
              <w:bottom w:val="nil"/>
              <w:right w:val="nil"/>
            </w:tcBorders>
            <w:noWrap/>
            <w:vAlign w:val="bottom"/>
          </w:tcPr>
          <w:p w14:paraId="6E819FAD"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15.5</w:t>
            </w:r>
          </w:p>
        </w:tc>
        <w:tc>
          <w:tcPr>
            <w:tcW w:w="995" w:type="dxa"/>
            <w:gridSpan w:val="2"/>
            <w:tcBorders>
              <w:top w:val="nil"/>
              <w:left w:val="nil"/>
              <w:bottom w:val="nil"/>
              <w:right w:val="nil"/>
            </w:tcBorders>
            <w:noWrap/>
            <w:vAlign w:val="bottom"/>
          </w:tcPr>
          <w:p w14:paraId="7DD7A51B"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54E6075A"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1.186</w:t>
            </w:r>
          </w:p>
        </w:tc>
        <w:tc>
          <w:tcPr>
            <w:tcW w:w="1323" w:type="dxa"/>
            <w:tcBorders>
              <w:top w:val="nil"/>
              <w:left w:val="nil"/>
              <w:bottom w:val="nil"/>
              <w:right w:val="nil"/>
            </w:tcBorders>
            <w:noWrap/>
            <w:vAlign w:val="bottom"/>
          </w:tcPr>
          <w:p w14:paraId="17B4DBFE"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0.238</w:t>
            </w:r>
          </w:p>
        </w:tc>
      </w:tr>
      <w:tr w:rsidR="00724350" w:rsidRPr="00464A1D" w14:paraId="291488C3"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0F382A89"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(understory)</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noWrap/>
            <w:vAlign w:val="bottom"/>
          </w:tcPr>
          <w:p w14:paraId="78C47C45"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4</w:t>
            </w:r>
          </w:p>
        </w:tc>
        <w:tc>
          <w:tcPr>
            <w:tcW w:w="1002" w:type="dxa"/>
            <w:gridSpan w:val="2"/>
            <w:tcBorders>
              <w:top w:val="nil"/>
              <w:left w:val="nil"/>
              <w:bottom w:val="nil"/>
              <w:right w:val="nil"/>
            </w:tcBorders>
            <w:noWrap/>
            <w:vAlign w:val="bottom"/>
          </w:tcPr>
          <w:p w14:paraId="24E04D3E"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115.17</w:t>
            </w:r>
          </w:p>
        </w:tc>
        <w:tc>
          <w:tcPr>
            <w:tcW w:w="1148" w:type="dxa"/>
            <w:tcBorders>
              <w:top w:val="nil"/>
              <w:left w:val="nil"/>
              <w:bottom w:val="nil"/>
              <w:right w:val="nil"/>
            </w:tcBorders>
            <w:noWrap/>
            <w:vAlign w:val="bottom"/>
          </w:tcPr>
          <w:p w14:paraId="4C0005D6"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17.0</w:t>
            </w:r>
          </w:p>
        </w:tc>
        <w:tc>
          <w:tcPr>
            <w:tcW w:w="995" w:type="dxa"/>
            <w:gridSpan w:val="2"/>
            <w:tcBorders>
              <w:top w:val="nil"/>
              <w:left w:val="nil"/>
              <w:bottom w:val="nil"/>
              <w:right w:val="nil"/>
            </w:tcBorders>
            <w:noWrap/>
            <w:vAlign w:val="bottom"/>
          </w:tcPr>
          <w:p w14:paraId="37ECB311"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0E9E623A"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1.147</w:t>
            </w:r>
          </w:p>
        </w:tc>
        <w:tc>
          <w:tcPr>
            <w:tcW w:w="1323" w:type="dxa"/>
            <w:tcBorders>
              <w:top w:val="nil"/>
              <w:left w:val="nil"/>
              <w:bottom w:val="nil"/>
              <w:right w:val="nil"/>
            </w:tcBorders>
            <w:noWrap/>
            <w:vAlign w:val="bottom"/>
          </w:tcPr>
          <w:p w14:paraId="6D2B16BF"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0.327</w:t>
            </w:r>
          </w:p>
        </w:tc>
      </w:tr>
      <w:tr w:rsidR="00724350" w:rsidRPr="00464A1D" w14:paraId="7FECD367"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13CF5F8F"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(canhgt)</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nil"/>
              <w:right w:val="nil"/>
            </w:tcBorders>
            <w:noWrap/>
            <w:vAlign w:val="bottom"/>
          </w:tcPr>
          <w:p w14:paraId="1591A5B4"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3</w:t>
            </w:r>
          </w:p>
        </w:tc>
        <w:tc>
          <w:tcPr>
            <w:tcW w:w="1002" w:type="dxa"/>
            <w:gridSpan w:val="2"/>
            <w:tcBorders>
              <w:top w:val="nil"/>
              <w:left w:val="nil"/>
              <w:bottom w:val="nil"/>
              <w:right w:val="nil"/>
            </w:tcBorders>
            <w:noWrap/>
            <w:vAlign w:val="bottom"/>
          </w:tcPr>
          <w:p w14:paraId="0F8E9913"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115.90</w:t>
            </w:r>
          </w:p>
        </w:tc>
        <w:tc>
          <w:tcPr>
            <w:tcW w:w="1148" w:type="dxa"/>
            <w:tcBorders>
              <w:top w:val="nil"/>
              <w:left w:val="nil"/>
              <w:bottom w:val="nil"/>
              <w:right w:val="nil"/>
            </w:tcBorders>
            <w:noWrap/>
            <w:vAlign w:val="bottom"/>
          </w:tcPr>
          <w:p w14:paraId="6C932798"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20.3</w:t>
            </w:r>
          </w:p>
        </w:tc>
        <w:tc>
          <w:tcPr>
            <w:tcW w:w="995" w:type="dxa"/>
            <w:gridSpan w:val="2"/>
            <w:tcBorders>
              <w:top w:val="nil"/>
              <w:left w:val="nil"/>
              <w:bottom w:val="nil"/>
              <w:right w:val="nil"/>
            </w:tcBorders>
            <w:noWrap/>
            <w:vAlign w:val="bottom"/>
          </w:tcPr>
          <w:p w14:paraId="6462ED2D"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4231B409"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1.095</w:t>
            </w:r>
          </w:p>
        </w:tc>
        <w:tc>
          <w:tcPr>
            <w:tcW w:w="1323" w:type="dxa"/>
            <w:tcBorders>
              <w:top w:val="nil"/>
              <w:left w:val="nil"/>
              <w:bottom w:val="nil"/>
              <w:right w:val="nil"/>
            </w:tcBorders>
            <w:noWrap/>
            <w:vAlign w:val="bottom"/>
          </w:tcPr>
          <w:p w14:paraId="07D48B33"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0.347</w:t>
            </w:r>
          </w:p>
        </w:tc>
      </w:tr>
      <w:tr w:rsidR="00724350" w:rsidRPr="00464A1D" w14:paraId="50D9F13A"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3B77193E"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noWrap/>
            <w:vAlign w:val="bottom"/>
          </w:tcPr>
          <w:p w14:paraId="63103F0E"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3</w:t>
            </w:r>
          </w:p>
        </w:tc>
        <w:tc>
          <w:tcPr>
            <w:tcW w:w="1002" w:type="dxa"/>
            <w:gridSpan w:val="2"/>
            <w:tcBorders>
              <w:top w:val="nil"/>
              <w:left w:val="nil"/>
              <w:bottom w:val="nil"/>
              <w:right w:val="nil"/>
            </w:tcBorders>
            <w:noWrap/>
            <w:vAlign w:val="bottom"/>
          </w:tcPr>
          <w:p w14:paraId="014FECA2"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115.83</w:t>
            </w:r>
          </w:p>
        </w:tc>
        <w:tc>
          <w:tcPr>
            <w:tcW w:w="1148" w:type="dxa"/>
            <w:tcBorders>
              <w:top w:val="nil"/>
              <w:left w:val="nil"/>
              <w:bottom w:val="nil"/>
              <w:right w:val="nil"/>
            </w:tcBorders>
            <w:noWrap/>
            <w:vAlign w:val="bottom"/>
          </w:tcPr>
          <w:p w14:paraId="7235AF95"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20.3</w:t>
            </w:r>
          </w:p>
        </w:tc>
        <w:tc>
          <w:tcPr>
            <w:tcW w:w="995" w:type="dxa"/>
            <w:gridSpan w:val="2"/>
            <w:tcBorders>
              <w:top w:val="nil"/>
              <w:left w:val="nil"/>
              <w:bottom w:val="nil"/>
              <w:right w:val="nil"/>
            </w:tcBorders>
            <w:noWrap/>
            <w:vAlign w:val="bottom"/>
          </w:tcPr>
          <w:p w14:paraId="109DD1D5"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11878A36"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1.094</w:t>
            </w:r>
          </w:p>
        </w:tc>
        <w:tc>
          <w:tcPr>
            <w:tcW w:w="1323" w:type="dxa"/>
            <w:tcBorders>
              <w:top w:val="nil"/>
              <w:left w:val="nil"/>
              <w:bottom w:val="nil"/>
              <w:right w:val="nil"/>
            </w:tcBorders>
            <w:noWrap/>
            <w:vAlign w:val="bottom"/>
          </w:tcPr>
          <w:p w14:paraId="17CDE514"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0.317</w:t>
            </w:r>
          </w:p>
        </w:tc>
      </w:tr>
      <w:tr w:rsidR="00724350" w:rsidRPr="00464A1D" w14:paraId="6F9AE286"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54082A6A"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(canhgt)</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noWrap/>
            <w:vAlign w:val="bottom"/>
          </w:tcPr>
          <w:p w14:paraId="5850175F"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4</w:t>
            </w:r>
          </w:p>
        </w:tc>
        <w:tc>
          <w:tcPr>
            <w:tcW w:w="1002" w:type="dxa"/>
            <w:gridSpan w:val="2"/>
            <w:tcBorders>
              <w:top w:val="nil"/>
              <w:left w:val="nil"/>
              <w:bottom w:val="nil"/>
              <w:right w:val="nil"/>
            </w:tcBorders>
            <w:noWrap/>
            <w:vAlign w:val="bottom"/>
          </w:tcPr>
          <w:p w14:paraId="139D82D0"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115.18</w:t>
            </w:r>
          </w:p>
        </w:tc>
        <w:tc>
          <w:tcPr>
            <w:tcW w:w="1148" w:type="dxa"/>
            <w:tcBorders>
              <w:top w:val="nil"/>
              <w:left w:val="nil"/>
              <w:bottom w:val="nil"/>
              <w:right w:val="nil"/>
            </w:tcBorders>
            <w:noWrap/>
            <w:vAlign w:val="bottom"/>
          </w:tcPr>
          <w:p w14:paraId="1CB01D3D"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22.2</w:t>
            </w:r>
          </w:p>
        </w:tc>
        <w:tc>
          <w:tcPr>
            <w:tcW w:w="995" w:type="dxa"/>
            <w:gridSpan w:val="2"/>
            <w:tcBorders>
              <w:top w:val="nil"/>
              <w:left w:val="nil"/>
              <w:bottom w:val="nil"/>
              <w:right w:val="nil"/>
            </w:tcBorders>
            <w:noWrap/>
            <w:vAlign w:val="bottom"/>
          </w:tcPr>
          <w:p w14:paraId="2B5E5F10"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5E71C19A"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1.091</w:t>
            </w:r>
          </w:p>
        </w:tc>
        <w:tc>
          <w:tcPr>
            <w:tcW w:w="1323" w:type="dxa"/>
            <w:tcBorders>
              <w:top w:val="nil"/>
              <w:left w:val="nil"/>
              <w:bottom w:val="nil"/>
              <w:right w:val="nil"/>
            </w:tcBorders>
            <w:noWrap/>
            <w:vAlign w:val="bottom"/>
          </w:tcPr>
          <w:p w14:paraId="4D1D1426"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0.356</w:t>
            </w:r>
          </w:p>
        </w:tc>
      </w:tr>
      <w:tr w:rsidR="00724350" w:rsidRPr="00464A1D" w14:paraId="67D4F74B"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23F11E06"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(cancov-canhgt-veg)</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noWrap/>
            <w:vAlign w:val="bottom"/>
          </w:tcPr>
          <w:p w14:paraId="7419A305"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7</w:t>
            </w:r>
          </w:p>
        </w:tc>
        <w:tc>
          <w:tcPr>
            <w:tcW w:w="1002" w:type="dxa"/>
            <w:gridSpan w:val="2"/>
            <w:tcBorders>
              <w:top w:val="nil"/>
              <w:left w:val="nil"/>
              <w:bottom w:val="nil"/>
              <w:right w:val="nil"/>
            </w:tcBorders>
            <w:noWrap/>
            <w:vAlign w:val="bottom"/>
          </w:tcPr>
          <w:p w14:paraId="168FE4AA"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103.32</w:t>
            </w:r>
          </w:p>
        </w:tc>
        <w:tc>
          <w:tcPr>
            <w:tcW w:w="1148" w:type="dxa"/>
            <w:tcBorders>
              <w:top w:val="nil"/>
              <w:left w:val="nil"/>
              <w:bottom w:val="nil"/>
              <w:right w:val="nil"/>
            </w:tcBorders>
            <w:noWrap/>
            <w:vAlign w:val="bottom"/>
          </w:tcPr>
          <w:p w14:paraId="29440C53"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22.2</w:t>
            </w:r>
          </w:p>
        </w:tc>
        <w:tc>
          <w:tcPr>
            <w:tcW w:w="995" w:type="dxa"/>
            <w:gridSpan w:val="2"/>
            <w:tcBorders>
              <w:top w:val="nil"/>
              <w:left w:val="nil"/>
              <w:bottom w:val="nil"/>
              <w:right w:val="nil"/>
            </w:tcBorders>
            <w:noWrap/>
            <w:vAlign w:val="bottom"/>
          </w:tcPr>
          <w:p w14:paraId="32999954"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499C08CD"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1.043</w:t>
            </w:r>
          </w:p>
        </w:tc>
        <w:tc>
          <w:tcPr>
            <w:tcW w:w="1323" w:type="dxa"/>
            <w:tcBorders>
              <w:top w:val="nil"/>
              <w:left w:val="nil"/>
              <w:bottom w:val="nil"/>
              <w:right w:val="nil"/>
            </w:tcBorders>
            <w:noWrap/>
            <w:vAlign w:val="bottom"/>
          </w:tcPr>
          <w:p w14:paraId="020A7FC9"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0.366</w:t>
            </w:r>
          </w:p>
        </w:tc>
      </w:tr>
      <w:tr w:rsidR="00724350" w:rsidRPr="00464A1D" w14:paraId="06DB4BDE"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701FD7B4"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(understory)</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nil"/>
              <w:right w:val="nil"/>
            </w:tcBorders>
            <w:noWrap/>
            <w:vAlign w:val="bottom"/>
          </w:tcPr>
          <w:p w14:paraId="10A314F9"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3</w:t>
            </w:r>
          </w:p>
        </w:tc>
        <w:tc>
          <w:tcPr>
            <w:tcW w:w="1002" w:type="dxa"/>
            <w:gridSpan w:val="2"/>
            <w:tcBorders>
              <w:top w:val="nil"/>
              <w:left w:val="nil"/>
              <w:bottom w:val="nil"/>
              <w:right w:val="nil"/>
            </w:tcBorders>
            <w:noWrap/>
            <w:vAlign w:val="bottom"/>
          </w:tcPr>
          <w:p w14:paraId="5B683C3E"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115.93</w:t>
            </w:r>
          </w:p>
        </w:tc>
        <w:tc>
          <w:tcPr>
            <w:tcW w:w="1148" w:type="dxa"/>
            <w:tcBorders>
              <w:top w:val="nil"/>
              <w:left w:val="nil"/>
              <w:bottom w:val="nil"/>
              <w:right w:val="nil"/>
            </w:tcBorders>
            <w:noWrap/>
            <w:vAlign w:val="bottom"/>
          </w:tcPr>
          <w:p w14:paraId="48DC01AC"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22.5</w:t>
            </w:r>
          </w:p>
        </w:tc>
        <w:tc>
          <w:tcPr>
            <w:tcW w:w="995" w:type="dxa"/>
            <w:gridSpan w:val="2"/>
            <w:tcBorders>
              <w:top w:val="nil"/>
              <w:left w:val="nil"/>
              <w:bottom w:val="nil"/>
              <w:right w:val="nil"/>
            </w:tcBorders>
            <w:noWrap/>
            <w:vAlign w:val="bottom"/>
          </w:tcPr>
          <w:p w14:paraId="3B38F395"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12E57BA4"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1.072</w:t>
            </w:r>
          </w:p>
        </w:tc>
        <w:tc>
          <w:tcPr>
            <w:tcW w:w="1323" w:type="dxa"/>
            <w:tcBorders>
              <w:top w:val="nil"/>
              <w:left w:val="nil"/>
              <w:bottom w:val="nil"/>
              <w:right w:val="nil"/>
            </w:tcBorders>
            <w:noWrap/>
            <w:vAlign w:val="bottom"/>
          </w:tcPr>
          <w:p w14:paraId="08C4F442"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0.297</w:t>
            </w:r>
          </w:p>
        </w:tc>
      </w:tr>
      <w:tr w:rsidR="00724350" w:rsidRPr="00464A1D" w14:paraId="0552B18B"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25FA267E"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(understory-cancov-canhgt)</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noWrap/>
            <w:vAlign w:val="bottom"/>
          </w:tcPr>
          <w:p w14:paraId="08A37503"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6</w:t>
            </w:r>
          </w:p>
        </w:tc>
        <w:tc>
          <w:tcPr>
            <w:tcW w:w="1002" w:type="dxa"/>
            <w:gridSpan w:val="2"/>
            <w:tcBorders>
              <w:top w:val="nil"/>
              <w:left w:val="nil"/>
              <w:bottom w:val="nil"/>
              <w:right w:val="nil"/>
            </w:tcBorders>
            <w:noWrap/>
            <w:vAlign w:val="bottom"/>
          </w:tcPr>
          <w:p w14:paraId="01CCA147"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106.64</w:t>
            </w:r>
          </w:p>
        </w:tc>
        <w:tc>
          <w:tcPr>
            <w:tcW w:w="1148" w:type="dxa"/>
            <w:tcBorders>
              <w:top w:val="nil"/>
              <w:left w:val="nil"/>
              <w:bottom w:val="nil"/>
              <w:right w:val="nil"/>
            </w:tcBorders>
            <w:noWrap/>
            <w:vAlign w:val="bottom"/>
          </w:tcPr>
          <w:p w14:paraId="2253C237"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24.0</w:t>
            </w:r>
          </w:p>
        </w:tc>
        <w:tc>
          <w:tcPr>
            <w:tcW w:w="995" w:type="dxa"/>
            <w:gridSpan w:val="2"/>
            <w:tcBorders>
              <w:top w:val="nil"/>
              <w:left w:val="nil"/>
              <w:bottom w:val="nil"/>
              <w:right w:val="nil"/>
            </w:tcBorders>
            <w:noWrap/>
            <w:vAlign w:val="bottom"/>
          </w:tcPr>
          <w:p w14:paraId="024E6BEA"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158E8F68"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1.035</w:t>
            </w:r>
          </w:p>
        </w:tc>
        <w:tc>
          <w:tcPr>
            <w:tcW w:w="1323" w:type="dxa"/>
            <w:tcBorders>
              <w:top w:val="nil"/>
              <w:left w:val="nil"/>
              <w:bottom w:val="nil"/>
              <w:right w:val="nil"/>
            </w:tcBorders>
            <w:noWrap/>
            <w:vAlign w:val="bottom"/>
          </w:tcPr>
          <w:p w14:paraId="19204062"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0.396</w:t>
            </w:r>
          </w:p>
        </w:tc>
      </w:tr>
      <w:tr w:rsidR="00724350" w:rsidRPr="00464A1D" w14:paraId="7C9F32B9"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5071CEFA"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(understory-cancov-veg)</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nil"/>
              <w:right w:val="nil"/>
            </w:tcBorders>
            <w:noWrap/>
            <w:vAlign w:val="bottom"/>
          </w:tcPr>
          <w:p w14:paraId="391E307A"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6</w:t>
            </w:r>
          </w:p>
        </w:tc>
        <w:tc>
          <w:tcPr>
            <w:tcW w:w="1002" w:type="dxa"/>
            <w:gridSpan w:val="2"/>
            <w:tcBorders>
              <w:top w:val="nil"/>
              <w:left w:val="nil"/>
              <w:bottom w:val="nil"/>
              <w:right w:val="nil"/>
            </w:tcBorders>
            <w:noWrap/>
            <w:vAlign w:val="bottom"/>
          </w:tcPr>
          <w:p w14:paraId="56368220"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103.95</w:t>
            </w:r>
          </w:p>
        </w:tc>
        <w:tc>
          <w:tcPr>
            <w:tcW w:w="1148" w:type="dxa"/>
            <w:tcBorders>
              <w:top w:val="nil"/>
              <w:left w:val="nil"/>
              <w:bottom w:val="nil"/>
              <w:right w:val="nil"/>
            </w:tcBorders>
            <w:noWrap/>
            <w:vAlign w:val="bottom"/>
          </w:tcPr>
          <w:p w14:paraId="042ADC3F"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24.2</w:t>
            </w:r>
          </w:p>
        </w:tc>
        <w:tc>
          <w:tcPr>
            <w:tcW w:w="995" w:type="dxa"/>
            <w:gridSpan w:val="2"/>
            <w:tcBorders>
              <w:top w:val="nil"/>
              <w:left w:val="nil"/>
              <w:bottom w:val="nil"/>
              <w:right w:val="nil"/>
            </w:tcBorders>
            <w:noWrap/>
            <w:vAlign w:val="bottom"/>
          </w:tcPr>
          <w:p w14:paraId="7B500F76"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496E1302"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1.007</w:t>
            </w:r>
          </w:p>
        </w:tc>
        <w:tc>
          <w:tcPr>
            <w:tcW w:w="1323" w:type="dxa"/>
            <w:tcBorders>
              <w:top w:val="nil"/>
              <w:left w:val="nil"/>
              <w:bottom w:val="nil"/>
              <w:right w:val="nil"/>
            </w:tcBorders>
            <w:noWrap/>
            <w:vAlign w:val="bottom"/>
          </w:tcPr>
          <w:p w14:paraId="1EDC185C"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0.455</w:t>
            </w:r>
          </w:p>
        </w:tc>
      </w:tr>
      <w:tr w:rsidR="00724350" w:rsidRPr="00464A1D" w14:paraId="0C341760"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0269D0FB"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(cancov)</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noWrap/>
            <w:vAlign w:val="bottom"/>
          </w:tcPr>
          <w:p w14:paraId="3082E4B5"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4</w:t>
            </w:r>
          </w:p>
        </w:tc>
        <w:tc>
          <w:tcPr>
            <w:tcW w:w="1002" w:type="dxa"/>
            <w:gridSpan w:val="2"/>
            <w:tcBorders>
              <w:top w:val="nil"/>
              <w:left w:val="nil"/>
              <w:bottom w:val="nil"/>
              <w:right w:val="nil"/>
            </w:tcBorders>
            <w:noWrap/>
            <w:vAlign w:val="bottom"/>
          </w:tcPr>
          <w:p w14:paraId="288CBE16"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112.75</w:t>
            </w:r>
          </w:p>
        </w:tc>
        <w:tc>
          <w:tcPr>
            <w:tcW w:w="1148" w:type="dxa"/>
            <w:tcBorders>
              <w:top w:val="nil"/>
              <w:left w:val="nil"/>
              <w:bottom w:val="nil"/>
              <w:right w:val="nil"/>
            </w:tcBorders>
            <w:noWrap/>
            <w:vAlign w:val="bottom"/>
          </w:tcPr>
          <w:p w14:paraId="3A6523AA"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24.7</w:t>
            </w:r>
          </w:p>
        </w:tc>
        <w:tc>
          <w:tcPr>
            <w:tcW w:w="995" w:type="dxa"/>
            <w:gridSpan w:val="2"/>
            <w:tcBorders>
              <w:top w:val="nil"/>
              <w:left w:val="nil"/>
              <w:bottom w:val="nil"/>
              <w:right w:val="nil"/>
            </w:tcBorders>
            <w:noWrap/>
            <w:vAlign w:val="bottom"/>
          </w:tcPr>
          <w:p w14:paraId="55160A25"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49902208"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1.043</w:t>
            </w:r>
          </w:p>
        </w:tc>
        <w:tc>
          <w:tcPr>
            <w:tcW w:w="1323" w:type="dxa"/>
            <w:tcBorders>
              <w:top w:val="nil"/>
              <w:left w:val="nil"/>
              <w:bottom w:val="nil"/>
              <w:right w:val="nil"/>
            </w:tcBorders>
            <w:noWrap/>
            <w:vAlign w:val="bottom"/>
          </w:tcPr>
          <w:p w14:paraId="397658A9"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0.356</w:t>
            </w:r>
          </w:p>
        </w:tc>
      </w:tr>
      <w:tr w:rsidR="00724350" w:rsidRPr="00464A1D" w14:paraId="3B935F0B"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45717865"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(understory-cancov-canhgt)</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nil"/>
              <w:right w:val="nil"/>
            </w:tcBorders>
            <w:noWrap/>
            <w:vAlign w:val="bottom"/>
          </w:tcPr>
          <w:p w14:paraId="2D248F36"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5</w:t>
            </w:r>
          </w:p>
        </w:tc>
        <w:tc>
          <w:tcPr>
            <w:tcW w:w="1002" w:type="dxa"/>
            <w:gridSpan w:val="2"/>
            <w:tcBorders>
              <w:top w:val="nil"/>
              <w:left w:val="nil"/>
              <w:bottom w:val="nil"/>
              <w:right w:val="nil"/>
            </w:tcBorders>
            <w:noWrap/>
            <w:vAlign w:val="bottom"/>
          </w:tcPr>
          <w:p w14:paraId="6E96E042"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107.45</w:t>
            </w:r>
          </w:p>
        </w:tc>
        <w:tc>
          <w:tcPr>
            <w:tcW w:w="1148" w:type="dxa"/>
            <w:tcBorders>
              <w:top w:val="nil"/>
              <w:left w:val="nil"/>
              <w:bottom w:val="nil"/>
              <w:right w:val="nil"/>
            </w:tcBorders>
            <w:noWrap/>
            <w:vAlign w:val="bottom"/>
          </w:tcPr>
          <w:p w14:paraId="2D26356B"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25.8</w:t>
            </w:r>
          </w:p>
        </w:tc>
        <w:tc>
          <w:tcPr>
            <w:tcW w:w="995" w:type="dxa"/>
            <w:gridSpan w:val="2"/>
            <w:tcBorders>
              <w:top w:val="nil"/>
              <w:left w:val="nil"/>
              <w:bottom w:val="nil"/>
              <w:right w:val="nil"/>
            </w:tcBorders>
            <w:noWrap/>
            <w:vAlign w:val="bottom"/>
          </w:tcPr>
          <w:p w14:paraId="2DDC2403"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715E4E45"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1.004</w:t>
            </w:r>
          </w:p>
        </w:tc>
        <w:tc>
          <w:tcPr>
            <w:tcW w:w="1323" w:type="dxa"/>
            <w:tcBorders>
              <w:top w:val="nil"/>
              <w:left w:val="nil"/>
              <w:bottom w:val="nil"/>
              <w:right w:val="nil"/>
            </w:tcBorders>
            <w:noWrap/>
            <w:vAlign w:val="bottom"/>
          </w:tcPr>
          <w:p w14:paraId="49ED9C56"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0.475</w:t>
            </w:r>
          </w:p>
        </w:tc>
      </w:tr>
      <w:tr w:rsidR="00724350" w:rsidRPr="00464A1D" w14:paraId="191649BA"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1FB1EDA2"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(cancov-canhgt)</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nil"/>
              <w:right w:val="nil"/>
            </w:tcBorders>
            <w:noWrap/>
            <w:vAlign w:val="bottom"/>
          </w:tcPr>
          <w:p w14:paraId="07F62204"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4</w:t>
            </w:r>
          </w:p>
        </w:tc>
        <w:tc>
          <w:tcPr>
            <w:tcW w:w="1002" w:type="dxa"/>
            <w:gridSpan w:val="2"/>
            <w:tcBorders>
              <w:top w:val="nil"/>
              <w:left w:val="nil"/>
              <w:bottom w:val="nil"/>
              <w:right w:val="nil"/>
            </w:tcBorders>
            <w:noWrap/>
            <w:vAlign w:val="bottom"/>
          </w:tcPr>
          <w:p w14:paraId="0883B5D8"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111.44</w:t>
            </w:r>
          </w:p>
        </w:tc>
        <w:tc>
          <w:tcPr>
            <w:tcW w:w="1148" w:type="dxa"/>
            <w:tcBorders>
              <w:top w:val="nil"/>
              <w:left w:val="nil"/>
              <w:bottom w:val="nil"/>
              <w:right w:val="nil"/>
            </w:tcBorders>
            <w:noWrap/>
            <w:vAlign w:val="bottom"/>
          </w:tcPr>
          <w:p w14:paraId="3FE3D066"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26.8</w:t>
            </w:r>
          </w:p>
        </w:tc>
        <w:tc>
          <w:tcPr>
            <w:tcW w:w="995" w:type="dxa"/>
            <w:gridSpan w:val="2"/>
            <w:tcBorders>
              <w:top w:val="nil"/>
              <w:left w:val="nil"/>
              <w:bottom w:val="nil"/>
              <w:right w:val="nil"/>
            </w:tcBorders>
            <w:noWrap/>
            <w:vAlign w:val="bottom"/>
          </w:tcPr>
          <w:p w14:paraId="21BEA3FC"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29A5C69A"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1.011</w:t>
            </w:r>
          </w:p>
        </w:tc>
        <w:tc>
          <w:tcPr>
            <w:tcW w:w="1323" w:type="dxa"/>
            <w:tcBorders>
              <w:top w:val="nil"/>
              <w:left w:val="nil"/>
              <w:bottom w:val="nil"/>
              <w:right w:val="nil"/>
            </w:tcBorders>
            <w:noWrap/>
            <w:vAlign w:val="bottom"/>
          </w:tcPr>
          <w:p w14:paraId="57C0C36E"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0.436</w:t>
            </w:r>
          </w:p>
        </w:tc>
      </w:tr>
      <w:tr w:rsidR="00724350" w:rsidRPr="00464A1D" w14:paraId="0D216751"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0717143A"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nil"/>
              <w:right w:val="nil"/>
            </w:tcBorders>
            <w:noWrap/>
            <w:vAlign w:val="bottom"/>
          </w:tcPr>
          <w:p w14:paraId="1B6FBCA1"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2</w:t>
            </w:r>
          </w:p>
        </w:tc>
        <w:tc>
          <w:tcPr>
            <w:tcW w:w="1002" w:type="dxa"/>
            <w:gridSpan w:val="2"/>
            <w:tcBorders>
              <w:top w:val="nil"/>
              <w:left w:val="nil"/>
              <w:bottom w:val="nil"/>
              <w:right w:val="nil"/>
            </w:tcBorders>
            <w:noWrap/>
            <w:vAlign w:val="bottom"/>
          </w:tcPr>
          <w:p w14:paraId="28A431E0"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116.58</w:t>
            </w:r>
          </w:p>
        </w:tc>
        <w:tc>
          <w:tcPr>
            <w:tcW w:w="1148" w:type="dxa"/>
            <w:tcBorders>
              <w:top w:val="nil"/>
              <w:left w:val="nil"/>
              <w:bottom w:val="nil"/>
              <w:right w:val="nil"/>
            </w:tcBorders>
            <w:noWrap/>
            <w:vAlign w:val="bottom"/>
          </w:tcPr>
          <w:p w14:paraId="3E1A197E"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27.1</w:t>
            </w:r>
          </w:p>
        </w:tc>
        <w:tc>
          <w:tcPr>
            <w:tcW w:w="995" w:type="dxa"/>
            <w:gridSpan w:val="2"/>
            <w:tcBorders>
              <w:top w:val="nil"/>
              <w:left w:val="nil"/>
              <w:bottom w:val="nil"/>
              <w:right w:val="nil"/>
            </w:tcBorders>
            <w:noWrap/>
            <w:vAlign w:val="bottom"/>
          </w:tcPr>
          <w:p w14:paraId="0A50DCAE"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5B2EB3E2"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1.016</w:t>
            </w:r>
          </w:p>
        </w:tc>
        <w:tc>
          <w:tcPr>
            <w:tcW w:w="1323" w:type="dxa"/>
            <w:tcBorders>
              <w:top w:val="nil"/>
              <w:left w:val="nil"/>
              <w:bottom w:val="nil"/>
              <w:right w:val="nil"/>
            </w:tcBorders>
            <w:noWrap/>
            <w:vAlign w:val="bottom"/>
          </w:tcPr>
          <w:p w14:paraId="29B7D98B"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0.446</w:t>
            </w:r>
          </w:p>
        </w:tc>
      </w:tr>
      <w:tr w:rsidR="00724350" w:rsidRPr="00464A1D" w14:paraId="7F61C3CD"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55853C48"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(cancov-canhgt-veg)</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nil"/>
              <w:right w:val="nil"/>
            </w:tcBorders>
            <w:noWrap/>
            <w:vAlign w:val="bottom"/>
          </w:tcPr>
          <w:p w14:paraId="73667649"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6</w:t>
            </w:r>
          </w:p>
        </w:tc>
        <w:tc>
          <w:tcPr>
            <w:tcW w:w="1002" w:type="dxa"/>
            <w:gridSpan w:val="2"/>
            <w:tcBorders>
              <w:top w:val="nil"/>
              <w:left w:val="nil"/>
              <w:bottom w:val="nil"/>
              <w:right w:val="nil"/>
            </w:tcBorders>
            <w:noWrap/>
            <w:vAlign w:val="bottom"/>
          </w:tcPr>
          <w:p w14:paraId="3CD4D072"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104.01</w:t>
            </w:r>
          </w:p>
        </w:tc>
        <w:tc>
          <w:tcPr>
            <w:tcW w:w="1148" w:type="dxa"/>
            <w:tcBorders>
              <w:top w:val="nil"/>
              <w:left w:val="nil"/>
              <w:bottom w:val="nil"/>
              <w:right w:val="nil"/>
            </w:tcBorders>
            <w:noWrap/>
            <w:vAlign w:val="bottom"/>
          </w:tcPr>
          <w:p w14:paraId="4B4D7E0E"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27.9</w:t>
            </w:r>
          </w:p>
        </w:tc>
        <w:tc>
          <w:tcPr>
            <w:tcW w:w="995" w:type="dxa"/>
            <w:gridSpan w:val="2"/>
            <w:tcBorders>
              <w:top w:val="nil"/>
              <w:left w:val="nil"/>
              <w:bottom w:val="nil"/>
              <w:right w:val="nil"/>
            </w:tcBorders>
            <w:noWrap/>
            <w:vAlign w:val="bottom"/>
          </w:tcPr>
          <w:p w14:paraId="76E9B45A"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7EB8D5A8"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0.972</w:t>
            </w:r>
          </w:p>
        </w:tc>
        <w:tc>
          <w:tcPr>
            <w:tcW w:w="1323" w:type="dxa"/>
            <w:tcBorders>
              <w:top w:val="nil"/>
              <w:left w:val="nil"/>
              <w:bottom w:val="nil"/>
              <w:right w:val="nil"/>
            </w:tcBorders>
            <w:noWrap/>
            <w:vAlign w:val="bottom"/>
          </w:tcPr>
          <w:p w14:paraId="13E97CB4"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0.347</w:t>
            </w:r>
          </w:p>
        </w:tc>
      </w:tr>
      <w:tr w:rsidR="00724350" w:rsidRPr="00464A1D" w14:paraId="0AA46687"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64A19B70"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(cancov-veg)</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noWrap/>
            <w:vAlign w:val="bottom"/>
          </w:tcPr>
          <w:p w14:paraId="26D4FD38"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6</w:t>
            </w:r>
          </w:p>
        </w:tc>
        <w:tc>
          <w:tcPr>
            <w:tcW w:w="1002" w:type="dxa"/>
            <w:gridSpan w:val="2"/>
            <w:tcBorders>
              <w:top w:val="nil"/>
              <w:left w:val="nil"/>
              <w:bottom w:val="nil"/>
              <w:right w:val="nil"/>
            </w:tcBorders>
            <w:noWrap/>
            <w:vAlign w:val="bottom"/>
          </w:tcPr>
          <w:p w14:paraId="5403058A"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106.55</w:t>
            </w:r>
          </w:p>
        </w:tc>
        <w:tc>
          <w:tcPr>
            <w:tcW w:w="1148" w:type="dxa"/>
            <w:tcBorders>
              <w:top w:val="nil"/>
              <w:left w:val="nil"/>
              <w:bottom w:val="nil"/>
              <w:right w:val="nil"/>
            </w:tcBorders>
            <w:noWrap/>
            <w:vAlign w:val="bottom"/>
          </w:tcPr>
          <w:p w14:paraId="12F861D1"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29.1</w:t>
            </w:r>
          </w:p>
        </w:tc>
        <w:tc>
          <w:tcPr>
            <w:tcW w:w="995" w:type="dxa"/>
            <w:gridSpan w:val="2"/>
            <w:tcBorders>
              <w:top w:val="nil"/>
              <w:left w:val="nil"/>
              <w:bottom w:val="nil"/>
              <w:right w:val="nil"/>
            </w:tcBorders>
            <w:noWrap/>
            <w:vAlign w:val="bottom"/>
          </w:tcPr>
          <w:p w14:paraId="5DCD4ADE"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27BE0C7A"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0.985</w:t>
            </w:r>
          </w:p>
        </w:tc>
        <w:tc>
          <w:tcPr>
            <w:tcW w:w="1323" w:type="dxa"/>
            <w:tcBorders>
              <w:top w:val="nil"/>
              <w:left w:val="nil"/>
              <w:bottom w:val="nil"/>
              <w:right w:val="nil"/>
            </w:tcBorders>
            <w:noWrap/>
            <w:vAlign w:val="bottom"/>
          </w:tcPr>
          <w:p w14:paraId="40F17864"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0.436</w:t>
            </w:r>
          </w:p>
        </w:tc>
      </w:tr>
      <w:tr w:rsidR="00724350" w:rsidRPr="00464A1D" w14:paraId="67CE8243"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5FFE067C"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(understory-cancov-veg)</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noWrap/>
            <w:vAlign w:val="bottom"/>
          </w:tcPr>
          <w:p w14:paraId="2F4B9ACA"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7</w:t>
            </w:r>
          </w:p>
        </w:tc>
        <w:tc>
          <w:tcPr>
            <w:tcW w:w="1002" w:type="dxa"/>
            <w:gridSpan w:val="2"/>
            <w:tcBorders>
              <w:top w:val="nil"/>
              <w:left w:val="nil"/>
              <w:bottom w:val="nil"/>
              <w:right w:val="nil"/>
            </w:tcBorders>
            <w:noWrap/>
            <w:vAlign w:val="bottom"/>
          </w:tcPr>
          <w:p w14:paraId="027E05C3"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103.12</w:t>
            </w:r>
          </w:p>
        </w:tc>
        <w:tc>
          <w:tcPr>
            <w:tcW w:w="1148" w:type="dxa"/>
            <w:tcBorders>
              <w:top w:val="nil"/>
              <w:left w:val="nil"/>
              <w:bottom w:val="nil"/>
              <w:right w:val="nil"/>
            </w:tcBorders>
            <w:noWrap/>
            <w:vAlign w:val="bottom"/>
          </w:tcPr>
          <w:p w14:paraId="37AFBD2B"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30.2</w:t>
            </w:r>
          </w:p>
        </w:tc>
        <w:tc>
          <w:tcPr>
            <w:tcW w:w="995" w:type="dxa"/>
            <w:gridSpan w:val="2"/>
            <w:tcBorders>
              <w:top w:val="nil"/>
              <w:left w:val="nil"/>
              <w:bottom w:val="nil"/>
              <w:right w:val="nil"/>
            </w:tcBorders>
            <w:noWrap/>
            <w:vAlign w:val="bottom"/>
          </w:tcPr>
          <w:p w14:paraId="6BF8DE5B"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457741B1"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0.964</w:t>
            </w:r>
          </w:p>
        </w:tc>
        <w:tc>
          <w:tcPr>
            <w:tcW w:w="1323" w:type="dxa"/>
            <w:tcBorders>
              <w:top w:val="nil"/>
              <w:left w:val="nil"/>
              <w:bottom w:val="nil"/>
              <w:right w:val="nil"/>
            </w:tcBorders>
            <w:noWrap/>
            <w:vAlign w:val="bottom"/>
          </w:tcPr>
          <w:p w14:paraId="0B200E3A"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0.406</w:t>
            </w:r>
          </w:p>
        </w:tc>
      </w:tr>
      <w:tr w:rsidR="00724350" w:rsidRPr="00464A1D" w14:paraId="4A586BA6"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78683135"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(understory-cancov)</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noWrap/>
            <w:vAlign w:val="bottom"/>
          </w:tcPr>
          <w:p w14:paraId="5034BB89"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5</w:t>
            </w:r>
          </w:p>
        </w:tc>
        <w:tc>
          <w:tcPr>
            <w:tcW w:w="1002" w:type="dxa"/>
            <w:gridSpan w:val="2"/>
            <w:tcBorders>
              <w:top w:val="nil"/>
              <w:left w:val="nil"/>
              <w:bottom w:val="nil"/>
              <w:right w:val="nil"/>
            </w:tcBorders>
            <w:noWrap/>
            <w:vAlign w:val="bottom"/>
          </w:tcPr>
          <w:p w14:paraId="120B4539"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108.19</w:t>
            </w:r>
          </w:p>
        </w:tc>
        <w:tc>
          <w:tcPr>
            <w:tcW w:w="1148" w:type="dxa"/>
            <w:tcBorders>
              <w:top w:val="nil"/>
              <w:left w:val="nil"/>
              <w:bottom w:val="nil"/>
              <w:right w:val="nil"/>
            </w:tcBorders>
            <w:noWrap/>
            <w:vAlign w:val="bottom"/>
          </w:tcPr>
          <w:p w14:paraId="556B5600"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37.3</w:t>
            </w:r>
          </w:p>
        </w:tc>
        <w:tc>
          <w:tcPr>
            <w:tcW w:w="995" w:type="dxa"/>
            <w:gridSpan w:val="2"/>
            <w:tcBorders>
              <w:top w:val="nil"/>
              <w:left w:val="nil"/>
              <w:bottom w:val="nil"/>
              <w:right w:val="nil"/>
            </w:tcBorders>
            <w:noWrap/>
            <w:vAlign w:val="bottom"/>
          </w:tcPr>
          <w:p w14:paraId="11CF23FB"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52A40FD3"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0.913</w:t>
            </w:r>
          </w:p>
        </w:tc>
        <w:tc>
          <w:tcPr>
            <w:tcW w:w="1323" w:type="dxa"/>
            <w:tcBorders>
              <w:top w:val="nil"/>
              <w:left w:val="nil"/>
              <w:bottom w:val="nil"/>
              <w:right w:val="nil"/>
            </w:tcBorders>
            <w:noWrap/>
            <w:vAlign w:val="bottom"/>
          </w:tcPr>
          <w:p w14:paraId="7B0001F7"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0.564</w:t>
            </w:r>
          </w:p>
        </w:tc>
      </w:tr>
      <w:tr w:rsidR="00724350" w:rsidRPr="00464A1D" w14:paraId="178419AC"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nil"/>
              <w:right w:val="nil"/>
            </w:tcBorders>
            <w:noWrap/>
            <w:vAlign w:val="bottom"/>
          </w:tcPr>
          <w:p w14:paraId="3D269027"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(cancov-canhgt)</w:t>
            </w:r>
            <w:r w:rsidRPr="00464A1D">
              <w:rPr>
                <w:rFonts w:eastAsia="Calibri"/>
                <w:i/>
                <w:color w:val="000000"/>
                <w:sz w:val="24"/>
                <w:szCs w:val="24"/>
                <w:lang w:val="en-GB"/>
              </w:rPr>
              <w:t>,p</w:t>
            </w:r>
            <w:r w:rsidRPr="00464A1D">
              <w:rPr>
                <w:rFonts w:eastAsia="Calibri"/>
                <w:color w:val="000000"/>
                <w:sz w:val="24"/>
                <w:szCs w:val="24"/>
                <w:lang w:val="en-GB"/>
              </w:rPr>
              <w:t>(time)</w:t>
            </w:r>
          </w:p>
        </w:tc>
        <w:tc>
          <w:tcPr>
            <w:tcW w:w="346" w:type="dxa"/>
            <w:gridSpan w:val="2"/>
            <w:tcBorders>
              <w:top w:val="nil"/>
              <w:left w:val="nil"/>
              <w:bottom w:val="nil"/>
              <w:right w:val="nil"/>
            </w:tcBorders>
            <w:noWrap/>
            <w:vAlign w:val="bottom"/>
          </w:tcPr>
          <w:p w14:paraId="0B7501A3"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5</w:t>
            </w:r>
          </w:p>
        </w:tc>
        <w:tc>
          <w:tcPr>
            <w:tcW w:w="1002" w:type="dxa"/>
            <w:gridSpan w:val="2"/>
            <w:tcBorders>
              <w:top w:val="nil"/>
              <w:left w:val="nil"/>
              <w:bottom w:val="nil"/>
              <w:right w:val="nil"/>
            </w:tcBorders>
            <w:noWrap/>
            <w:vAlign w:val="bottom"/>
          </w:tcPr>
          <w:p w14:paraId="22CC790C"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110.75</w:t>
            </w:r>
          </w:p>
        </w:tc>
        <w:tc>
          <w:tcPr>
            <w:tcW w:w="1148" w:type="dxa"/>
            <w:tcBorders>
              <w:top w:val="nil"/>
              <w:left w:val="nil"/>
              <w:bottom w:val="nil"/>
              <w:right w:val="nil"/>
            </w:tcBorders>
            <w:noWrap/>
            <w:vAlign w:val="bottom"/>
          </w:tcPr>
          <w:p w14:paraId="194C88FE"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38.1</w:t>
            </w:r>
          </w:p>
        </w:tc>
        <w:tc>
          <w:tcPr>
            <w:tcW w:w="995" w:type="dxa"/>
            <w:gridSpan w:val="2"/>
            <w:tcBorders>
              <w:top w:val="nil"/>
              <w:left w:val="nil"/>
              <w:bottom w:val="nil"/>
              <w:right w:val="nil"/>
            </w:tcBorders>
            <w:noWrap/>
            <w:vAlign w:val="bottom"/>
          </w:tcPr>
          <w:p w14:paraId="283044A1"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nil"/>
              <w:right w:val="nil"/>
            </w:tcBorders>
            <w:noWrap/>
            <w:vAlign w:val="bottom"/>
          </w:tcPr>
          <w:p w14:paraId="5EC58B7C"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0.928</w:t>
            </w:r>
          </w:p>
        </w:tc>
        <w:tc>
          <w:tcPr>
            <w:tcW w:w="1323" w:type="dxa"/>
            <w:tcBorders>
              <w:top w:val="nil"/>
              <w:left w:val="nil"/>
              <w:bottom w:val="nil"/>
              <w:right w:val="nil"/>
            </w:tcBorders>
            <w:noWrap/>
            <w:vAlign w:val="bottom"/>
          </w:tcPr>
          <w:p w14:paraId="5B84FA53"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0.545</w:t>
            </w:r>
          </w:p>
        </w:tc>
      </w:tr>
      <w:tr w:rsidR="00724350" w:rsidRPr="00464A1D" w14:paraId="28134554"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right w:val="nil"/>
            </w:tcBorders>
            <w:noWrap/>
            <w:vAlign w:val="bottom"/>
          </w:tcPr>
          <w:p w14:paraId="41D994F4"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lastRenderedPageBreak/>
              <w:t>ψ</w:t>
            </w:r>
            <w:r w:rsidRPr="00464A1D">
              <w:rPr>
                <w:rFonts w:eastAsia="Calibri"/>
                <w:color w:val="000000"/>
                <w:sz w:val="24"/>
                <w:szCs w:val="24"/>
                <w:lang w:val="en-GB"/>
              </w:rPr>
              <w:t>(understory-cancov)</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right w:val="nil"/>
            </w:tcBorders>
            <w:noWrap/>
            <w:vAlign w:val="bottom"/>
          </w:tcPr>
          <w:p w14:paraId="53343AB1"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4</w:t>
            </w:r>
          </w:p>
        </w:tc>
        <w:tc>
          <w:tcPr>
            <w:tcW w:w="1002" w:type="dxa"/>
            <w:gridSpan w:val="2"/>
            <w:tcBorders>
              <w:top w:val="nil"/>
              <w:left w:val="nil"/>
              <w:right w:val="nil"/>
            </w:tcBorders>
            <w:noWrap/>
            <w:vAlign w:val="bottom"/>
          </w:tcPr>
          <w:p w14:paraId="15BC8147"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109.02</w:t>
            </w:r>
          </w:p>
        </w:tc>
        <w:tc>
          <w:tcPr>
            <w:tcW w:w="1148" w:type="dxa"/>
            <w:tcBorders>
              <w:top w:val="nil"/>
              <w:left w:val="nil"/>
              <w:right w:val="nil"/>
            </w:tcBorders>
            <w:noWrap/>
            <w:vAlign w:val="bottom"/>
          </w:tcPr>
          <w:p w14:paraId="7BB8469F"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39.0</w:t>
            </w:r>
          </w:p>
        </w:tc>
        <w:tc>
          <w:tcPr>
            <w:tcW w:w="995" w:type="dxa"/>
            <w:gridSpan w:val="2"/>
            <w:tcBorders>
              <w:top w:val="nil"/>
              <w:left w:val="nil"/>
              <w:right w:val="nil"/>
            </w:tcBorders>
            <w:noWrap/>
            <w:vAlign w:val="bottom"/>
          </w:tcPr>
          <w:p w14:paraId="677A4D0D"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right w:val="nil"/>
            </w:tcBorders>
            <w:noWrap/>
            <w:vAlign w:val="bottom"/>
          </w:tcPr>
          <w:p w14:paraId="59EADF56"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0.891</w:t>
            </w:r>
          </w:p>
        </w:tc>
        <w:tc>
          <w:tcPr>
            <w:tcW w:w="1323" w:type="dxa"/>
            <w:tcBorders>
              <w:top w:val="nil"/>
              <w:left w:val="nil"/>
              <w:right w:val="nil"/>
            </w:tcBorders>
            <w:noWrap/>
            <w:vAlign w:val="bottom"/>
          </w:tcPr>
          <w:p w14:paraId="2286CA80"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0.634</w:t>
            </w:r>
          </w:p>
        </w:tc>
      </w:tr>
      <w:tr w:rsidR="00724350" w:rsidRPr="00464A1D" w14:paraId="01F59D2A" w14:textId="77777777" w:rsidTr="002C2881">
        <w:tblPrEx>
          <w:tblCellMar>
            <w:left w:w="108" w:type="dxa"/>
            <w:right w:w="108" w:type="dxa"/>
          </w:tblCellMar>
          <w:tblLook w:val="00A0" w:firstRow="1" w:lastRow="0" w:firstColumn="1" w:lastColumn="0" w:noHBand="0" w:noVBand="0"/>
        </w:tblPrEx>
        <w:trPr>
          <w:gridAfter w:val="1"/>
          <w:wAfter w:w="42" w:type="dxa"/>
          <w:trHeight w:hRule="exact" w:val="259"/>
        </w:trPr>
        <w:tc>
          <w:tcPr>
            <w:tcW w:w="3961" w:type="dxa"/>
            <w:gridSpan w:val="2"/>
            <w:tcBorders>
              <w:top w:val="nil"/>
              <w:left w:val="nil"/>
              <w:bottom w:val="double" w:sz="4" w:space="0" w:color="auto"/>
              <w:right w:val="nil"/>
            </w:tcBorders>
            <w:noWrap/>
            <w:vAlign w:val="bottom"/>
          </w:tcPr>
          <w:p w14:paraId="06575D2B" w14:textId="77777777" w:rsidR="00724350" w:rsidRPr="00464A1D" w:rsidRDefault="00724350" w:rsidP="002C2881">
            <w:pPr>
              <w:spacing w:line="360" w:lineRule="auto"/>
              <w:ind w:left="-108" w:right="136"/>
              <w:rPr>
                <w:rFonts w:eastAsia="Calibri"/>
                <w:color w:val="000000"/>
                <w:sz w:val="24"/>
                <w:szCs w:val="24"/>
                <w:lang w:val="en-GB"/>
              </w:rPr>
            </w:pPr>
            <w:r w:rsidRPr="00464A1D">
              <w:rPr>
                <w:rFonts w:eastAsia="Calibri"/>
                <w:i/>
                <w:color w:val="000000"/>
                <w:sz w:val="24"/>
                <w:szCs w:val="24"/>
                <w:lang w:val="en-GB"/>
              </w:rPr>
              <w:t>ψ</w:t>
            </w:r>
            <w:r w:rsidRPr="00464A1D">
              <w:rPr>
                <w:rFonts w:eastAsia="Calibri"/>
                <w:color w:val="000000"/>
                <w:sz w:val="24"/>
                <w:szCs w:val="24"/>
                <w:lang w:val="en-GB"/>
              </w:rPr>
              <w:t>(cancov)</w:t>
            </w:r>
            <w:r w:rsidRPr="00464A1D">
              <w:rPr>
                <w:rFonts w:eastAsia="Calibri"/>
                <w:i/>
                <w:color w:val="000000"/>
                <w:sz w:val="24"/>
                <w:szCs w:val="24"/>
                <w:lang w:val="en-GB"/>
              </w:rPr>
              <w:t>,p</w:t>
            </w:r>
            <w:r w:rsidRPr="00464A1D">
              <w:rPr>
                <w:rFonts w:eastAsia="Calibri"/>
                <w:color w:val="000000"/>
                <w:sz w:val="24"/>
                <w:szCs w:val="24"/>
                <w:lang w:val="en-GB"/>
              </w:rPr>
              <w:t>(.)</w:t>
            </w:r>
          </w:p>
        </w:tc>
        <w:tc>
          <w:tcPr>
            <w:tcW w:w="346" w:type="dxa"/>
            <w:gridSpan w:val="2"/>
            <w:tcBorders>
              <w:top w:val="nil"/>
              <w:left w:val="nil"/>
              <w:bottom w:val="double" w:sz="4" w:space="0" w:color="auto"/>
              <w:right w:val="nil"/>
            </w:tcBorders>
            <w:noWrap/>
            <w:vAlign w:val="bottom"/>
          </w:tcPr>
          <w:p w14:paraId="609DF031" w14:textId="77777777" w:rsidR="00724350" w:rsidRPr="00464A1D" w:rsidRDefault="00724350" w:rsidP="002C2881">
            <w:pPr>
              <w:spacing w:line="360" w:lineRule="auto"/>
              <w:ind w:left="-124"/>
              <w:jc w:val="center"/>
              <w:rPr>
                <w:rFonts w:eastAsia="Calibri"/>
                <w:color w:val="000000"/>
                <w:sz w:val="24"/>
                <w:szCs w:val="24"/>
                <w:lang w:val="en-GB"/>
              </w:rPr>
            </w:pPr>
            <w:r w:rsidRPr="00464A1D">
              <w:rPr>
                <w:rFonts w:eastAsia="Calibri"/>
                <w:color w:val="000000"/>
                <w:sz w:val="24"/>
                <w:szCs w:val="24"/>
                <w:lang w:val="en-GB"/>
              </w:rPr>
              <w:t>3</w:t>
            </w:r>
          </w:p>
        </w:tc>
        <w:tc>
          <w:tcPr>
            <w:tcW w:w="1002" w:type="dxa"/>
            <w:gridSpan w:val="2"/>
            <w:tcBorders>
              <w:top w:val="nil"/>
              <w:left w:val="nil"/>
              <w:bottom w:val="double" w:sz="4" w:space="0" w:color="auto"/>
              <w:right w:val="nil"/>
            </w:tcBorders>
            <w:noWrap/>
            <w:vAlign w:val="bottom"/>
          </w:tcPr>
          <w:p w14:paraId="26148322" w14:textId="77777777" w:rsidR="00724350" w:rsidRPr="00464A1D" w:rsidRDefault="00724350" w:rsidP="002C2881">
            <w:pPr>
              <w:spacing w:line="360" w:lineRule="auto"/>
              <w:ind w:left="-124" w:right="45"/>
              <w:jc w:val="right"/>
              <w:rPr>
                <w:rFonts w:eastAsia="Calibri"/>
                <w:color w:val="000000"/>
                <w:sz w:val="24"/>
                <w:szCs w:val="24"/>
                <w:lang w:val="en-GB"/>
              </w:rPr>
            </w:pPr>
            <w:r w:rsidRPr="00464A1D">
              <w:rPr>
                <w:rFonts w:eastAsia="Calibri"/>
                <w:color w:val="000000"/>
                <w:sz w:val="24"/>
                <w:szCs w:val="24"/>
                <w:lang w:val="en-GB"/>
              </w:rPr>
              <w:t>113.47</w:t>
            </w:r>
          </w:p>
        </w:tc>
        <w:tc>
          <w:tcPr>
            <w:tcW w:w="1148" w:type="dxa"/>
            <w:tcBorders>
              <w:top w:val="nil"/>
              <w:left w:val="nil"/>
              <w:bottom w:val="double" w:sz="4" w:space="0" w:color="auto"/>
              <w:right w:val="nil"/>
            </w:tcBorders>
            <w:noWrap/>
            <w:vAlign w:val="bottom"/>
          </w:tcPr>
          <w:p w14:paraId="7BF78870" w14:textId="77777777" w:rsidR="00724350" w:rsidRPr="00464A1D" w:rsidRDefault="00724350" w:rsidP="002C2881">
            <w:pPr>
              <w:spacing w:line="360" w:lineRule="auto"/>
              <w:ind w:left="-197" w:right="201"/>
              <w:jc w:val="right"/>
              <w:rPr>
                <w:rFonts w:eastAsia="Calibri"/>
                <w:color w:val="000000"/>
                <w:sz w:val="24"/>
                <w:szCs w:val="24"/>
                <w:lang w:val="en-GB"/>
              </w:rPr>
            </w:pPr>
            <w:r w:rsidRPr="00464A1D">
              <w:rPr>
                <w:rFonts w:eastAsia="Calibri"/>
                <w:color w:val="000000"/>
                <w:sz w:val="24"/>
                <w:szCs w:val="24"/>
                <w:lang w:val="en-GB"/>
              </w:rPr>
              <w:t>42.8</w:t>
            </w:r>
          </w:p>
        </w:tc>
        <w:tc>
          <w:tcPr>
            <w:tcW w:w="995" w:type="dxa"/>
            <w:gridSpan w:val="2"/>
            <w:tcBorders>
              <w:top w:val="nil"/>
              <w:left w:val="nil"/>
              <w:bottom w:val="double" w:sz="4" w:space="0" w:color="auto"/>
              <w:right w:val="nil"/>
            </w:tcBorders>
            <w:noWrap/>
            <w:vAlign w:val="bottom"/>
          </w:tcPr>
          <w:p w14:paraId="623A2FC4" w14:textId="77777777" w:rsidR="00724350" w:rsidRPr="00464A1D" w:rsidRDefault="00724350" w:rsidP="002C2881">
            <w:pPr>
              <w:spacing w:line="360" w:lineRule="auto"/>
              <w:ind w:left="-215" w:right="145"/>
              <w:jc w:val="right"/>
              <w:rPr>
                <w:rFonts w:eastAsia="Calibri"/>
                <w:color w:val="000000"/>
                <w:sz w:val="24"/>
                <w:szCs w:val="24"/>
                <w:lang w:val="en-GB"/>
              </w:rPr>
            </w:pPr>
            <w:r w:rsidRPr="00464A1D">
              <w:rPr>
                <w:rFonts w:eastAsia="Calibri"/>
                <w:color w:val="000000"/>
                <w:sz w:val="24"/>
                <w:szCs w:val="24"/>
                <w:lang w:val="en-GB"/>
              </w:rPr>
              <w:t>0.00</w:t>
            </w:r>
          </w:p>
        </w:tc>
        <w:tc>
          <w:tcPr>
            <w:tcW w:w="879" w:type="dxa"/>
            <w:gridSpan w:val="2"/>
            <w:tcBorders>
              <w:top w:val="nil"/>
              <w:left w:val="nil"/>
              <w:bottom w:val="double" w:sz="4" w:space="0" w:color="auto"/>
              <w:right w:val="nil"/>
            </w:tcBorders>
            <w:noWrap/>
            <w:vAlign w:val="bottom"/>
          </w:tcPr>
          <w:p w14:paraId="6D474E70" w14:textId="77777777" w:rsidR="00724350" w:rsidRPr="00464A1D" w:rsidRDefault="00724350" w:rsidP="002C2881">
            <w:pPr>
              <w:spacing w:line="360" w:lineRule="auto"/>
              <w:jc w:val="right"/>
              <w:rPr>
                <w:rFonts w:eastAsia="Calibri"/>
                <w:color w:val="000000"/>
                <w:sz w:val="24"/>
                <w:szCs w:val="24"/>
                <w:lang w:val="en-GB"/>
              </w:rPr>
            </w:pPr>
            <w:r w:rsidRPr="00464A1D">
              <w:rPr>
                <w:rFonts w:eastAsia="Calibri"/>
                <w:color w:val="000000"/>
                <w:sz w:val="24"/>
                <w:szCs w:val="24"/>
                <w:lang w:val="en-GB"/>
              </w:rPr>
              <w:t>0.884</w:t>
            </w:r>
          </w:p>
        </w:tc>
        <w:tc>
          <w:tcPr>
            <w:tcW w:w="1323" w:type="dxa"/>
            <w:tcBorders>
              <w:top w:val="nil"/>
              <w:left w:val="nil"/>
              <w:bottom w:val="double" w:sz="4" w:space="0" w:color="auto"/>
              <w:right w:val="nil"/>
            </w:tcBorders>
            <w:noWrap/>
            <w:vAlign w:val="bottom"/>
          </w:tcPr>
          <w:p w14:paraId="63990F87" w14:textId="77777777" w:rsidR="00724350" w:rsidRPr="00464A1D" w:rsidRDefault="00724350" w:rsidP="002C2881">
            <w:pPr>
              <w:spacing w:line="360" w:lineRule="auto"/>
              <w:ind w:left="39" w:right="248"/>
              <w:jc w:val="right"/>
              <w:rPr>
                <w:rFonts w:eastAsia="Calibri"/>
                <w:color w:val="000000"/>
                <w:sz w:val="24"/>
                <w:szCs w:val="24"/>
                <w:lang w:val="en-GB"/>
              </w:rPr>
            </w:pPr>
            <w:r w:rsidRPr="00464A1D">
              <w:rPr>
                <w:rFonts w:eastAsia="Calibri"/>
                <w:color w:val="000000"/>
                <w:sz w:val="24"/>
                <w:szCs w:val="24"/>
                <w:lang w:val="en-GB"/>
              </w:rPr>
              <w:t>0.624</w:t>
            </w:r>
          </w:p>
        </w:tc>
      </w:tr>
    </w:tbl>
    <w:p w14:paraId="469B160B" w14:textId="77777777" w:rsidR="00724350" w:rsidRPr="00464A1D" w:rsidRDefault="00724350" w:rsidP="00724350">
      <w:pPr>
        <w:spacing w:line="360" w:lineRule="auto"/>
        <w:rPr>
          <w:sz w:val="24"/>
          <w:szCs w:val="24"/>
          <w:lang w:val="en-GB"/>
        </w:rPr>
      </w:pPr>
    </w:p>
    <w:p w14:paraId="46A99045" w14:textId="77777777" w:rsidR="00724350" w:rsidRPr="00464A1D" w:rsidRDefault="00724350" w:rsidP="00724350">
      <w:pPr>
        <w:widowControl/>
        <w:autoSpaceDE/>
        <w:autoSpaceDN/>
        <w:adjustRightInd/>
        <w:spacing w:line="360" w:lineRule="auto"/>
        <w:rPr>
          <w:sz w:val="24"/>
          <w:szCs w:val="24"/>
          <w:lang w:val="en-GB"/>
        </w:rPr>
      </w:pPr>
      <w:r w:rsidRPr="00464A1D">
        <w:rPr>
          <w:sz w:val="24"/>
          <w:szCs w:val="24"/>
          <w:lang w:val="en-GB"/>
        </w:rPr>
        <w:br w:type="page"/>
      </w:r>
    </w:p>
    <w:p w14:paraId="7210839A" w14:textId="77777777" w:rsidR="00724350" w:rsidRPr="00AB1E74" w:rsidRDefault="00724350" w:rsidP="00724350">
      <w:pPr>
        <w:pStyle w:val="Heading1"/>
        <w:rPr>
          <w:lang w:val="en-GB"/>
        </w:rPr>
      </w:pPr>
      <w:r w:rsidRPr="00AB1E74">
        <w:rPr>
          <w:lang w:val="en-GB"/>
        </w:rPr>
        <w:lastRenderedPageBreak/>
        <w:t>Appendix S5. Survey effort requirements</w:t>
      </w:r>
      <w:r>
        <w:rPr>
          <w:lang w:val="en-GB"/>
        </w:rPr>
        <w:t>.</w:t>
      </w:r>
    </w:p>
    <w:p w14:paraId="7E95914B" w14:textId="77777777" w:rsidR="00724350" w:rsidRPr="00464A1D" w:rsidRDefault="00724350" w:rsidP="00724350">
      <w:pPr>
        <w:widowControl/>
        <w:autoSpaceDE/>
        <w:autoSpaceDN/>
        <w:adjustRightInd/>
        <w:spacing w:line="360" w:lineRule="auto"/>
        <w:rPr>
          <w:sz w:val="24"/>
          <w:szCs w:val="24"/>
          <w:lang w:val="en-GB"/>
        </w:rPr>
      </w:pPr>
      <w:r w:rsidRPr="00464A1D">
        <w:rPr>
          <w:sz w:val="24"/>
          <w:szCs w:val="24"/>
          <w:lang w:val="en-GB"/>
        </w:rPr>
        <w:t xml:space="preserve">Detection probability (DP), in percent, of detecting one reed-warbler from a population of </w:t>
      </w:r>
      <w:r w:rsidRPr="00464A1D">
        <w:rPr>
          <w:i/>
          <w:sz w:val="24"/>
          <w:szCs w:val="24"/>
          <w:lang w:val="en-GB"/>
        </w:rPr>
        <w:t>n</w:t>
      </w:r>
      <w:r w:rsidRPr="00464A1D">
        <w:rPr>
          <w:sz w:val="24"/>
          <w:szCs w:val="24"/>
          <w:lang w:val="en-GB"/>
        </w:rPr>
        <w:t xml:space="preserve"> birds randomly distributed across the known range of the species on Aguiguan and Pagan, CNMI, and the minimum number of survey visits (</w:t>
      </w:r>
      <w:r w:rsidRPr="00464A1D">
        <w:rPr>
          <w:i/>
          <w:sz w:val="24"/>
          <w:szCs w:val="24"/>
          <w:lang w:val="en-GB"/>
        </w:rPr>
        <w:t>Nmin</w:t>
      </w:r>
      <w:r w:rsidRPr="00464A1D">
        <w:rPr>
          <w:sz w:val="24"/>
          <w:szCs w:val="24"/>
          <w:lang w:val="en-GB"/>
        </w:rPr>
        <w:t>) to obtain 95% and 99% DP.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843"/>
        <w:gridCol w:w="929"/>
        <w:gridCol w:w="1073"/>
        <w:gridCol w:w="843"/>
        <w:gridCol w:w="929"/>
        <w:gridCol w:w="1079"/>
        <w:gridCol w:w="843"/>
        <w:gridCol w:w="929"/>
        <w:gridCol w:w="1073"/>
      </w:tblGrid>
      <w:tr w:rsidR="00724350" w:rsidRPr="00464A1D" w14:paraId="3E3E1EB7" w14:textId="77777777" w:rsidTr="002C2881">
        <w:tc>
          <w:tcPr>
            <w:tcW w:w="0" w:type="auto"/>
            <w:vMerge w:val="restart"/>
            <w:tcBorders>
              <w:top w:val="single" w:sz="4" w:space="0" w:color="auto"/>
              <w:bottom w:val="single" w:sz="4" w:space="0" w:color="auto"/>
            </w:tcBorders>
            <w:vAlign w:val="bottom"/>
          </w:tcPr>
          <w:p w14:paraId="4AF3EF3E" w14:textId="77777777" w:rsidR="00724350" w:rsidRPr="00464A1D" w:rsidRDefault="00724350" w:rsidP="002C2881">
            <w:pPr>
              <w:spacing w:line="360" w:lineRule="auto"/>
              <w:rPr>
                <w:sz w:val="24"/>
                <w:szCs w:val="24"/>
                <w:lang w:val="en-GB"/>
              </w:rPr>
            </w:pPr>
            <w:r w:rsidRPr="00464A1D">
              <w:rPr>
                <w:sz w:val="24"/>
                <w:szCs w:val="24"/>
                <w:lang w:val="en-GB"/>
              </w:rPr>
              <w:t>Pop (</w:t>
            </w:r>
            <w:r w:rsidRPr="00464A1D">
              <w:rPr>
                <w:i/>
                <w:sz w:val="24"/>
                <w:szCs w:val="24"/>
                <w:lang w:val="en-GB"/>
              </w:rPr>
              <w:t>n</w:t>
            </w:r>
            <w:r w:rsidRPr="00464A1D">
              <w:rPr>
                <w:sz w:val="24"/>
                <w:szCs w:val="24"/>
                <w:lang w:val="en-GB"/>
              </w:rPr>
              <w:t>)</w:t>
            </w:r>
          </w:p>
        </w:tc>
        <w:tc>
          <w:tcPr>
            <w:tcW w:w="0" w:type="auto"/>
            <w:gridSpan w:val="3"/>
            <w:vMerge w:val="restart"/>
            <w:tcBorders>
              <w:top w:val="single" w:sz="4" w:space="0" w:color="auto"/>
              <w:bottom w:val="single" w:sz="4" w:space="0" w:color="auto"/>
            </w:tcBorders>
            <w:vAlign w:val="bottom"/>
          </w:tcPr>
          <w:p w14:paraId="0B2E0740" w14:textId="77777777" w:rsidR="00724350" w:rsidRPr="00464A1D" w:rsidRDefault="00724350" w:rsidP="002C2881">
            <w:pPr>
              <w:spacing w:line="360" w:lineRule="auto"/>
              <w:jc w:val="center"/>
              <w:rPr>
                <w:sz w:val="24"/>
                <w:szCs w:val="24"/>
                <w:lang w:val="en-GB"/>
              </w:rPr>
            </w:pPr>
            <w:r w:rsidRPr="00464A1D">
              <w:rPr>
                <w:sz w:val="24"/>
                <w:szCs w:val="24"/>
                <w:lang w:val="en-GB"/>
              </w:rPr>
              <w:t>Aguiguan</w:t>
            </w:r>
          </w:p>
        </w:tc>
        <w:tc>
          <w:tcPr>
            <w:tcW w:w="0" w:type="auto"/>
            <w:gridSpan w:val="6"/>
            <w:tcBorders>
              <w:top w:val="single" w:sz="4" w:space="0" w:color="auto"/>
              <w:bottom w:val="single" w:sz="4" w:space="0" w:color="auto"/>
            </w:tcBorders>
            <w:vAlign w:val="bottom"/>
          </w:tcPr>
          <w:p w14:paraId="7FD8E109" w14:textId="77777777" w:rsidR="00724350" w:rsidRPr="00464A1D" w:rsidRDefault="00724350" w:rsidP="002C2881">
            <w:pPr>
              <w:spacing w:line="360" w:lineRule="auto"/>
              <w:jc w:val="center"/>
              <w:rPr>
                <w:sz w:val="24"/>
                <w:szCs w:val="24"/>
                <w:lang w:val="en-GB"/>
              </w:rPr>
            </w:pPr>
            <w:r w:rsidRPr="00464A1D">
              <w:rPr>
                <w:sz w:val="24"/>
                <w:szCs w:val="24"/>
                <w:lang w:val="en-GB"/>
              </w:rPr>
              <w:t>Pagan</w:t>
            </w:r>
          </w:p>
        </w:tc>
      </w:tr>
      <w:tr w:rsidR="00724350" w:rsidRPr="00464A1D" w14:paraId="3727361A" w14:textId="77777777" w:rsidTr="002C2881">
        <w:tc>
          <w:tcPr>
            <w:tcW w:w="0" w:type="auto"/>
            <w:vMerge/>
            <w:tcBorders>
              <w:bottom w:val="single" w:sz="4" w:space="0" w:color="auto"/>
            </w:tcBorders>
            <w:vAlign w:val="bottom"/>
          </w:tcPr>
          <w:p w14:paraId="702D237A" w14:textId="77777777" w:rsidR="00724350" w:rsidRPr="00464A1D" w:rsidRDefault="00724350" w:rsidP="002C2881">
            <w:pPr>
              <w:spacing w:line="360" w:lineRule="auto"/>
              <w:jc w:val="center"/>
              <w:rPr>
                <w:sz w:val="24"/>
                <w:szCs w:val="24"/>
                <w:lang w:val="en-GB"/>
              </w:rPr>
            </w:pPr>
          </w:p>
        </w:tc>
        <w:tc>
          <w:tcPr>
            <w:tcW w:w="0" w:type="auto"/>
            <w:gridSpan w:val="3"/>
            <w:vMerge/>
            <w:tcBorders>
              <w:top w:val="single" w:sz="4" w:space="0" w:color="auto"/>
              <w:bottom w:val="single" w:sz="4" w:space="0" w:color="auto"/>
            </w:tcBorders>
            <w:vAlign w:val="bottom"/>
          </w:tcPr>
          <w:p w14:paraId="0EB6E6BA" w14:textId="77777777" w:rsidR="00724350" w:rsidRPr="00464A1D" w:rsidRDefault="00724350" w:rsidP="002C2881">
            <w:pPr>
              <w:spacing w:line="360" w:lineRule="auto"/>
              <w:jc w:val="center"/>
              <w:rPr>
                <w:sz w:val="24"/>
                <w:szCs w:val="24"/>
                <w:lang w:val="en-GB"/>
              </w:rPr>
            </w:pPr>
          </w:p>
        </w:tc>
        <w:tc>
          <w:tcPr>
            <w:tcW w:w="0" w:type="auto"/>
            <w:gridSpan w:val="3"/>
            <w:tcBorders>
              <w:top w:val="single" w:sz="4" w:space="0" w:color="auto"/>
              <w:bottom w:val="single" w:sz="4" w:space="0" w:color="auto"/>
            </w:tcBorders>
            <w:vAlign w:val="bottom"/>
          </w:tcPr>
          <w:p w14:paraId="19BE1429" w14:textId="77777777" w:rsidR="00724350" w:rsidRPr="00464A1D" w:rsidRDefault="00724350" w:rsidP="002C2881">
            <w:pPr>
              <w:spacing w:line="360" w:lineRule="auto"/>
              <w:jc w:val="center"/>
              <w:rPr>
                <w:sz w:val="24"/>
                <w:szCs w:val="24"/>
                <w:lang w:val="en-GB"/>
              </w:rPr>
            </w:pPr>
            <w:r w:rsidRPr="00464A1D">
              <w:rPr>
                <w:sz w:val="24"/>
                <w:szCs w:val="24"/>
                <w:lang w:val="en-GB"/>
              </w:rPr>
              <w:t>Wetland and Forest</w:t>
            </w:r>
          </w:p>
        </w:tc>
        <w:tc>
          <w:tcPr>
            <w:tcW w:w="0" w:type="auto"/>
            <w:gridSpan w:val="3"/>
            <w:tcBorders>
              <w:top w:val="single" w:sz="4" w:space="0" w:color="auto"/>
              <w:bottom w:val="single" w:sz="4" w:space="0" w:color="auto"/>
            </w:tcBorders>
            <w:vAlign w:val="bottom"/>
          </w:tcPr>
          <w:p w14:paraId="2C183147" w14:textId="77777777" w:rsidR="00724350" w:rsidRPr="00464A1D" w:rsidRDefault="00724350" w:rsidP="002C2881">
            <w:pPr>
              <w:spacing w:line="360" w:lineRule="auto"/>
              <w:jc w:val="center"/>
              <w:rPr>
                <w:sz w:val="24"/>
                <w:szCs w:val="24"/>
                <w:lang w:val="en-GB"/>
              </w:rPr>
            </w:pPr>
            <w:r w:rsidRPr="00464A1D">
              <w:rPr>
                <w:sz w:val="24"/>
                <w:szCs w:val="24"/>
                <w:lang w:val="en-GB"/>
              </w:rPr>
              <w:t>Wetland</w:t>
            </w:r>
          </w:p>
        </w:tc>
      </w:tr>
      <w:tr w:rsidR="00724350" w:rsidRPr="00464A1D" w14:paraId="5EB9B373" w14:textId="77777777" w:rsidTr="002C2881">
        <w:tc>
          <w:tcPr>
            <w:tcW w:w="0" w:type="auto"/>
            <w:vMerge/>
            <w:tcBorders>
              <w:bottom w:val="single" w:sz="4" w:space="0" w:color="auto"/>
            </w:tcBorders>
          </w:tcPr>
          <w:p w14:paraId="76535DF5" w14:textId="77777777" w:rsidR="00724350" w:rsidRPr="00464A1D" w:rsidRDefault="00724350" w:rsidP="002C2881">
            <w:pPr>
              <w:spacing w:line="360" w:lineRule="auto"/>
              <w:rPr>
                <w:sz w:val="24"/>
                <w:szCs w:val="24"/>
                <w:lang w:val="en-GB"/>
              </w:rPr>
            </w:pPr>
          </w:p>
        </w:tc>
        <w:tc>
          <w:tcPr>
            <w:tcW w:w="0" w:type="auto"/>
            <w:tcBorders>
              <w:top w:val="single" w:sz="4" w:space="0" w:color="auto"/>
              <w:bottom w:val="single" w:sz="4" w:space="0" w:color="auto"/>
            </w:tcBorders>
            <w:vAlign w:val="bottom"/>
          </w:tcPr>
          <w:p w14:paraId="77486A06" w14:textId="77777777" w:rsidR="00724350" w:rsidRPr="00464A1D" w:rsidRDefault="00724350" w:rsidP="002C2881">
            <w:pPr>
              <w:spacing w:line="360" w:lineRule="auto"/>
              <w:jc w:val="center"/>
              <w:rPr>
                <w:sz w:val="24"/>
                <w:szCs w:val="24"/>
                <w:lang w:val="en-GB"/>
              </w:rPr>
            </w:pPr>
            <w:r w:rsidRPr="00464A1D">
              <w:rPr>
                <w:sz w:val="24"/>
                <w:szCs w:val="24"/>
                <w:lang w:val="en-GB"/>
              </w:rPr>
              <w:t>DP (%)</w:t>
            </w:r>
          </w:p>
        </w:tc>
        <w:tc>
          <w:tcPr>
            <w:tcW w:w="0" w:type="auto"/>
            <w:tcBorders>
              <w:top w:val="single" w:sz="4" w:space="0" w:color="auto"/>
              <w:bottom w:val="single" w:sz="4" w:space="0" w:color="auto"/>
            </w:tcBorders>
            <w:vAlign w:val="bottom"/>
          </w:tcPr>
          <w:p w14:paraId="30186948" w14:textId="77777777" w:rsidR="00724350" w:rsidRPr="00464A1D" w:rsidRDefault="00724350" w:rsidP="002C2881">
            <w:pPr>
              <w:spacing w:line="360" w:lineRule="auto"/>
              <w:jc w:val="center"/>
              <w:rPr>
                <w:i/>
                <w:sz w:val="24"/>
                <w:szCs w:val="24"/>
                <w:lang w:val="en-GB"/>
              </w:rPr>
            </w:pPr>
            <w:r w:rsidRPr="00464A1D">
              <w:rPr>
                <w:i/>
                <w:sz w:val="24"/>
                <w:szCs w:val="24"/>
                <w:lang w:val="en-GB"/>
              </w:rPr>
              <w:t xml:space="preserve">Nmin </w:t>
            </w:r>
          </w:p>
          <w:p w14:paraId="338BC7CC" w14:textId="77777777" w:rsidR="00724350" w:rsidRPr="00464A1D" w:rsidRDefault="00724350" w:rsidP="002C2881">
            <w:pPr>
              <w:spacing w:line="360" w:lineRule="auto"/>
              <w:jc w:val="center"/>
              <w:rPr>
                <w:sz w:val="24"/>
                <w:szCs w:val="24"/>
                <w:lang w:val="en-GB"/>
              </w:rPr>
            </w:pPr>
            <w:r w:rsidRPr="00464A1D">
              <w:rPr>
                <w:sz w:val="24"/>
                <w:szCs w:val="24"/>
                <w:lang w:val="en-GB"/>
              </w:rPr>
              <w:t xml:space="preserve">95% DP </w:t>
            </w:r>
          </w:p>
        </w:tc>
        <w:tc>
          <w:tcPr>
            <w:tcW w:w="0" w:type="auto"/>
            <w:tcBorders>
              <w:top w:val="single" w:sz="4" w:space="0" w:color="auto"/>
              <w:bottom w:val="single" w:sz="4" w:space="0" w:color="auto"/>
            </w:tcBorders>
            <w:vAlign w:val="bottom"/>
          </w:tcPr>
          <w:p w14:paraId="147CB261" w14:textId="77777777" w:rsidR="00724350" w:rsidRPr="00464A1D" w:rsidRDefault="00724350" w:rsidP="002C2881">
            <w:pPr>
              <w:spacing w:line="360" w:lineRule="auto"/>
              <w:jc w:val="center"/>
              <w:rPr>
                <w:sz w:val="24"/>
                <w:szCs w:val="24"/>
                <w:lang w:val="en-GB"/>
              </w:rPr>
            </w:pPr>
            <w:r w:rsidRPr="00464A1D">
              <w:rPr>
                <w:i/>
                <w:sz w:val="24"/>
                <w:szCs w:val="24"/>
                <w:lang w:val="en-GB"/>
              </w:rPr>
              <w:t>Nmin</w:t>
            </w:r>
            <w:r w:rsidRPr="00464A1D">
              <w:rPr>
                <w:sz w:val="24"/>
                <w:szCs w:val="24"/>
                <w:lang w:val="en-GB"/>
              </w:rPr>
              <w:t xml:space="preserve"> 99%</w:t>
            </w:r>
          </w:p>
          <w:p w14:paraId="0ED401D7" w14:textId="77777777" w:rsidR="00724350" w:rsidRPr="00464A1D" w:rsidRDefault="00724350" w:rsidP="002C2881">
            <w:pPr>
              <w:spacing w:line="360" w:lineRule="auto"/>
              <w:jc w:val="center"/>
              <w:rPr>
                <w:sz w:val="24"/>
                <w:szCs w:val="24"/>
                <w:lang w:val="en-GB"/>
              </w:rPr>
            </w:pPr>
            <w:r w:rsidRPr="00464A1D">
              <w:rPr>
                <w:sz w:val="24"/>
                <w:szCs w:val="24"/>
                <w:lang w:val="en-GB"/>
              </w:rPr>
              <w:t>DP</w:t>
            </w:r>
          </w:p>
        </w:tc>
        <w:tc>
          <w:tcPr>
            <w:tcW w:w="0" w:type="auto"/>
            <w:tcBorders>
              <w:top w:val="single" w:sz="4" w:space="0" w:color="auto"/>
              <w:bottom w:val="single" w:sz="4" w:space="0" w:color="auto"/>
            </w:tcBorders>
            <w:vAlign w:val="bottom"/>
          </w:tcPr>
          <w:p w14:paraId="76575D55" w14:textId="77777777" w:rsidR="00724350" w:rsidRPr="00464A1D" w:rsidRDefault="00724350" w:rsidP="002C2881">
            <w:pPr>
              <w:spacing w:line="360" w:lineRule="auto"/>
              <w:jc w:val="center"/>
              <w:rPr>
                <w:sz w:val="24"/>
                <w:szCs w:val="24"/>
                <w:lang w:val="en-GB"/>
              </w:rPr>
            </w:pPr>
            <w:r w:rsidRPr="00464A1D">
              <w:rPr>
                <w:sz w:val="24"/>
                <w:szCs w:val="24"/>
                <w:lang w:val="en-GB"/>
              </w:rPr>
              <w:t>DP (%)</w:t>
            </w:r>
          </w:p>
        </w:tc>
        <w:tc>
          <w:tcPr>
            <w:tcW w:w="0" w:type="auto"/>
            <w:tcBorders>
              <w:top w:val="single" w:sz="4" w:space="0" w:color="auto"/>
              <w:bottom w:val="single" w:sz="4" w:space="0" w:color="auto"/>
            </w:tcBorders>
            <w:vAlign w:val="bottom"/>
          </w:tcPr>
          <w:p w14:paraId="10A489FB" w14:textId="77777777" w:rsidR="00724350" w:rsidRPr="00464A1D" w:rsidRDefault="00724350" w:rsidP="002C2881">
            <w:pPr>
              <w:spacing w:line="360" w:lineRule="auto"/>
              <w:jc w:val="center"/>
              <w:rPr>
                <w:i/>
                <w:sz w:val="24"/>
                <w:szCs w:val="24"/>
                <w:lang w:val="en-GB"/>
              </w:rPr>
            </w:pPr>
            <w:r w:rsidRPr="00464A1D">
              <w:rPr>
                <w:i/>
                <w:sz w:val="24"/>
                <w:szCs w:val="24"/>
                <w:lang w:val="en-GB"/>
              </w:rPr>
              <w:t xml:space="preserve">Nmin </w:t>
            </w:r>
          </w:p>
          <w:p w14:paraId="134E1EA7" w14:textId="77777777" w:rsidR="00724350" w:rsidRPr="00464A1D" w:rsidRDefault="00724350" w:rsidP="002C2881">
            <w:pPr>
              <w:spacing w:line="360" w:lineRule="auto"/>
              <w:jc w:val="center"/>
              <w:rPr>
                <w:sz w:val="24"/>
                <w:szCs w:val="24"/>
                <w:lang w:val="en-GB"/>
              </w:rPr>
            </w:pPr>
            <w:r w:rsidRPr="00464A1D">
              <w:rPr>
                <w:sz w:val="24"/>
                <w:szCs w:val="24"/>
                <w:lang w:val="en-GB"/>
              </w:rPr>
              <w:t xml:space="preserve">95% DP </w:t>
            </w:r>
          </w:p>
        </w:tc>
        <w:tc>
          <w:tcPr>
            <w:tcW w:w="0" w:type="auto"/>
            <w:tcBorders>
              <w:top w:val="single" w:sz="4" w:space="0" w:color="auto"/>
              <w:bottom w:val="single" w:sz="4" w:space="0" w:color="auto"/>
            </w:tcBorders>
            <w:vAlign w:val="bottom"/>
          </w:tcPr>
          <w:p w14:paraId="36FAB68C" w14:textId="77777777" w:rsidR="00724350" w:rsidRPr="00464A1D" w:rsidRDefault="00724350" w:rsidP="002C2881">
            <w:pPr>
              <w:spacing w:line="360" w:lineRule="auto"/>
              <w:jc w:val="center"/>
              <w:rPr>
                <w:sz w:val="24"/>
                <w:szCs w:val="24"/>
                <w:lang w:val="en-GB"/>
              </w:rPr>
            </w:pPr>
            <w:r w:rsidRPr="00464A1D">
              <w:rPr>
                <w:i/>
                <w:sz w:val="24"/>
                <w:szCs w:val="24"/>
                <w:lang w:val="en-GB"/>
              </w:rPr>
              <w:t>Nmin</w:t>
            </w:r>
            <w:r w:rsidRPr="00464A1D">
              <w:rPr>
                <w:sz w:val="24"/>
                <w:szCs w:val="24"/>
                <w:lang w:val="en-GB"/>
              </w:rPr>
              <w:t xml:space="preserve"> 99%</w:t>
            </w:r>
          </w:p>
          <w:p w14:paraId="4B39F672" w14:textId="77777777" w:rsidR="00724350" w:rsidRPr="00464A1D" w:rsidRDefault="00724350" w:rsidP="002C2881">
            <w:pPr>
              <w:spacing w:line="360" w:lineRule="auto"/>
              <w:jc w:val="center"/>
              <w:rPr>
                <w:sz w:val="24"/>
                <w:szCs w:val="24"/>
                <w:lang w:val="en-GB"/>
              </w:rPr>
            </w:pPr>
            <w:r w:rsidRPr="00464A1D">
              <w:rPr>
                <w:sz w:val="24"/>
                <w:szCs w:val="24"/>
                <w:lang w:val="en-GB"/>
              </w:rPr>
              <w:t>DP</w:t>
            </w:r>
          </w:p>
        </w:tc>
        <w:tc>
          <w:tcPr>
            <w:tcW w:w="0" w:type="auto"/>
            <w:tcBorders>
              <w:top w:val="single" w:sz="4" w:space="0" w:color="auto"/>
              <w:bottom w:val="single" w:sz="4" w:space="0" w:color="auto"/>
            </w:tcBorders>
            <w:vAlign w:val="bottom"/>
          </w:tcPr>
          <w:p w14:paraId="09B0483D" w14:textId="77777777" w:rsidR="00724350" w:rsidRPr="00464A1D" w:rsidRDefault="00724350" w:rsidP="002C2881">
            <w:pPr>
              <w:spacing w:line="360" w:lineRule="auto"/>
              <w:jc w:val="center"/>
              <w:rPr>
                <w:sz w:val="24"/>
                <w:szCs w:val="24"/>
                <w:lang w:val="en-GB"/>
              </w:rPr>
            </w:pPr>
            <w:r w:rsidRPr="00464A1D">
              <w:rPr>
                <w:sz w:val="24"/>
                <w:szCs w:val="24"/>
                <w:lang w:val="en-GB"/>
              </w:rPr>
              <w:t>DP (%)</w:t>
            </w:r>
          </w:p>
        </w:tc>
        <w:tc>
          <w:tcPr>
            <w:tcW w:w="0" w:type="auto"/>
            <w:tcBorders>
              <w:top w:val="single" w:sz="4" w:space="0" w:color="auto"/>
              <w:bottom w:val="single" w:sz="4" w:space="0" w:color="auto"/>
            </w:tcBorders>
            <w:vAlign w:val="bottom"/>
          </w:tcPr>
          <w:p w14:paraId="4ACFF0F3" w14:textId="77777777" w:rsidR="00724350" w:rsidRPr="00464A1D" w:rsidRDefault="00724350" w:rsidP="002C2881">
            <w:pPr>
              <w:spacing w:line="360" w:lineRule="auto"/>
              <w:jc w:val="center"/>
              <w:rPr>
                <w:i/>
                <w:sz w:val="24"/>
                <w:szCs w:val="24"/>
                <w:lang w:val="en-GB"/>
              </w:rPr>
            </w:pPr>
            <w:r w:rsidRPr="00464A1D">
              <w:rPr>
                <w:i/>
                <w:sz w:val="24"/>
                <w:szCs w:val="24"/>
                <w:lang w:val="en-GB"/>
              </w:rPr>
              <w:t xml:space="preserve">Nmin </w:t>
            </w:r>
          </w:p>
          <w:p w14:paraId="265B7B3D" w14:textId="77777777" w:rsidR="00724350" w:rsidRPr="00464A1D" w:rsidRDefault="00724350" w:rsidP="002C2881">
            <w:pPr>
              <w:spacing w:line="360" w:lineRule="auto"/>
              <w:jc w:val="center"/>
              <w:rPr>
                <w:sz w:val="24"/>
                <w:szCs w:val="24"/>
                <w:lang w:val="en-GB"/>
              </w:rPr>
            </w:pPr>
            <w:r w:rsidRPr="00464A1D">
              <w:rPr>
                <w:sz w:val="24"/>
                <w:szCs w:val="24"/>
                <w:lang w:val="en-GB"/>
              </w:rPr>
              <w:t xml:space="preserve">95% DP </w:t>
            </w:r>
          </w:p>
        </w:tc>
        <w:tc>
          <w:tcPr>
            <w:tcW w:w="0" w:type="auto"/>
            <w:tcBorders>
              <w:top w:val="single" w:sz="4" w:space="0" w:color="auto"/>
              <w:bottom w:val="single" w:sz="4" w:space="0" w:color="auto"/>
            </w:tcBorders>
            <w:vAlign w:val="bottom"/>
          </w:tcPr>
          <w:p w14:paraId="1E938849" w14:textId="77777777" w:rsidR="00724350" w:rsidRPr="00464A1D" w:rsidRDefault="00724350" w:rsidP="002C2881">
            <w:pPr>
              <w:spacing w:line="360" w:lineRule="auto"/>
              <w:jc w:val="center"/>
              <w:rPr>
                <w:sz w:val="24"/>
                <w:szCs w:val="24"/>
                <w:lang w:val="en-GB"/>
              </w:rPr>
            </w:pPr>
            <w:r w:rsidRPr="00464A1D">
              <w:rPr>
                <w:i/>
                <w:sz w:val="24"/>
                <w:szCs w:val="24"/>
                <w:lang w:val="en-GB"/>
              </w:rPr>
              <w:t>Nmin</w:t>
            </w:r>
            <w:r w:rsidRPr="00464A1D">
              <w:rPr>
                <w:sz w:val="24"/>
                <w:szCs w:val="24"/>
                <w:lang w:val="en-GB"/>
              </w:rPr>
              <w:t xml:space="preserve"> 99%</w:t>
            </w:r>
          </w:p>
          <w:p w14:paraId="1CE02A0B" w14:textId="77777777" w:rsidR="00724350" w:rsidRPr="00464A1D" w:rsidRDefault="00724350" w:rsidP="002C2881">
            <w:pPr>
              <w:spacing w:line="360" w:lineRule="auto"/>
              <w:jc w:val="center"/>
              <w:rPr>
                <w:sz w:val="24"/>
                <w:szCs w:val="24"/>
                <w:lang w:val="en-GB"/>
              </w:rPr>
            </w:pPr>
            <w:r w:rsidRPr="00464A1D">
              <w:rPr>
                <w:sz w:val="24"/>
                <w:szCs w:val="24"/>
                <w:lang w:val="en-GB"/>
              </w:rPr>
              <w:t>DP</w:t>
            </w:r>
          </w:p>
        </w:tc>
      </w:tr>
      <w:tr w:rsidR="00724350" w:rsidRPr="00464A1D" w14:paraId="5304E22D" w14:textId="77777777" w:rsidTr="002C2881">
        <w:tc>
          <w:tcPr>
            <w:tcW w:w="0" w:type="auto"/>
            <w:tcBorders>
              <w:top w:val="single" w:sz="4" w:space="0" w:color="auto"/>
            </w:tcBorders>
            <w:vAlign w:val="center"/>
          </w:tcPr>
          <w:p w14:paraId="1526193F" w14:textId="77777777" w:rsidR="00724350" w:rsidRPr="00464A1D" w:rsidRDefault="00724350" w:rsidP="002C2881">
            <w:pPr>
              <w:spacing w:line="360" w:lineRule="auto"/>
              <w:rPr>
                <w:sz w:val="24"/>
                <w:szCs w:val="24"/>
                <w:lang w:val="en-GB"/>
              </w:rPr>
            </w:pPr>
            <w:r w:rsidRPr="00464A1D">
              <w:rPr>
                <w:sz w:val="24"/>
                <w:szCs w:val="24"/>
                <w:lang w:val="en-GB"/>
              </w:rPr>
              <w:t>20</w:t>
            </w:r>
          </w:p>
        </w:tc>
        <w:tc>
          <w:tcPr>
            <w:tcW w:w="0" w:type="auto"/>
            <w:tcBorders>
              <w:top w:val="single" w:sz="4" w:space="0" w:color="auto"/>
            </w:tcBorders>
            <w:vAlign w:val="center"/>
          </w:tcPr>
          <w:p w14:paraId="71A350E3" w14:textId="77777777" w:rsidR="00724350" w:rsidRPr="00464A1D" w:rsidRDefault="00724350" w:rsidP="002C2881">
            <w:pPr>
              <w:spacing w:line="360" w:lineRule="auto"/>
              <w:jc w:val="center"/>
              <w:rPr>
                <w:sz w:val="24"/>
                <w:szCs w:val="24"/>
                <w:lang w:val="en-GB"/>
              </w:rPr>
            </w:pPr>
            <w:r w:rsidRPr="00464A1D">
              <w:rPr>
                <w:sz w:val="24"/>
                <w:szCs w:val="24"/>
                <w:lang w:val="en-GB"/>
              </w:rPr>
              <w:t>99.9</w:t>
            </w:r>
          </w:p>
        </w:tc>
        <w:tc>
          <w:tcPr>
            <w:tcW w:w="0" w:type="auto"/>
            <w:tcBorders>
              <w:top w:val="single" w:sz="4" w:space="0" w:color="auto"/>
            </w:tcBorders>
            <w:vAlign w:val="center"/>
          </w:tcPr>
          <w:p w14:paraId="21630DDA" w14:textId="77777777" w:rsidR="00724350" w:rsidRPr="00464A1D" w:rsidRDefault="00724350" w:rsidP="002C2881">
            <w:pPr>
              <w:spacing w:line="360" w:lineRule="auto"/>
              <w:jc w:val="center"/>
              <w:rPr>
                <w:sz w:val="24"/>
                <w:szCs w:val="24"/>
                <w:lang w:val="en-GB"/>
              </w:rPr>
            </w:pPr>
            <w:r w:rsidRPr="00464A1D">
              <w:rPr>
                <w:sz w:val="24"/>
                <w:szCs w:val="24"/>
                <w:lang w:val="en-GB"/>
              </w:rPr>
              <w:t>0.4</w:t>
            </w:r>
          </w:p>
        </w:tc>
        <w:tc>
          <w:tcPr>
            <w:tcW w:w="0" w:type="auto"/>
            <w:tcBorders>
              <w:top w:val="single" w:sz="4" w:space="0" w:color="auto"/>
            </w:tcBorders>
            <w:vAlign w:val="center"/>
          </w:tcPr>
          <w:p w14:paraId="7017218F" w14:textId="77777777" w:rsidR="00724350" w:rsidRPr="00464A1D" w:rsidRDefault="00724350" w:rsidP="002C2881">
            <w:pPr>
              <w:spacing w:line="360" w:lineRule="auto"/>
              <w:jc w:val="center"/>
              <w:rPr>
                <w:sz w:val="24"/>
                <w:szCs w:val="24"/>
                <w:lang w:val="en-GB"/>
              </w:rPr>
            </w:pPr>
            <w:r w:rsidRPr="00464A1D">
              <w:rPr>
                <w:sz w:val="24"/>
                <w:szCs w:val="24"/>
                <w:lang w:val="en-GB"/>
              </w:rPr>
              <w:t>0.7</w:t>
            </w:r>
          </w:p>
        </w:tc>
        <w:tc>
          <w:tcPr>
            <w:tcW w:w="0" w:type="auto"/>
            <w:tcBorders>
              <w:top w:val="single" w:sz="4" w:space="0" w:color="auto"/>
            </w:tcBorders>
            <w:vAlign w:val="center"/>
          </w:tcPr>
          <w:p w14:paraId="426F6216" w14:textId="77777777" w:rsidR="00724350" w:rsidRPr="00464A1D" w:rsidRDefault="00724350" w:rsidP="002C2881">
            <w:pPr>
              <w:spacing w:line="360" w:lineRule="auto"/>
              <w:jc w:val="center"/>
              <w:rPr>
                <w:sz w:val="24"/>
                <w:szCs w:val="24"/>
                <w:lang w:val="en-GB"/>
              </w:rPr>
            </w:pPr>
            <w:r w:rsidRPr="00464A1D">
              <w:rPr>
                <w:sz w:val="24"/>
                <w:szCs w:val="24"/>
                <w:lang w:val="en-GB"/>
              </w:rPr>
              <w:t>29.5</w:t>
            </w:r>
          </w:p>
        </w:tc>
        <w:tc>
          <w:tcPr>
            <w:tcW w:w="0" w:type="auto"/>
            <w:tcBorders>
              <w:top w:val="single" w:sz="4" w:space="0" w:color="auto"/>
            </w:tcBorders>
            <w:vAlign w:val="center"/>
          </w:tcPr>
          <w:p w14:paraId="4612B8A3" w14:textId="77777777" w:rsidR="00724350" w:rsidRPr="00464A1D" w:rsidRDefault="00724350" w:rsidP="002C2881">
            <w:pPr>
              <w:spacing w:line="360" w:lineRule="auto"/>
              <w:jc w:val="center"/>
              <w:rPr>
                <w:sz w:val="24"/>
                <w:szCs w:val="24"/>
                <w:lang w:val="en-GB"/>
              </w:rPr>
            </w:pPr>
            <w:r w:rsidRPr="00464A1D">
              <w:rPr>
                <w:sz w:val="24"/>
                <w:szCs w:val="24"/>
                <w:lang w:val="en-GB"/>
              </w:rPr>
              <w:t>8.6</w:t>
            </w:r>
          </w:p>
        </w:tc>
        <w:tc>
          <w:tcPr>
            <w:tcW w:w="0" w:type="auto"/>
            <w:tcBorders>
              <w:top w:val="single" w:sz="4" w:space="0" w:color="auto"/>
            </w:tcBorders>
            <w:vAlign w:val="center"/>
          </w:tcPr>
          <w:p w14:paraId="57422C77" w14:textId="77777777" w:rsidR="00724350" w:rsidRPr="00464A1D" w:rsidRDefault="00724350" w:rsidP="002C2881">
            <w:pPr>
              <w:spacing w:line="360" w:lineRule="auto"/>
              <w:jc w:val="center"/>
              <w:rPr>
                <w:sz w:val="24"/>
                <w:szCs w:val="24"/>
                <w:lang w:val="en-GB"/>
              </w:rPr>
            </w:pPr>
            <w:r w:rsidRPr="00464A1D">
              <w:rPr>
                <w:sz w:val="24"/>
                <w:szCs w:val="24"/>
                <w:lang w:val="en-GB"/>
              </w:rPr>
              <w:t>13.1</w:t>
            </w:r>
          </w:p>
        </w:tc>
        <w:tc>
          <w:tcPr>
            <w:tcW w:w="0" w:type="auto"/>
            <w:tcBorders>
              <w:top w:val="single" w:sz="4" w:space="0" w:color="auto"/>
            </w:tcBorders>
            <w:vAlign w:val="center"/>
          </w:tcPr>
          <w:p w14:paraId="20B0B69C" w14:textId="77777777" w:rsidR="00724350" w:rsidRPr="00464A1D" w:rsidRDefault="00724350" w:rsidP="002C2881">
            <w:pPr>
              <w:spacing w:line="360" w:lineRule="auto"/>
              <w:jc w:val="center"/>
              <w:rPr>
                <w:sz w:val="24"/>
                <w:szCs w:val="24"/>
                <w:lang w:val="en-GB"/>
              </w:rPr>
            </w:pPr>
            <w:r w:rsidRPr="00464A1D">
              <w:rPr>
                <w:sz w:val="24"/>
                <w:szCs w:val="24"/>
                <w:lang w:val="en-GB"/>
              </w:rPr>
              <w:t>97.7</w:t>
            </w:r>
          </w:p>
        </w:tc>
        <w:tc>
          <w:tcPr>
            <w:tcW w:w="0" w:type="auto"/>
            <w:tcBorders>
              <w:top w:val="single" w:sz="4" w:space="0" w:color="auto"/>
            </w:tcBorders>
            <w:vAlign w:val="center"/>
          </w:tcPr>
          <w:p w14:paraId="365A4F4C" w14:textId="77777777" w:rsidR="00724350" w:rsidRPr="00464A1D" w:rsidRDefault="00724350" w:rsidP="002C2881">
            <w:pPr>
              <w:spacing w:line="360" w:lineRule="auto"/>
              <w:jc w:val="center"/>
              <w:rPr>
                <w:sz w:val="24"/>
                <w:szCs w:val="24"/>
                <w:lang w:val="en-GB"/>
              </w:rPr>
            </w:pPr>
            <w:r w:rsidRPr="00464A1D">
              <w:rPr>
                <w:sz w:val="24"/>
                <w:szCs w:val="24"/>
                <w:lang w:val="en-GB"/>
              </w:rPr>
              <w:t>0.8</w:t>
            </w:r>
          </w:p>
        </w:tc>
        <w:tc>
          <w:tcPr>
            <w:tcW w:w="0" w:type="auto"/>
            <w:tcBorders>
              <w:top w:val="single" w:sz="4" w:space="0" w:color="auto"/>
            </w:tcBorders>
            <w:vAlign w:val="center"/>
          </w:tcPr>
          <w:p w14:paraId="41A0DB2B" w14:textId="77777777" w:rsidR="00724350" w:rsidRPr="00464A1D" w:rsidRDefault="00724350" w:rsidP="002C2881">
            <w:pPr>
              <w:spacing w:line="360" w:lineRule="auto"/>
              <w:jc w:val="center"/>
              <w:rPr>
                <w:sz w:val="24"/>
                <w:szCs w:val="24"/>
                <w:lang w:val="en-GB"/>
              </w:rPr>
            </w:pPr>
            <w:r w:rsidRPr="00464A1D">
              <w:rPr>
                <w:sz w:val="24"/>
                <w:szCs w:val="24"/>
                <w:lang w:val="en-GB"/>
              </w:rPr>
              <w:t>1.2</w:t>
            </w:r>
          </w:p>
        </w:tc>
      </w:tr>
      <w:tr w:rsidR="00724350" w:rsidRPr="00464A1D" w14:paraId="317C13DE" w14:textId="77777777" w:rsidTr="002C2881">
        <w:tc>
          <w:tcPr>
            <w:tcW w:w="0" w:type="auto"/>
            <w:vAlign w:val="center"/>
          </w:tcPr>
          <w:p w14:paraId="7D65C537" w14:textId="77777777" w:rsidR="00724350" w:rsidRPr="00464A1D" w:rsidRDefault="00724350" w:rsidP="002C2881">
            <w:pPr>
              <w:spacing w:line="360" w:lineRule="auto"/>
              <w:rPr>
                <w:sz w:val="24"/>
                <w:szCs w:val="24"/>
                <w:lang w:val="en-GB"/>
              </w:rPr>
            </w:pPr>
            <w:r w:rsidRPr="00464A1D">
              <w:rPr>
                <w:sz w:val="24"/>
                <w:szCs w:val="24"/>
                <w:lang w:val="en-GB"/>
              </w:rPr>
              <w:t>15</w:t>
            </w:r>
          </w:p>
        </w:tc>
        <w:tc>
          <w:tcPr>
            <w:tcW w:w="0" w:type="auto"/>
            <w:vAlign w:val="center"/>
          </w:tcPr>
          <w:p w14:paraId="444BCC43" w14:textId="77777777" w:rsidR="00724350" w:rsidRPr="00464A1D" w:rsidRDefault="00724350" w:rsidP="002C2881">
            <w:pPr>
              <w:spacing w:line="360" w:lineRule="auto"/>
              <w:jc w:val="center"/>
              <w:rPr>
                <w:sz w:val="24"/>
                <w:szCs w:val="24"/>
                <w:lang w:val="en-GB"/>
              </w:rPr>
            </w:pPr>
            <w:r w:rsidRPr="00464A1D">
              <w:rPr>
                <w:sz w:val="24"/>
                <w:szCs w:val="24"/>
                <w:lang w:val="en-GB"/>
              </w:rPr>
              <w:t>99.4</w:t>
            </w:r>
          </w:p>
        </w:tc>
        <w:tc>
          <w:tcPr>
            <w:tcW w:w="0" w:type="auto"/>
            <w:vAlign w:val="center"/>
          </w:tcPr>
          <w:p w14:paraId="2AE7F4CB" w14:textId="77777777" w:rsidR="00724350" w:rsidRPr="00464A1D" w:rsidRDefault="00724350" w:rsidP="002C2881">
            <w:pPr>
              <w:spacing w:line="360" w:lineRule="auto"/>
              <w:jc w:val="center"/>
              <w:rPr>
                <w:sz w:val="24"/>
                <w:szCs w:val="24"/>
                <w:lang w:val="en-GB"/>
              </w:rPr>
            </w:pPr>
            <w:r w:rsidRPr="00464A1D">
              <w:rPr>
                <w:sz w:val="24"/>
                <w:szCs w:val="24"/>
                <w:lang w:val="en-GB"/>
              </w:rPr>
              <w:t>0.6</w:t>
            </w:r>
          </w:p>
        </w:tc>
        <w:tc>
          <w:tcPr>
            <w:tcW w:w="0" w:type="auto"/>
            <w:vAlign w:val="center"/>
          </w:tcPr>
          <w:p w14:paraId="1FA6CA0B" w14:textId="77777777" w:rsidR="00724350" w:rsidRPr="00464A1D" w:rsidRDefault="00724350" w:rsidP="002C2881">
            <w:pPr>
              <w:spacing w:line="360" w:lineRule="auto"/>
              <w:jc w:val="center"/>
              <w:rPr>
                <w:sz w:val="24"/>
                <w:szCs w:val="24"/>
                <w:lang w:val="en-GB"/>
              </w:rPr>
            </w:pPr>
            <w:r w:rsidRPr="00464A1D">
              <w:rPr>
                <w:sz w:val="24"/>
                <w:szCs w:val="24"/>
                <w:lang w:val="en-GB"/>
              </w:rPr>
              <w:t>0.9</w:t>
            </w:r>
          </w:p>
        </w:tc>
        <w:tc>
          <w:tcPr>
            <w:tcW w:w="0" w:type="auto"/>
            <w:vAlign w:val="center"/>
          </w:tcPr>
          <w:p w14:paraId="5CA1C79C" w14:textId="77777777" w:rsidR="00724350" w:rsidRPr="00464A1D" w:rsidRDefault="00724350" w:rsidP="002C2881">
            <w:pPr>
              <w:spacing w:line="360" w:lineRule="auto"/>
              <w:jc w:val="center"/>
              <w:rPr>
                <w:sz w:val="24"/>
                <w:szCs w:val="24"/>
                <w:lang w:val="en-GB"/>
              </w:rPr>
            </w:pPr>
            <w:r w:rsidRPr="00464A1D">
              <w:rPr>
                <w:sz w:val="24"/>
                <w:szCs w:val="24"/>
                <w:lang w:val="en-GB"/>
              </w:rPr>
              <w:t>23.1</w:t>
            </w:r>
          </w:p>
        </w:tc>
        <w:tc>
          <w:tcPr>
            <w:tcW w:w="0" w:type="auto"/>
            <w:vAlign w:val="center"/>
          </w:tcPr>
          <w:p w14:paraId="45738DAE" w14:textId="77777777" w:rsidR="00724350" w:rsidRPr="00464A1D" w:rsidRDefault="00724350" w:rsidP="002C2881">
            <w:pPr>
              <w:spacing w:line="360" w:lineRule="auto"/>
              <w:jc w:val="center"/>
              <w:rPr>
                <w:sz w:val="24"/>
                <w:szCs w:val="24"/>
                <w:lang w:val="en-GB"/>
              </w:rPr>
            </w:pPr>
            <w:r w:rsidRPr="00464A1D">
              <w:rPr>
                <w:sz w:val="24"/>
                <w:szCs w:val="24"/>
                <w:lang w:val="en-GB"/>
              </w:rPr>
              <w:t>11.4</w:t>
            </w:r>
          </w:p>
        </w:tc>
        <w:tc>
          <w:tcPr>
            <w:tcW w:w="0" w:type="auto"/>
            <w:vAlign w:val="center"/>
          </w:tcPr>
          <w:p w14:paraId="7D0F1629" w14:textId="77777777" w:rsidR="00724350" w:rsidRPr="00464A1D" w:rsidRDefault="00724350" w:rsidP="002C2881">
            <w:pPr>
              <w:spacing w:line="360" w:lineRule="auto"/>
              <w:jc w:val="center"/>
              <w:rPr>
                <w:sz w:val="24"/>
                <w:szCs w:val="24"/>
                <w:lang w:val="en-GB"/>
              </w:rPr>
            </w:pPr>
            <w:r w:rsidRPr="00464A1D">
              <w:rPr>
                <w:sz w:val="24"/>
                <w:szCs w:val="24"/>
                <w:lang w:val="en-GB"/>
              </w:rPr>
              <w:t>17.5</w:t>
            </w:r>
          </w:p>
        </w:tc>
        <w:tc>
          <w:tcPr>
            <w:tcW w:w="0" w:type="auto"/>
            <w:vAlign w:val="center"/>
          </w:tcPr>
          <w:p w14:paraId="46D22DD0" w14:textId="77777777" w:rsidR="00724350" w:rsidRPr="00464A1D" w:rsidRDefault="00724350" w:rsidP="002C2881">
            <w:pPr>
              <w:spacing w:line="360" w:lineRule="auto"/>
              <w:jc w:val="center"/>
              <w:rPr>
                <w:sz w:val="24"/>
                <w:szCs w:val="24"/>
                <w:lang w:val="en-GB"/>
              </w:rPr>
            </w:pPr>
            <w:r w:rsidRPr="00464A1D">
              <w:rPr>
                <w:sz w:val="24"/>
                <w:szCs w:val="24"/>
                <w:lang w:val="en-GB"/>
              </w:rPr>
              <w:t>94.0</w:t>
            </w:r>
          </w:p>
        </w:tc>
        <w:tc>
          <w:tcPr>
            <w:tcW w:w="0" w:type="auto"/>
            <w:vAlign w:val="center"/>
          </w:tcPr>
          <w:p w14:paraId="0834556A" w14:textId="77777777" w:rsidR="00724350" w:rsidRPr="00464A1D" w:rsidRDefault="00724350" w:rsidP="002C2881">
            <w:pPr>
              <w:spacing w:line="360" w:lineRule="auto"/>
              <w:jc w:val="center"/>
              <w:rPr>
                <w:sz w:val="24"/>
                <w:szCs w:val="24"/>
                <w:lang w:val="en-GB"/>
              </w:rPr>
            </w:pPr>
            <w:r w:rsidRPr="00464A1D">
              <w:rPr>
                <w:sz w:val="24"/>
                <w:szCs w:val="24"/>
                <w:lang w:val="en-GB"/>
              </w:rPr>
              <w:t>1.1</w:t>
            </w:r>
          </w:p>
        </w:tc>
        <w:tc>
          <w:tcPr>
            <w:tcW w:w="0" w:type="auto"/>
            <w:vAlign w:val="center"/>
          </w:tcPr>
          <w:p w14:paraId="5ABD769C" w14:textId="77777777" w:rsidR="00724350" w:rsidRPr="00464A1D" w:rsidRDefault="00724350" w:rsidP="002C2881">
            <w:pPr>
              <w:spacing w:line="360" w:lineRule="auto"/>
              <w:jc w:val="center"/>
              <w:rPr>
                <w:sz w:val="24"/>
                <w:szCs w:val="24"/>
                <w:lang w:val="en-GB"/>
              </w:rPr>
            </w:pPr>
            <w:r w:rsidRPr="00464A1D">
              <w:rPr>
                <w:sz w:val="24"/>
                <w:szCs w:val="24"/>
                <w:lang w:val="en-GB"/>
              </w:rPr>
              <w:t>1.6</w:t>
            </w:r>
          </w:p>
        </w:tc>
      </w:tr>
      <w:tr w:rsidR="00724350" w:rsidRPr="00464A1D" w14:paraId="4D650B14" w14:textId="77777777" w:rsidTr="002C2881">
        <w:tc>
          <w:tcPr>
            <w:tcW w:w="0" w:type="auto"/>
            <w:vAlign w:val="center"/>
          </w:tcPr>
          <w:p w14:paraId="0012F349" w14:textId="77777777" w:rsidR="00724350" w:rsidRPr="00464A1D" w:rsidRDefault="00724350" w:rsidP="002C2881">
            <w:pPr>
              <w:spacing w:line="360" w:lineRule="auto"/>
              <w:rPr>
                <w:sz w:val="24"/>
                <w:szCs w:val="24"/>
                <w:lang w:val="en-GB"/>
              </w:rPr>
            </w:pPr>
            <w:r w:rsidRPr="00464A1D">
              <w:rPr>
                <w:sz w:val="24"/>
                <w:szCs w:val="24"/>
                <w:lang w:val="en-GB"/>
              </w:rPr>
              <w:t>10</w:t>
            </w:r>
          </w:p>
        </w:tc>
        <w:tc>
          <w:tcPr>
            <w:tcW w:w="0" w:type="auto"/>
            <w:vAlign w:val="center"/>
          </w:tcPr>
          <w:p w14:paraId="720BDD81" w14:textId="77777777" w:rsidR="00724350" w:rsidRPr="00464A1D" w:rsidRDefault="00724350" w:rsidP="002C2881">
            <w:pPr>
              <w:spacing w:line="360" w:lineRule="auto"/>
              <w:jc w:val="center"/>
              <w:rPr>
                <w:sz w:val="24"/>
                <w:szCs w:val="24"/>
                <w:lang w:val="en-GB"/>
              </w:rPr>
            </w:pPr>
            <w:r w:rsidRPr="00464A1D">
              <w:rPr>
                <w:sz w:val="24"/>
                <w:szCs w:val="24"/>
                <w:lang w:val="en-GB"/>
              </w:rPr>
              <w:t>96.7</w:t>
            </w:r>
          </w:p>
        </w:tc>
        <w:tc>
          <w:tcPr>
            <w:tcW w:w="0" w:type="auto"/>
            <w:vAlign w:val="center"/>
          </w:tcPr>
          <w:p w14:paraId="4C3DA197" w14:textId="77777777" w:rsidR="00724350" w:rsidRPr="00464A1D" w:rsidRDefault="00724350" w:rsidP="002C2881">
            <w:pPr>
              <w:spacing w:line="360" w:lineRule="auto"/>
              <w:jc w:val="center"/>
              <w:rPr>
                <w:sz w:val="24"/>
                <w:szCs w:val="24"/>
                <w:lang w:val="en-GB"/>
              </w:rPr>
            </w:pPr>
            <w:r w:rsidRPr="00464A1D">
              <w:rPr>
                <w:sz w:val="24"/>
                <w:szCs w:val="24"/>
                <w:lang w:val="en-GB"/>
              </w:rPr>
              <w:t>0.9</w:t>
            </w:r>
          </w:p>
        </w:tc>
        <w:tc>
          <w:tcPr>
            <w:tcW w:w="0" w:type="auto"/>
            <w:vAlign w:val="center"/>
          </w:tcPr>
          <w:p w14:paraId="736CEB8E" w14:textId="77777777" w:rsidR="00724350" w:rsidRPr="00464A1D" w:rsidRDefault="00724350" w:rsidP="002C2881">
            <w:pPr>
              <w:spacing w:line="360" w:lineRule="auto"/>
              <w:jc w:val="center"/>
              <w:rPr>
                <w:sz w:val="24"/>
                <w:szCs w:val="24"/>
                <w:lang w:val="en-GB"/>
              </w:rPr>
            </w:pPr>
            <w:r w:rsidRPr="00464A1D">
              <w:rPr>
                <w:sz w:val="24"/>
                <w:szCs w:val="24"/>
                <w:lang w:val="en-GB"/>
              </w:rPr>
              <w:t>1.4</w:t>
            </w:r>
          </w:p>
        </w:tc>
        <w:tc>
          <w:tcPr>
            <w:tcW w:w="0" w:type="auto"/>
            <w:vAlign w:val="center"/>
          </w:tcPr>
          <w:p w14:paraId="34958E4A" w14:textId="77777777" w:rsidR="00724350" w:rsidRPr="00464A1D" w:rsidRDefault="00724350" w:rsidP="002C2881">
            <w:pPr>
              <w:spacing w:line="360" w:lineRule="auto"/>
              <w:jc w:val="center"/>
              <w:rPr>
                <w:sz w:val="24"/>
                <w:szCs w:val="24"/>
                <w:lang w:val="en-GB"/>
              </w:rPr>
            </w:pPr>
            <w:r w:rsidRPr="00464A1D">
              <w:rPr>
                <w:sz w:val="24"/>
                <w:szCs w:val="24"/>
                <w:lang w:val="en-GB"/>
              </w:rPr>
              <w:t>16.0</w:t>
            </w:r>
          </w:p>
        </w:tc>
        <w:tc>
          <w:tcPr>
            <w:tcW w:w="0" w:type="auto"/>
            <w:vAlign w:val="center"/>
          </w:tcPr>
          <w:p w14:paraId="68806F58" w14:textId="77777777" w:rsidR="00724350" w:rsidRPr="00464A1D" w:rsidRDefault="00724350" w:rsidP="002C2881">
            <w:pPr>
              <w:spacing w:line="360" w:lineRule="auto"/>
              <w:jc w:val="center"/>
              <w:rPr>
                <w:sz w:val="24"/>
                <w:szCs w:val="24"/>
                <w:lang w:val="en-GB"/>
              </w:rPr>
            </w:pPr>
            <w:r w:rsidRPr="00464A1D">
              <w:rPr>
                <w:sz w:val="24"/>
                <w:szCs w:val="24"/>
                <w:lang w:val="en-GB"/>
              </w:rPr>
              <w:t>17.1</w:t>
            </w:r>
          </w:p>
        </w:tc>
        <w:tc>
          <w:tcPr>
            <w:tcW w:w="0" w:type="auto"/>
            <w:vAlign w:val="center"/>
          </w:tcPr>
          <w:p w14:paraId="223C613B" w14:textId="77777777" w:rsidR="00724350" w:rsidRPr="00464A1D" w:rsidRDefault="00724350" w:rsidP="002C2881">
            <w:pPr>
              <w:spacing w:line="360" w:lineRule="auto"/>
              <w:jc w:val="center"/>
              <w:rPr>
                <w:sz w:val="24"/>
                <w:szCs w:val="24"/>
                <w:lang w:val="en-GB"/>
              </w:rPr>
            </w:pPr>
            <w:r w:rsidRPr="00464A1D">
              <w:rPr>
                <w:sz w:val="24"/>
                <w:szCs w:val="24"/>
                <w:lang w:val="en-GB"/>
              </w:rPr>
              <w:t>26.3</w:t>
            </w:r>
          </w:p>
        </w:tc>
        <w:tc>
          <w:tcPr>
            <w:tcW w:w="0" w:type="auto"/>
            <w:vAlign w:val="center"/>
          </w:tcPr>
          <w:p w14:paraId="016ADB3F" w14:textId="77777777" w:rsidR="00724350" w:rsidRPr="00464A1D" w:rsidRDefault="00724350" w:rsidP="002C2881">
            <w:pPr>
              <w:spacing w:line="360" w:lineRule="auto"/>
              <w:jc w:val="center"/>
              <w:rPr>
                <w:sz w:val="24"/>
                <w:szCs w:val="24"/>
                <w:lang w:val="en-GB"/>
              </w:rPr>
            </w:pPr>
            <w:r w:rsidRPr="00464A1D">
              <w:rPr>
                <w:sz w:val="24"/>
                <w:szCs w:val="24"/>
                <w:lang w:val="en-GB"/>
              </w:rPr>
              <w:t>84.7</w:t>
            </w:r>
          </w:p>
        </w:tc>
        <w:tc>
          <w:tcPr>
            <w:tcW w:w="0" w:type="auto"/>
            <w:vAlign w:val="center"/>
          </w:tcPr>
          <w:p w14:paraId="7B69A5F2" w14:textId="77777777" w:rsidR="00724350" w:rsidRPr="00464A1D" w:rsidRDefault="00724350" w:rsidP="002C2881">
            <w:pPr>
              <w:spacing w:line="360" w:lineRule="auto"/>
              <w:jc w:val="center"/>
              <w:rPr>
                <w:sz w:val="24"/>
                <w:szCs w:val="24"/>
                <w:lang w:val="en-GB"/>
              </w:rPr>
            </w:pPr>
            <w:r w:rsidRPr="00464A1D">
              <w:rPr>
                <w:sz w:val="24"/>
                <w:szCs w:val="24"/>
                <w:lang w:val="en-GB"/>
              </w:rPr>
              <w:t>1.6</w:t>
            </w:r>
          </w:p>
        </w:tc>
        <w:tc>
          <w:tcPr>
            <w:tcW w:w="0" w:type="auto"/>
            <w:vAlign w:val="center"/>
          </w:tcPr>
          <w:p w14:paraId="1F103F9C" w14:textId="77777777" w:rsidR="00724350" w:rsidRPr="00464A1D" w:rsidRDefault="00724350" w:rsidP="002C2881">
            <w:pPr>
              <w:spacing w:line="360" w:lineRule="auto"/>
              <w:jc w:val="center"/>
              <w:rPr>
                <w:sz w:val="24"/>
                <w:szCs w:val="24"/>
                <w:lang w:val="en-GB"/>
              </w:rPr>
            </w:pPr>
            <w:r w:rsidRPr="00464A1D">
              <w:rPr>
                <w:sz w:val="24"/>
                <w:szCs w:val="24"/>
                <w:lang w:val="en-GB"/>
              </w:rPr>
              <w:t>2.4</w:t>
            </w:r>
          </w:p>
        </w:tc>
      </w:tr>
      <w:tr w:rsidR="00724350" w:rsidRPr="00464A1D" w14:paraId="5C0F7488" w14:textId="77777777" w:rsidTr="002C2881">
        <w:tc>
          <w:tcPr>
            <w:tcW w:w="0" w:type="auto"/>
            <w:vAlign w:val="center"/>
          </w:tcPr>
          <w:p w14:paraId="3866DC14" w14:textId="77777777" w:rsidR="00724350" w:rsidRPr="00464A1D" w:rsidRDefault="00724350" w:rsidP="002C2881">
            <w:pPr>
              <w:spacing w:line="360" w:lineRule="auto"/>
              <w:rPr>
                <w:sz w:val="24"/>
                <w:szCs w:val="24"/>
                <w:lang w:val="en-GB"/>
              </w:rPr>
            </w:pPr>
            <w:r w:rsidRPr="00464A1D">
              <w:rPr>
                <w:sz w:val="24"/>
                <w:szCs w:val="24"/>
                <w:lang w:val="en-GB"/>
              </w:rPr>
              <w:t>5</w:t>
            </w:r>
          </w:p>
        </w:tc>
        <w:tc>
          <w:tcPr>
            <w:tcW w:w="0" w:type="auto"/>
            <w:vAlign w:val="center"/>
          </w:tcPr>
          <w:p w14:paraId="5D15AEA0" w14:textId="77777777" w:rsidR="00724350" w:rsidRPr="00464A1D" w:rsidRDefault="00724350" w:rsidP="002C2881">
            <w:pPr>
              <w:spacing w:line="360" w:lineRule="auto"/>
              <w:jc w:val="center"/>
              <w:rPr>
                <w:sz w:val="24"/>
                <w:szCs w:val="24"/>
                <w:lang w:val="en-GB"/>
              </w:rPr>
            </w:pPr>
            <w:r w:rsidRPr="00464A1D">
              <w:rPr>
                <w:sz w:val="24"/>
                <w:szCs w:val="24"/>
                <w:lang w:val="en-GB"/>
              </w:rPr>
              <w:t>81.9</w:t>
            </w:r>
          </w:p>
        </w:tc>
        <w:tc>
          <w:tcPr>
            <w:tcW w:w="0" w:type="auto"/>
            <w:vAlign w:val="center"/>
          </w:tcPr>
          <w:p w14:paraId="23D91548" w14:textId="77777777" w:rsidR="00724350" w:rsidRPr="00464A1D" w:rsidRDefault="00724350" w:rsidP="002C2881">
            <w:pPr>
              <w:spacing w:line="360" w:lineRule="auto"/>
              <w:jc w:val="center"/>
              <w:rPr>
                <w:sz w:val="24"/>
                <w:szCs w:val="24"/>
                <w:lang w:val="en-GB"/>
              </w:rPr>
            </w:pPr>
            <w:r w:rsidRPr="00464A1D">
              <w:rPr>
                <w:sz w:val="24"/>
                <w:szCs w:val="24"/>
                <w:lang w:val="en-GB"/>
              </w:rPr>
              <w:t>1.8</w:t>
            </w:r>
          </w:p>
        </w:tc>
        <w:tc>
          <w:tcPr>
            <w:tcW w:w="0" w:type="auto"/>
            <w:vAlign w:val="center"/>
          </w:tcPr>
          <w:p w14:paraId="5A1226DF" w14:textId="77777777" w:rsidR="00724350" w:rsidRPr="00464A1D" w:rsidRDefault="00724350" w:rsidP="002C2881">
            <w:pPr>
              <w:spacing w:line="360" w:lineRule="auto"/>
              <w:jc w:val="center"/>
              <w:rPr>
                <w:sz w:val="24"/>
                <w:szCs w:val="24"/>
                <w:lang w:val="en-GB"/>
              </w:rPr>
            </w:pPr>
            <w:r w:rsidRPr="00464A1D">
              <w:rPr>
                <w:sz w:val="24"/>
                <w:szCs w:val="24"/>
                <w:lang w:val="en-GB"/>
              </w:rPr>
              <w:t>2.7</w:t>
            </w:r>
          </w:p>
        </w:tc>
        <w:tc>
          <w:tcPr>
            <w:tcW w:w="0" w:type="auto"/>
            <w:vAlign w:val="center"/>
          </w:tcPr>
          <w:p w14:paraId="056A304D" w14:textId="77777777" w:rsidR="00724350" w:rsidRPr="00464A1D" w:rsidRDefault="00724350" w:rsidP="002C2881">
            <w:pPr>
              <w:spacing w:line="360" w:lineRule="auto"/>
              <w:jc w:val="center"/>
              <w:rPr>
                <w:sz w:val="24"/>
                <w:szCs w:val="24"/>
                <w:lang w:val="en-GB"/>
              </w:rPr>
            </w:pPr>
            <w:r w:rsidRPr="00464A1D">
              <w:rPr>
                <w:sz w:val="24"/>
                <w:szCs w:val="24"/>
                <w:lang w:val="en-GB"/>
              </w:rPr>
              <w:t>8.4</w:t>
            </w:r>
          </w:p>
        </w:tc>
        <w:tc>
          <w:tcPr>
            <w:tcW w:w="0" w:type="auto"/>
            <w:vAlign w:val="center"/>
          </w:tcPr>
          <w:p w14:paraId="55CBB40B" w14:textId="77777777" w:rsidR="00724350" w:rsidRPr="00464A1D" w:rsidRDefault="00724350" w:rsidP="002C2881">
            <w:pPr>
              <w:spacing w:line="360" w:lineRule="auto"/>
              <w:jc w:val="center"/>
              <w:rPr>
                <w:sz w:val="24"/>
                <w:szCs w:val="24"/>
                <w:lang w:val="en-GB"/>
              </w:rPr>
            </w:pPr>
            <w:r w:rsidRPr="00464A1D">
              <w:rPr>
                <w:sz w:val="24"/>
                <w:szCs w:val="24"/>
                <w:lang w:val="en-GB"/>
              </w:rPr>
              <w:t>34.2</w:t>
            </w:r>
          </w:p>
        </w:tc>
        <w:tc>
          <w:tcPr>
            <w:tcW w:w="0" w:type="auto"/>
            <w:vAlign w:val="center"/>
          </w:tcPr>
          <w:p w14:paraId="02C6DB13" w14:textId="77777777" w:rsidR="00724350" w:rsidRPr="00464A1D" w:rsidRDefault="00724350" w:rsidP="002C2881">
            <w:pPr>
              <w:spacing w:line="360" w:lineRule="auto"/>
              <w:jc w:val="center"/>
              <w:rPr>
                <w:sz w:val="24"/>
                <w:szCs w:val="24"/>
                <w:lang w:val="en-GB"/>
              </w:rPr>
            </w:pPr>
            <w:r w:rsidRPr="00464A1D">
              <w:rPr>
                <w:sz w:val="24"/>
                <w:szCs w:val="24"/>
                <w:lang w:val="en-GB"/>
              </w:rPr>
              <w:t>52.6</w:t>
            </w:r>
          </w:p>
        </w:tc>
        <w:tc>
          <w:tcPr>
            <w:tcW w:w="0" w:type="auto"/>
            <w:vAlign w:val="center"/>
          </w:tcPr>
          <w:p w14:paraId="21CF098C" w14:textId="77777777" w:rsidR="00724350" w:rsidRPr="00464A1D" w:rsidRDefault="00724350" w:rsidP="002C2881">
            <w:pPr>
              <w:spacing w:line="360" w:lineRule="auto"/>
              <w:jc w:val="center"/>
              <w:rPr>
                <w:sz w:val="24"/>
                <w:szCs w:val="24"/>
                <w:lang w:val="en-GB"/>
              </w:rPr>
            </w:pPr>
            <w:r w:rsidRPr="00464A1D">
              <w:rPr>
                <w:sz w:val="24"/>
                <w:szCs w:val="24"/>
                <w:lang w:val="en-GB"/>
              </w:rPr>
              <w:t>60.9</w:t>
            </w:r>
          </w:p>
        </w:tc>
        <w:tc>
          <w:tcPr>
            <w:tcW w:w="0" w:type="auto"/>
            <w:vAlign w:val="center"/>
          </w:tcPr>
          <w:p w14:paraId="1EAE08B2" w14:textId="77777777" w:rsidR="00724350" w:rsidRPr="00464A1D" w:rsidRDefault="00724350" w:rsidP="002C2881">
            <w:pPr>
              <w:spacing w:line="360" w:lineRule="auto"/>
              <w:jc w:val="center"/>
              <w:rPr>
                <w:sz w:val="24"/>
                <w:szCs w:val="24"/>
                <w:lang w:val="en-GB"/>
              </w:rPr>
            </w:pPr>
            <w:r w:rsidRPr="00464A1D">
              <w:rPr>
                <w:sz w:val="24"/>
                <w:szCs w:val="24"/>
                <w:lang w:val="en-GB"/>
              </w:rPr>
              <w:t>3.2</w:t>
            </w:r>
          </w:p>
        </w:tc>
        <w:tc>
          <w:tcPr>
            <w:tcW w:w="0" w:type="auto"/>
            <w:vAlign w:val="center"/>
          </w:tcPr>
          <w:p w14:paraId="15904E10" w14:textId="77777777" w:rsidR="00724350" w:rsidRPr="00464A1D" w:rsidRDefault="00724350" w:rsidP="002C2881">
            <w:pPr>
              <w:spacing w:line="360" w:lineRule="auto"/>
              <w:jc w:val="center"/>
              <w:rPr>
                <w:sz w:val="24"/>
                <w:szCs w:val="24"/>
                <w:lang w:val="en-GB"/>
              </w:rPr>
            </w:pPr>
            <w:r w:rsidRPr="00464A1D">
              <w:rPr>
                <w:sz w:val="24"/>
                <w:szCs w:val="24"/>
                <w:lang w:val="en-GB"/>
              </w:rPr>
              <w:t>4.9</w:t>
            </w:r>
          </w:p>
        </w:tc>
      </w:tr>
      <w:tr w:rsidR="00724350" w:rsidRPr="00464A1D" w14:paraId="3E0D8341" w14:textId="77777777" w:rsidTr="002C2881">
        <w:tc>
          <w:tcPr>
            <w:tcW w:w="0" w:type="auto"/>
            <w:tcBorders>
              <w:bottom w:val="single" w:sz="4" w:space="0" w:color="auto"/>
            </w:tcBorders>
            <w:vAlign w:val="center"/>
          </w:tcPr>
          <w:p w14:paraId="57F67280" w14:textId="77777777" w:rsidR="00724350" w:rsidRPr="00464A1D" w:rsidRDefault="00724350" w:rsidP="002C2881">
            <w:pPr>
              <w:spacing w:line="360" w:lineRule="auto"/>
              <w:rPr>
                <w:sz w:val="24"/>
                <w:szCs w:val="24"/>
                <w:lang w:val="en-GB"/>
              </w:rPr>
            </w:pPr>
            <w:r w:rsidRPr="00464A1D">
              <w:rPr>
                <w:sz w:val="24"/>
                <w:szCs w:val="24"/>
                <w:lang w:val="en-GB"/>
              </w:rPr>
              <w:t>2</w:t>
            </w:r>
          </w:p>
        </w:tc>
        <w:tc>
          <w:tcPr>
            <w:tcW w:w="0" w:type="auto"/>
            <w:tcBorders>
              <w:bottom w:val="single" w:sz="4" w:space="0" w:color="auto"/>
            </w:tcBorders>
            <w:vAlign w:val="center"/>
          </w:tcPr>
          <w:p w14:paraId="24938453" w14:textId="77777777" w:rsidR="00724350" w:rsidRPr="00464A1D" w:rsidRDefault="00724350" w:rsidP="002C2881">
            <w:pPr>
              <w:spacing w:line="360" w:lineRule="auto"/>
              <w:jc w:val="center"/>
              <w:rPr>
                <w:sz w:val="24"/>
                <w:szCs w:val="24"/>
                <w:lang w:val="en-GB"/>
              </w:rPr>
            </w:pPr>
            <w:r w:rsidRPr="00464A1D">
              <w:rPr>
                <w:sz w:val="24"/>
                <w:szCs w:val="24"/>
                <w:lang w:val="en-GB"/>
              </w:rPr>
              <w:t>49.5</w:t>
            </w:r>
          </w:p>
        </w:tc>
        <w:tc>
          <w:tcPr>
            <w:tcW w:w="0" w:type="auto"/>
            <w:tcBorders>
              <w:bottom w:val="single" w:sz="4" w:space="0" w:color="auto"/>
            </w:tcBorders>
            <w:vAlign w:val="center"/>
          </w:tcPr>
          <w:p w14:paraId="4A48263D" w14:textId="77777777" w:rsidR="00724350" w:rsidRPr="00464A1D" w:rsidRDefault="00724350" w:rsidP="002C2881">
            <w:pPr>
              <w:spacing w:line="360" w:lineRule="auto"/>
              <w:jc w:val="center"/>
              <w:rPr>
                <w:sz w:val="24"/>
                <w:szCs w:val="24"/>
                <w:lang w:val="en-GB"/>
              </w:rPr>
            </w:pPr>
            <w:r w:rsidRPr="00464A1D">
              <w:rPr>
                <w:sz w:val="24"/>
                <w:szCs w:val="24"/>
                <w:lang w:val="en-GB"/>
              </w:rPr>
              <w:t>4.4</w:t>
            </w:r>
          </w:p>
        </w:tc>
        <w:tc>
          <w:tcPr>
            <w:tcW w:w="0" w:type="auto"/>
            <w:tcBorders>
              <w:bottom w:val="single" w:sz="4" w:space="0" w:color="auto"/>
            </w:tcBorders>
            <w:vAlign w:val="center"/>
          </w:tcPr>
          <w:p w14:paraId="4CEFD3F1" w14:textId="77777777" w:rsidR="00724350" w:rsidRPr="00464A1D" w:rsidRDefault="00724350" w:rsidP="002C2881">
            <w:pPr>
              <w:spacing w:line="360" w:lineRule="auto"/>
              <w:jc w:val="center"/>
              <w:rPr>
                <w:sz w:val="24"/>
                <w:szCs w:val="24"/>
                <w:lang w:val="en-GB"/>
              </w:rPr>
            </w:pPr>
            <w:r w:rsidRPr="00464A1D">
              <w:rPr>
                <w:sz w:val="24"/>
                <w:szCs w:val="24"/>
                <w:lang w:val="en-GB"/>
              </w:rPr>
              <w:t>6.7</w:t>
            </w:r>
          </w:p>
        </w:tc>
        <w:tc>
          <w:tcPr>
            <w:tcW w:w="0" w:type="auto"/>
            <w:tcBorders>
              <w:bottom w:val="single" w:sz="4" w:space="0" w:color="auto"/>
            </w:tcBorders>
            <w:vAlign w:val="center"/>
          </w:tcPr>
          <w:p w14:paraId="27A29FF7" w14:textId="77777777" w:rsidR="00724350" w:rsidRPr="00464A1D" w:rsidRDefault="00724350" w:rsidP="002C2881">
            <w:pPr>
              <w:spacing w:line="360" w:lineRule="auto"/>
              <w:jc w:val="center"/>
              <w:rPr>
                <w:sz w:val="24"/>
                <w:szCs w:val="24"/>
                <w:lang w:val="en-GB"/>
              </w:rPr>
            </w:pPr>
            <w:r w:rsidRPr="00464A1D">
              <w:rPr>
                <w:sz w:val="24"/>
                <w:szCs w:val="24"/>
                <w:lang w:val="en-GB"/>
              </w:rPr>
              <w:t>3.4</w:t>
            </w:r>
          </w:p>
        </w:tc>
        <w:tc>
          <w:tcPr>
            <w:tcW w:w="0" w:type="auto"/>
            <w:tcBorders>
              <w:bottom w:val="single" w:sz="4" w:space="0" w:color="auto"/>
            </w:tcBorders>
            <w:vAlign w:val="center"/>
          </w:tcPr>
          <w:p w14:paraId="24DF9149" w14:textId="77777777" w:rsidR="00724350" w:rsidRPr="00464A1D" w:rsidRDefault="00724350" w:rsidP="002C2881">
            <w:pPr>
              <w:spacing w:line="360" w:lineRule="auto"/>
              <w:jc w:val="center"/>
              <w:rPr>
                <w:sz w:val="24"/>
                <w:szCs w:val="24"/>
                <w:lang w:val="en-GB"/>
              </w:rPr>
            </w:pPr>
            <w:r w:rsidRPr="00464A1D">
              <w:rPr>
                <w:sz w:val="24"/>
                <w:szCs w:val="24"/>
                <w:lang w:val="en-GB"/>
              </w:rPr>
              <w:t>85.5</w:t>
            </w:r>
          </w:p>
        </w:tc>
        <w:tc>
          <w:tcPr>
            <w:tcW w:w="0" w:type="auto"/>
            <w:tcBorders>
              <w:bottom w:val="single" w:sz="4" w:space="0" w:color="auto"/>
            </w:tcBorders>
            <w:vAlign w:val="center"/>
          </w:tcPr>
          <w:p w14:paraId="2FD56D18" w14:textId="77777777" w:rsidR="00724350" w:rsidRPr="00464A1D" w:rsidRDefault="00724350" w:rsidP="002C2881">
            <w:pPr>
              <w:spacing w:line="360" w:lineRule="auto"/>
              <w:jc w:val="center"/>
              <w:rPr>
                <w:sz w:val="24"/>
                <w:szCs w:val="24"/>
                <w:lang w:val="en-GB"/>
              </w:rPr>
            </w:pPr>
            <w:r w:rsidRPr="00464A1D">
              <w:rPr>
                <w:sz w:val="24"/>
                <w:szCs w:val="24"/>
                <w:lang w:val="en-GB"/>
              </w:rPr>
              <w:t>131.5</w:t>
            </w:r>
          </w:p>
        </w:tc>
        <w:tc>
          <w:tcPr>
            <w:tcW w:w="0" w:type="auto"/>
            <w:tcBorders>
              <w:bottom w:val="single" w:sz="4" w:space="0" w:color="auto"/>
            </w:tcBorders>
            <w:vAlign w:val="center"/>
          </w:tcPr>
          <w:p w14:paraId="29C707D0" w14:textId="77777777" w:rsidR="00724350" w:rsidRPr="00464A1D" w:rsidRDefault="00724350" w:rsidP="002C2881">
            <w:pPr>
              <w:spacing w:line="360" w:lineRule="auto"/>
              <w:jc w:val="center"/>
              <w:rPr>
                <w:sz w:val="24"/>
                <w:szCs w:val="24"/>
                <w:lang w:val="en-GB"/>
              </w:rPr>
            </w:pPr>
            <w:r w:rsidRPr="00464A1D">
              <w:rPr>
                <w:sz w:val="24"/>
                <w:szCs w:val="24"/>
                <w:lang w:val="en-GB"/>
              </w:rPr>
              <w:t>31.3</w:t>
            </w:r>
          </w:p>
        </w:tc>
        <w:tc>
          <w:tcPr>
            <w:tcW w:w="0" w:type="auto"/>
            <w:tcBorders>
              <w:bottom w:val="single" w:sz="4" w:space="0" w:color="auto"/>
            </w:tcBorders>
            <w:vAlign w:val="center"/>
          </w:tcPr>
          <w:p w14:paraId="53838516" w14:textId="77777777" w:rsidR="00724350" w:rsidRPr="00464A1D" w:rsidRDefault="00724350" w:rsidP="002C2881">
            <w:pPr>
              <w:spacing w:line="360" w:lineRule="auto"/>
              <w:jc w:val="center"/>
              <w:rPr>
                <w:sz w:val="24"/>
                <w:szCs w:val="24"/>
                <w:lang w:val="en-GB"/>
              </w:rPr>
            </w:pPr>
            <w:r w:rsidRPr="00464A1D">
              <w:rPr>
                <w:sz w:val="24"/>
                <w:szCs w:val="24"/>
                <w:lang w:val="en-GB"/>
              </w:rPr>
              <w:t>8.0</w:t>
            </w:r>
          </w:p>
        </w:tc>
        <w:tc>
          <w:tcPr>
            <w:tcW w:w="0" w:type="auto"/>
            <w:tcBorders>
              <w:bottom w:val="single" w:sz="4" w:space="0" w:color="auto"/>
            </w:tcBorders>
            <w:vAlign w:val="center"/>
          </w:tcPr>
          <w:p w14:paraId="7795849D" w14:textId="77777777" w:rsidR="00724350" w:rsidRPr="00464A1D" w:rsidRDefault="00724350" w:rsidP="002C2881">
            <w:pPr>
              <w:spacing w:line="360" w:lineRule="auto"/>
              <w:jc w:val="center"/>
              <w:rPr>
                <w:sz w:val="24"/>
                <w:szCs w:val="24"/>
                <w:lang w:val="en-GB"/>
              </w:rPr>
            </w:pPr>
            <w:r w:rsidRPr="00464A1D">
              <w:rPr>
                <w:sz w:val="24"/>
                <w:szCs w:val="24"/>
                <w:lang w:val="en-GB"/>
              </w:rPr>
              <w:t>12.2</w:t>
            </w:r>
          </w:p>
        </w:tc>
      </w:tr>
    </w:tbl>
    <w:p w14:paraId="27713725" w14:textId="77777777" w:rsidR="00724350" w:rsidRPr="00464A1D" w:rsidRDefault="00724350" w:rsidP="00724350">
      <w:pPr>
        <w:widowControl/>
        <w:autoSpaceDE/>
        <w:autoSpaceDN/>
        <w:adjustRightInd/>
        <w:spacing w:line="360" w:lineRule="auto"/>
        <w:rPr>
          <w:sz w:val="24"/>
          <w:szCs w:val="24"/>
          <w:lang w:val="en-GB"/>
        </w:rPr>
      </w:pPr>
    </w:p>
    <w:p w14:paraId="3D5D5AD0" w14:textId="77777777" w:rsidR="00724350" w:rsidRPr="00464A1D" w:rsidRDefault="00724350" w:rsidP="00724350">
      <w:pPr>
        <w:widowControl/>
        <w:autoSpaceDE/>
        <w:autoSpaceDN/>
        <w:adjustRightInd/>
        <w:spacing w:line="360" w:lineRule="auto"/>
        <w:rPr>
          <w:sz w:val="24"/>
          <w:szCs w:val="24"/>
          <w:lang w:val="en-GB"/>
        </w:rPr>
      </w:pPr>
    </w:p>
    <w:p w14:paraId="384855EE" w14:textId="77777777" w:rsidR="00885A8A" w:rsidRDefault="00724350"/>
    <w:sectPr w:rsidR="00885A8A" w:rsidSect="00724350">
      <w:footerReference w:type="default" r:id="rId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7E34" w14:textId="77777777" w:rsidR="0086351E" w:rsidRDefault="00724350">
    <w:pPr>
      <w:pStyle w:val="Footer"/>
      <w:jc w:val="center"/>
    </w:pPr>
    <w:r>
      <w:fldChar w:fldCharType="begin"/>
    </w:r>
    <w:r>
      <w:instrText xml:space="preserve"> PAGE   \* MERGEFORMAT </w:instrText>
    </w:r>
    <w:r>
      <w:fldChar w:fldCharType="separate"/>
    </w:r>
    <w:r>
      <w:rPr>
        <w:noProof/>
      </w:rPr>
      <w:t>3</w:t>
    </w:r>
    <w:r>
      <w:fldChar w:fldCharType="end"/>
    </w:r>
  </w:p>
  <w:p w14:paraId="546F778B" w14:textId="77777777" w:rsidR="0086351E" w:rsidRDefault="0072435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F2B61"/>
    <w:multiLevelType w:val="hybridMultilevel"/>
    <w:tmpl w:val="A2D8E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B51A3B"/>
    <w:multiLevelType w:val="hybridMultilevel"/>
    <w:tmpl w:val="F28684E8"/>
    <w:lvl w:ilvl="0" w:tplc="1D9AF588">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EC"/>
    <w:rsid w:val="000E3959"/>
    <w:rsid w:val="000F15E9"/>
    <w:rsid w:val="00106CCB"/>
    <w:rsid w:val="001431EC"/>
    <w:rsid w:val="001655C9"/>
    <w:rsid w:val="0037060F"/>
    <w:rsid w:val="004033D5"/>
    <w:rsid w:val="00440A39"/>
    <w:rsid w:val="005259D1"/>
    <w:rsid w:val="0057711D"/>
    <w:rsid w:val="0062706D"/>
    <w:rsid w:val="00724350"/>
    <w:rsid w:val="0078372F"/>
    <w:rsid w:val="008841FA"/>
    <w:rsid w:val="008D5614"/>
    <w:rsid w:val="008D5B35"/>
    <w:rsid w:val="00905F94"/>
    <w:rsid w:val="00954150"/>
    <w:rsid w:val="00964BE0"/>
    <w:rsid w:val="009865B4"/>
    <w:rsid w:val="00A71D7F"/>
    <w:rsid w:val="00A92961"/>
    <w:rsid w:val="00AF4362"/>
    <w:rsid w:val="00B1641F"/>
    <w:rsid w:val="00B23549"/>
    <w:rsid w:val="00C16B71"/>
    <w:rsid w:val="00C40897"/>
    <w:rsid w:val="00CC63CA"/>
    <w:rsid w:val="00D21C2B"/>
    <w:rsid w:val="00D54A07"/>
    <w:rsid w:val="00D70633"/>
    <w:rsid w:val="00DD1997"/>
    <w:rsid w:val="00E62F7D"/>
    <w:rsid w:val="00EE62BA"/>
    <w:rsid w:val="00F41B99"/>
    <w:rsid w:val="00F63BF0"/>
    <w:rsid w:val="00F7216C"/>
    <w:rsid w:val="00F8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37207-F073-4EE5-8893-25BD1B8E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24350"/>
    <w:pPr>
      <w:spacing w:line="360" w:lineRule="auto"/>
      <w:outlineLvl w:val="0"/>
    </w:pPr>
    <w:rPr>
      <w:b/>
      <w:bCs/>
      <w:sz w:val="24"/>
      <w:szCs w:val="24"/>
    </w:rPr>
  </w:style>
  <w:style w:type="paragraph" w:styleId="Heading3">
    <w:name w:val="heading 3"/>
    <w:basedOn w:val="Normal"/>
    <w:link w:val="Heading3Char"/>
    <w:uiPriority w:val="9"/>
    <w:qFormat/>
    <w:rsid w:val="00724350"/>
    <w:pPr>
      <w:widowControl/>
      <w:autoSpaceDE/>
      <w:autoSpaceDN/>
      <w:adjustRightInd/>
      <w:spacing w:before="300" w:after="150"/>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350"/>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724350"/>
    <w:rPr>
      <w:rFonts w:ascii="Times New Roman" w:eastAsia="Times New Roman" w:hAnsi="Times New Roman" w:cs="Times New Roman"/>
      <w:b/>
      <w:bCs/>
      <w:sz w:val="36"/>
      <w:szCs w:val="36"/>
      <w:lang w:val="en-US"/>
    </w:rPr>
  </w:style>
  <w:style w:type="paragraph" w:styleId="Header">
    <w:name w:val="header"/>
    <w:basedOn w:val="Normal"/>
    <w:link w:val="HeaderChar"/>
    <w:uiPriority w:val="99"/>
    <w:unhideWhenUsed/>
    <w:rsid w:val="00724350"/>
    <w:pPr>
      <w:tabs>
        <w:tab w:val="center" w:pos="4680"/>
        <w:tab w:val="right" w:pos="9360"/>
      </w:tabs>
    </w:pPr>
  </w:style>
  <w:style w:type="character" w:customStyle="1" w:styleId="HeaderChar">
    <w:name w:val="Header Char"/>
    <w:basedOn w:val="DefaultParagraphFont"/>
    <w:link w:val="Header"/>
    <w:uiPriority w:val="99"/>
    <w:rsid w:val="0072435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4350"/>
    <w:pPr>
      <w:tabs>
        <w:tab w:val="center" w:pos="4680"/>
        <w:tab w:val="right" w:pos="9360"/>
      </w:tabs>
    </w:pPr>
  </w:style>
  <w:style w:type="character" w:customStyle="1" w:styleId="FooterChar">
    <w:name w:val="Footer Char"/>
    <w:basedOn w:val="DefaultParagraphFont"/>
    <w:link w:val="Footer"/>
    <w:uiPriority w:val="99"/>
    <w:rsid w:val="0072435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rsid w:val="00724350"/>
    <w:rPr>
      <w:rFonts w:ascii="Segoe UI" w:hAnsi="Segoe UI" w:cs="Segoe UI"/>
      <w:sz w:val="18"/>
      <w:szCs w:val="18"/>
    </w:rPr>
  </w:style>
  <w:style w:type="character" w:customStyle="1" w:styleId="BalloonTextChar">
    <w:name w:val="Balloon Text Char"/>
    <w:basedOn w:val="DefaultParagraphFont"/>
    <w:link w:val="BalloonText"/>
    <w:uiPriority w:val="99"/>
    <w:rsid w:val="00724350"/>
    <w:rPr>
      <w:rFonts w:ascii="Segoe UI" w:eastAsia="Times New Roman" w:hAnsi="Segoe UI" w:cs="Segoe UI"/>
      <w:sz w:val="18"/>
      <w:szCs w:val="18"/>
      <w:lang w:val="en-US"/>
    </w:rPr>
  </w:style>
  <w:style w:type="character" w:styleId="CommentReference">
    <w:name w:val="annotation reference"/>
    <w:basedOn w:val="DefaultParagraphFont"/>
    <w:uiPriority w:val="99"/>
    <w:rsid w:val="00724350"/>
    <w:rPr>
      <w:sz w:val="16"/>
      <w:szCs w:val="16"/>
    </w:rPr>
  </w:style>
  <w:style w:type="paragraph" w:styleId="CommentText">
    <w:name w:val="annotation text"/>
    <w:basedOn w:val="Normal"/>
    <w:link w:val="CommentTextChar"/>
    <w:uiPriority w:val="99"/>
    <w:rsid w:val="00724350"/>
  </w:style>
  <w:style w:type="character" w:customStyle="1" w:styleId="CommentTextChar">
    <w:name w:val="Comment Text Char"/>
    <w:basedOn w:val="DefaultParagraphFont"/>
    <w:link w:val="CommentText"/>
    <w:uiPriority w:val="99"/>
    <w:rsid w:val="007243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724350"/>
    <w:rPr>
      <w:b/>
      <w:bCs/>
    </w:rPr>
  </w:style>
  <w:style w:type="character" w:customStyle="1" w:styleId="CommentSubjectChar">
    <w:name w:val="Comment Subject Char"/>
    <w:basedOn w:val="CommentTextChar"/>
    <w:link w:val="CommentSubject"/>
    <w:uiPriority w:val="99"/>
    <w:rsid w:val="00724350"/>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724350"/>
    <w:rPr>
      <w:color w:val="808080"/>
    </w:rPr>
  </w:style>
  <w:style w:type="table" w:styleId="TableGrid">
    <w:name w:val="Table Grid"/>
    <w:basedOn w:val="TableNormal"/>
    <w:uiPriority w:val="59"/>
    <w:rsid w:val="007243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350"/>
    <w:rPr>
      <w:color w:val="0563C1" w:themeColor="hyperlink"/>
      <w:u w:val="single"/>
    </w:rPr>
  </w:style>
  <w:style w:type="paragraph" w:styleId="Revision">
    <w:name w:val="Revision"/>
    <w:hidden/>
    <w:uiPriority w:val="99"/>
    <w:semiHidden/>
    <w:rsid w:val="00724350"/>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72435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724350"/>
    <w:pPr>
      <w:widowControl/>
      <w:autoSpaceDE/>
      <w:autoSpaceDN/>
      <w:adjustRightInd/>
      <w:spacing w:after="150"/>
    </w:pPr>
    <w:rPr>
      <w:sz w:val="24"/>
      <w:szCs w:val="24"/>
    </w:rPr>
  </w:style>
  <w:style w:type="character" w:customStyle="1" w:styleId="m-1369129864640816183gmail-litcitedchar">
    <w:name w:val="m_-1369129864640816183gmail-litcitedchar"/>
    <w:basedOn w:val="DefaultParagraphFont"/>
    <w:rsid w:val="00724350"/>
  </w:style>
  <w:style w:type="paragraph" w:styleId="HTMLPreformatted">
    <w:name w:val="HTML Preformatted"/>
    <w:basedOn w:val="Normal"/>
    <w:link w:val="HTMLPreformattedChar"/>
    <w:uiPriority w:val="99"/>
    <w:semiHidden/>
    <w:unhideWhenUsed/>
    <w:rsid w:val="00724350"/>
    <w:rPr>
      <w:rFonts w:ascii="Consolas" w:hAnsi="Consolas" w:cs="Consolas"/>
    </w:rPr>
  </w:style>
  <w:style w:type="character" w:customStyle="1" w:styleId="HTMLPreformattedChar">
    <w:name w:val="HTML Preformatted Char"/>
    <w:basedOn w:val="DefaultParagraphFont"/>
    <w:link w:val="HTMLPreformatted"/>
    <w:uiPriority w:val="99"/>
    <w:semiHidden/>
    <w:rsid w:val="00724350"/>
    <w:rPr>
      <w:rFonts w:ascii="Consolas" w:eastAsia="Times New Roman" w:hAnsi="Consolas" w:cs="Consolas"/>
      <w:sz w:val="20"/>
      <w:szCs w:val="20"/>
      <w:lang w:val="en-US"/>
    </w:rPr>
  </w:style>
  <w:style w:type="character" w:styleId="Emphasis">
    <w:name w:val="Emphasis"/>
    <w:basedOn w:val="DefaultParagraphFont"/>
    <w:uiPriority w:val="20"/>
    <w:qFormat/>
    <w:rsid w:val="00724350"/>
    <w:rPr>
      <w:i/>
      <w:iCs/>
    </w:rPr>
  </w:style>
  <w:style w:type="character" w:customStyle="1" w:styleId="UnresolvedMention1">
    <w:name w:val="Unresolved Mention1"/>
    <w:basedOn w:val="DefaultParagraphFont"/>
    <w:uiPriority w:val="99"/>
    <w:semiHidden/>
    <w:unhideWhenUsed/>
    <w:rsid w:val="00724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webcitation.org/5juFYLV39?url=http://www.saipantribune.com/newsstory.aspx?newsID=93671&amp;cat=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3702</Words>
  <Characters>21104</Characters>
  <Application>Microsoft Office Word</Application>
  <DocSecurity>0</DocSecurity>
  <Lines>175</Lines>
  <Paragraphs>49</Paragraphs>
  <ScaleCrop>false</ScaleCrop>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Mallon</dc:creator>
  <cp:keywords/>
  <dc:description/>
  <cp:lastModifiedBy>David Mallon</cp:lastModifiedBy>
  <cp:revision>2</cp:revision>
  <dcterms:created xsi:type="dcterms:W3CDTF">2021-01-07T17:02:00Z</dcterms:created>
  <dcterms:modified xsi:type="dcterms:W3CDTF">2021-01-07T17:02:00Z</dcterms:modified>
</cp:coreProperties>
</file>