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88" w:rsidRPr="00D20841" w:rsidRDefault="00B44D88" w:rsidP="00B44D88">
      <w:pPr>
        <w:rPr>
          <w:rFonts w:ascii="Times New Roman" w:eastAsia="Arial Unicode MS" w:hAnsi="Times New Roman"/>
          <w:b/>
          <w:sz w:val="32"/>
          <w:lang w:eastAsia="en-GB"/>
        </w:rPr>
      </w:pPr>
      <w:r w:rsidRPr="00D20841">
        <w:rPr>
          <w:rFonts w:ascii="Times New Roman" w:eastAsia="Arial Unicode MS" w:hAnsi="Times New Roman"/>
          <w:b/>
          <w:sz w:val="32"/>
          <w:lang w:eastAsia="en-GB"/>
        </w:rPr>
        <w:t>Supplementary Material</w:t>
      </w:r>
    </w:p>
    <w:p w:rsidR="00B44D88" w:rsidRDefault="00B44D88" w:rsidP="00B44D88">
      <w:pPr>
        <w:rPr>
          <w:rFonts w:ascii="Times New Roman" w:eastAsia="Arial Unicode MS" w:hAnsi="Times New Roman"/>
          <w:sz w:val="24"/>
          <w:lang w:eastAsia="en-GB"/>
        </w:rPr>
      </w:pPr>
    </w:p>
    <w:p w:rsidR="00B44D88" w:rsidRPr="001053A9" w:rsidRDefault="00B44D88" w:rsidP="00B44D88">
      <w:pPr>
        <w:rPr>
          <w:rFonts w:ascii="Times New Roman" w:hAnsi="Times New Roman"/>
          <w:sz w:val="36"/>
        </w:rPr>
      </w:pPr>
      <w:r w:rsidRPr="001053A9">
        <w:rPr>
          <w:rFonts w:ascii="Times New Roman" w:hAnsi="Times New Roman"/>
          <w:sz w:val="36"/>
          <w:lang w:val="en-US"/>
        </w:rPr>
        <w:t>Population productivity</w:t>
      </w:r>
      <w:r w:rsidRPr="001053A9">
        <w:rPr>
          <w:rFonts w:ascii="Times New Roman" w:hAnsi="Times New Roman"/>
          <w:sz w:val="36"/>
        </w:rPr>
        <w:t xml:space="preserve"> and late breeding habitat selection by the threatened Little Bustard: the importance of grassland management</w:t>
      </w:r>
    </w:p>
    <w:p w:rsidR="00B44D88" w:rsidRPr="001053A9" w:rsidRDefault="00B44D88" w:rsidP="00B44D88">
      <w:pPr>
        <w:rPr>
          <w:rFonts w:ascii="Times New Roman" w:hAnsi="Times New Roman"/>
          <w:b/>
          <w:sz w:val="24"/>
        </w:rPr>
      </w:pPr>
    </w:p>
    <w:p w:rsidR="00B44D88" w:rsidRPr="001053A9" w:rsidRDefault="00B44D88" w:rsidP="00B44D88">
      <w:pPr>
        <w:pStyle w:val="BodyText"/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1053A9">
        <w:rPr>
          <w:rFonts w:ascii="Times New Roman" w:hAnsi="Times New Roman" w:cs="Times New Roman"/>
          <w:sz w:val="24"/>
          <w:szCs w:val="24"/>
          <w:lang w:val="es-ES"/>
        </w:rPr>
        <w:t>NUNO FARIA, MANUEL B. MORALES</w:t>
      </w:r>
    </w:p>
    <w:p w:rsidR="00B44D88" w:rsidRDefault="00B44D88" w:rsidP="00B44D88">
      <w:pPr>
        <w:rPr>
          <w:rFonts w:ascii="Times New Roman" w:eastAsia="Arial Unicode MS" w:hAnsi="Times New Roman"/>
          <w:sz w:val="24"/>
          <w:lang w:eastAsia="en-GB"/>
        </w:rPr>
      </w:pPr>
    </w:p>
    <w:p w:rsidR="00B44D88" w:rsidRDefault="00B44D88" w:rsidP="00B44D88">
      <w:pPr>
        <w:rPr>
          <w:rFonts w:ascii="Times New Roman" w:eastAsia="Arial Unicode MS" w:hAnsi="Times New Roman"/>
          <w:sz w:val="24"/>
          <w:lang w:eastAsia="en-GB"/>
        </w:rPr>
      </w:pPr>
    </w:p>
    <w:p w:rsidR="00B44D88" w:rsidRPr="00D20841" w:rsidRDefault="00B44D88" w:rsidP="00B44D88">
      <w:pPr>
        <w:rPr>
          <w:rFonts w:ascii="Times New Roman" w:eastAsia="Arial Unicode MS" w:hAnsi="Times New Roman"/>
          <w:b/>
          <w:sz w:val="28"/>
          <w:lang w:eastAsia="en-GB"/>
        </w:rPr>
      </w:pPr>
      <w:r w:rsidRPr="00D20841">
        <w:rPr>
          <w:rFonts w:ascii="Times New Roman" w:eastAsia="Arial Unicode MS" w:hAnsi="Times New Roman"/>
          <w:b/>
          <w:sz w:val="28"/>
          <w:lang w:eastAsia="en-GB"/>
        </w:rPr>
        <w:t>Contents</w:t>
      </w:r>
    </w:p>
    <w:p w:rsidR="00B44D88" w:rsidRDefault="00B44D88" w:rsidP="00B44D88">
      <w:pPr>
        <w:rPr>
          <w:rFonts w:ascii="Times New Roman" w:eastAsia="Times New Roman" w:hAnsi="Times New Roman"/>
          <w:bCs/>
          <w:sz w:val="24"/>
          <w:lang w:eastAsia="pt-PT"/>
        </w:rPr>
      </w:pPr>
      <w:r>
        <w:rPr>
          <w:rFonts w:ascii="Times New Roman" w:eastAsia="Arial Unicode MS" w:hAnsi="Times New Roman"/>
          <w:sz w:val="24"/>
          <w:lang w:eastAsia="en-GB"/>
        </w:rPr>
        <w:t>T</w:t>
      </w:r>
      <w:r w:rsidRPr="00D20841">
        <w:rPr>
          <w:rFonts w:ascii="Times New Roman" w:eastAsia="Arial Unicode MS" w:hAnsi="Times New Roman"/>
          <w:sz w:val="24"/>
          <w:lang w:eastAsia="en-GB"/>
        </w:rPr>
        <w:t>able S1.</w:t>
      </w:r>
      <w:r w:rsidRPr="00C04B25">
        <w:rPr>
          <w:rFonts w:ascii="Times New Roman" w:eastAsia="Arial Unicode MS" w:hAnsi="Times New Roman"/>
          <w:sz w:val="24"/>
          <w:lang w:eastAsia="en-GB"/>
        </w:rPr>
        <w:t xml:space="preserve"> </w:t>
      </w:r>
      <w:r w:rsidRPr="00C04B25">
        <w:rPr>
          <w:rFonts w:ascii="Times New Roman" w:eastAsia="Times New Roman" w:hAnsi="Times New Roman"/>
          <w:bCs/>
          <w:sz w:val="24"/>
          <w:lang w:eastAsia="pt-PT"/>
        </w:rPr>
        <w:t xml:space="preserve">Weather statistics for the 2012-2016 period in </w:t>
      </w:r>
      <w:proofErr w:type="spellStart"/>
      <w:r w:rsidRPr="00C04B25">
        <w:rPr>
          <w:rFonts w:ascii="Times New Roman" w:eastAsia="Times New Roman" w:hAnsi="Times New Roman"/>
          <w:bCs/>
          <w:sz w:val="24"/>
          <w:lang w:eastAsia="pt-PT"/>
        </w:rPr>
        <w:t>Évora</w:t>
      </w:r>
      <w:proofErr w:type="spellEnd"/>
      <w:r w:rsidRPr="00C04B25">
        <w:rPr>
          <w:rFonts w:ascii="Times New Roman" w:eastAsia="Times New Roman" w:hAnsi="Times New Roman"/>
          <w:bCs/>
          <w:sz w:val="24"/>
          <w:lang w:eastAsia="pt-PT"/>
        </w:rPr>
        <w:t xml:space="preserve"> region. </w:t>
      </w:r>
    </w:p>
    <w:p w:rsidR="00B44D88" w:rsidRDefault="00B44D88" w:rsidP="00B44D88">
      <w:pPr>
        <w:rPr>
          <w:rFonts w:ascii="Times New Roman" w:eastAsia="Arial Unicode MS" w:hAnsi="Times New Roman"/>
          <w:sz w:val="24"/>
          <w:lang w:eastAsia="en-GB"/>
        </w:rPr>
      </w:pPr>
    </w:p>
    <w:p w:rsidR="00B44D88" w:rsidRPr="00C04B25" w:rsidRDefault="00B44D88" w:rsidP="00B44D88">
      <w:pPr>
        <w:rPr>
          <w:rFonts w:ascii="Times New Roman" w:hAnsi="Times New Roman"/>
          <w:sz w:val="24"/>
        </w:rPr>
      </w:pPr>
      <w:r w:rsidRPr="00D20841">
        <w:rPr>
          <w:rFonts w:ascii="Times New Roman" w:hAnsi="Times New Roman"/>
          <w:sz w:val="24"/>
        </w:rPr>
        <w:t>Table S2.</w:t>
      </w:r>
      <w:r w:rsidRPr="00C04B25">
        <w:rPr>
          <w:rFonts w:ascii="Times New Roman" w:hAnsi="Times New Roman"/>
          <w:sz w:val="24"/>
        </w:rPr>
        <w:t xml:space="preserve"> Results of spatial autocorrelation </w:t>
      </w:r>
      <w:proofErr w:type="spellStart"/>
      <w:r w:rsidRPr="00C04B25">
        <w:rPr>
          <w:rFonts w:ascii="Times New Roman" w:hAnsi="Times New Roman"/>
          <w:sz w:val="24"/>
        </w:rPr>
        <w:t>Moran’I</w:t>
      </w:r>
      <w:proofErr w:type="spellEnd"/>
      <w:r w:rsidRPr="00C04B25">
        <w:rPr>
          <w:rFonts w:ascii="Times New Roman" w:hAnsi="Times New Roman"/>
          <w:sz w:val="24"/>
        </w:rPr>
        <w:t xml:space="preserve"> tests on the residuals of GLMMs on male, female and juvenile abundances (</w:t>
      </w:r>
      <w:r w:rsidRPr="00C04B25">
        <w:rPr>
          <w:rFonts w:ascii="Times New Roman" w:hAnsi="Times New Roman"/>
          <w:i/>
          <w:sz w:val="24"/>
        </w:rPr>
        <w:t>PFI</w:t>
      </w:r>
      <w:r w:rsidRPr="00C04B25">
        <w:rPr>
          <w:rFonts w:ascii="Times New Roman" w:hAnsi="Times New Roman"/>
          <w:sz w:val="24"/>
        </w:rPr>
        <w:t>).</w:t>
      </w:r>
    </w:p>
    <w:p w:rsidR="00B44D88" w:rsidRDefault="00B44D88" w:rsidP="00B44D88">
      <w:pPr>
        <w:rPr>
          <w:rFonts w:ascii="Times New Roman" w:eastAsia="Arial Unicode MS" w:hAnsi="Times New Roman"/>
          <w:sz w:val="24"/>
          <w:lang w:eastAsia="en-GB"/>
        </w:rPr>
      </w:pPr>
      <w:r>
        <w:rPr>
          <w:rFonts w:ascii="Times New Roman" w:eastAsia="Arial Unicode MS" w:hAnsi="Times New Roman"/>
          <w:sz w:val="24"/>
          <w:lang w:eastAsia="en-GB"/>
        </w:rPr>
        <w:br w:type="page"/>
      </w:r>
    </w:p>
    <w:p w:rsidR="00B44D88" w:rsidRPr="00C04B25" w:rsidRDefault="00B44D88" w:rsidP="00B44D88">
      <w:pPr>
        <w:rPr>
          <w:rFonts w:ascii="Times New Roman" w:eastAsia="Arial Unicode MS" w:hAnsi="Times New Roman"/>
          <w:b/>
          <w:sz w:val="24"/>
          <w:lang w:eastAsia="en-GB"/>
        </w:rPr>
      </w:pPr>
      <w:r>
        <w:rPr>
          <w:rFonts w:ascii="Times New Roman" w:eastAsia="Arial Unicode MS" w:hAnsi="Times New Roman"/>
          <w:sz w:val="24"/>
          <w:lang w:eastAsia="en-GB"/>
        </w:rPr>
        <w:lastRenderedPageBreak/>
        <w:t>T</w:t>
      </w:r>
      <w:r w:rsidRPr="00D20841">
        <w:rPr>
          <w:rFonts w:ascii="Times New Roman" w:eastAsia="Arial Unicode MS" w:hAnsi="Times New Roman"/>
          <w:sz w:val="24"/>
          <w:lang w:eastAsia="en-GB"/>
        </w:rPr>
        <w:t>able S1.</w:t>
      </w:r>
      <w:r w:rsidRPr="00C04B25">
        <w:rPr>
          <w:rFonts w:ascii="Times New Roman" w:eastAsia="Arial Unicode MS" w:hAnsi="Times New Roman"/>
          <w:sz w:val="24"/>
          <w:lang w:eastAsia="en-GB"/>
        </w:rPr>
        <w:t xml:space="preserve"> </w:t>
      </w:r>
      <w:r w:rsidRPr="00C04B25">
        <w:rPr>
          <w:rFonts w:ascii="Times New Roman" w:eastAsia="Times New Roman" w:hAnsi="Times New Roman"/>
          <w:bCs/>
          <w:sz w:val="24"/>
          <w:lang w:eastAsia="pt-PT"/>
        </w:rPr>
        <w:t xml:space="preserve">Weather statistics for the 2012-2016 period in </w:t>
      </w:r>
      <w:proofErr w:type="spellStart"/>
      <w:r w:rsidRPr="00C04B25">
        <w:rPr>
          <w:rFonts w:ascii="Times New Roman" w:eastAsia="Times New Roman" w:hAnsi="Times New Roman"/>
          <w:bCs/>
          <w:sz w:val="24"/>
          <w:lang w:eastAsia="pt-PT"/>
        </w:rPr>
        <w:t>Évora</w:t>
      </w:r>
      <w:proofErr w:type="spellEnd"/>
      <w:r w:rsidRPr="00C04B25">
        <w:rPr>
          <w:rFonts w:ascii="Times New Roman" w:eastAsia="Times New Roman" w:hAnsi="Times New Roman"/>
          <w:bCs/>
          <w:sz w:val="24"/>
          <w:lang w:eastAsia="pt-PT"/>
        </w:rPr>
        <w:t xml:space="preserve"> region. Weather statistics were computed using IPMA (2016) meteorological data. Seasons were defined as follows: Winter (December-February), Spring (March-June).</w:t>
      </w:r>
    </w:p>
    <w:p w:rsidR="00B44D88" w:rsidRPr="00C04B25" w:rsidRDefault="00B44D88" w:rsidP="00B44D88">
      <w:pPr>
        <w:pStyle w:val="CommentText"/>
        <w:rPr>
          <w:rFonts w:ascii="Times New Roman" w:hAnsi="Times New Roman"/>
        </w:rPr>
      </w:pPr>
    </w:p>
    <w:tbl>
      <w:tblPr>
        <w:tblW w:w="0" w:type="auto"/>
        <w:tblInd w:w="55" w:type="dxa"/>
        <w:tblBorders>
          <w:top w:val="single" w:sz="2" w:space="0" w:color="000000" w:themeColor="text1"/>
          <w:bottom w:val="single" w:sz="2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620"/>
        <w:gridCol w:w="680"/>
        <w:gridCol w:w="680"/>
        <w:gridCol w:w="620"/>
        <w:gridCol w:w="680"/>
      </w:tblGrid>
      <w:tr w:rsidR="00B44D88" w:rsidRPr="00C04B25" w:rsidTr="00D967FD">
        <w:trPr>
          <w:trHeight w:val="331"/>
        </w:trPr>
        <w:tc>
          <w:tcPr>
            <w:tcW w:w="0" w:type="auto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b/>
                <w:bCs/>
                <w:sz w:val="24"/>
                <w:lang w:eastAsia="pt-PT"/>
              </w:rPr>
              <w:t>Statistics</w:t>
            </w:r>
          </w:p>
        </w:tc>
        <w:tc>
          <w:tcPr>
            <w:tcW w:w="0" w:type="auto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b/>
                <w:sz w:val="24"/>
                <w:lang w:val="pt-PT" w:eastAsia="pt-PT"/>
              </w:rPr>
              <w:t>2012</w:t>
            </w:r>
          </w:p>
        </w:tc>
        <w:tc>
          <w:tcPr>
            <w:tcW w:w="0" w:type="auto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b/>
                <w:sz w:val="24"/>
                <w:lang w:val="pt-PT" w:eastAsia="pt-PT"/>
              </w:rPr>
              <w:t>2013</w:t>
            </w:r>
          </w:p>
        </w:tc>
        <w:tc>
          <w:tcPr>
            <w:tcW w:w="0" w:type="auto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b/>
                <w:sz w:val="24"/>
                <w:lang w:val="pt-PT" w:eastAsia="pt-PT"/>
              </w:rPr>
              <w:t>2014</w:t>
            </w:r>
          </w:p>
        </w:tc>
        <w:tc>
          <w:tcPr>
            <w:tcW w:w="0" w:type="auto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b/>
                <w:sz w:val="24"/>
                <w:lang w:val="pt-PT" w:eastAsia="pt-PT"/>
              </w:rPr>
              <w:t>2015</w:t>
            </w:r>
          </w:p>
        </w:tc>
        <w:tc>
          <w:tcPr>
            <w:tcW w:w="0" w:type="auto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b/>
                <w:sz w:val="24"/>
                <w:lang w:val="pt-PT" w:eastAsia="pt-PT"/>
              </w:rPr>
              <w:t>2016</w:t>
            </w:r>
          </w:p>
        </w:tc>
      </w:tr>
      <w:tr w:rsidR="00B44D88" w:rsidRPr="00C04B25" w:rsidTr="00D967FD">
        <w:trPr>
          <w:trHeight w:val="331"/>
        </w:trPr>
        <w:tc>
          <w:tcPr>
            <w:tcW w:w="0" w:type="auto"/>
            <w:tcBorders>
              <w:top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eastAsia="pt-PT"/>
              </w:rPr>
              <w:t>Winter average   minimum temperature (ºC)</w:t>
            </w:r>
          </w:p>
        </w:tc>
        <w:tc>
          <w:tcPr>
            <w:tcW w:w="0" w:type="auto"/>
            <w:tcBorders>
              <w:top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2.5</w:t>
            </w:r>
          </w:p>
        </w:tc>
        <w:tc>
          <w:tcPr>
            <w:tcW w:w="0" w:type="auto"/>
            <w:tcBorders>
              <w:top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4.7</w:t>
            </w:r>
          </w:p>
        </w:tc>
        <w:tc>
          <w:tcPr>
            <w:tcW w:w="0" w:type="auto"/>
            <w:tcBorders>
              <w:top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5.2</w:t>
            </w:r>
          </w:p>
        </w:tc>
        <w:tc>
          <w:tcPr>
            <w:tcW w:w="0" w:type="auto"/>
            <w:tcBorders>
              <w:top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3.6</w:t>
            </w:r>
          </w:p>
        </w:tc>
        <w:tc>
          <w:tcPr>
            <w:tcW w:w="0" w:type="auto"/>
            <w:tcBorders>
              <w:top w:val="single" w:sz="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6.4</w:t>
            </w:r>
          </w:p>
        </w:tc>
      </w:tr>
      <w:tr w:rsidR="00B44D88" w:rsidRPr="00C04B25" w:rsidTr="00D967FD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eastAsia="pt-PT"/>
              </w:rPr>
              <w:t>Spring average minimum temperature (ºC)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9.3</w:t>
            </w:r>
          </w:p>
        </w:tc>
      </w:tr>
      <w:tr w:rsidR="00B44D88" w:rsidRPr="00C04B25" w:rsidTr="00D967FD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eastAsia="pt-PT"/>
              </w:rPr>
              <w:t xml:space="preserve">Winter </w:t>
            </w:r>
            <w:proofErr w:type="gramStart"/>
            <w:r w:rsidRPr="00C04B25">
              <w:rPr>
                <w:rFonts w:ascii="Times New Roman" w:eastAsia="Times New Roman" w:hAnsi="Times New Roman"/>
                <w:sz w:val="24"/>
                <w:lang w:eastAsia="pt-PT"/>
              </w:rPr>
              <w:t>average  maximum</w:t>
            </w:r>
            <w:proofErr w:type="gramEnd"/>
            <w:r w:rsidRPr="00C04B25">
              <w:rPr>
                <w:rFonts w:ascii="Times New Roman" w:eastAsia="Times New Roman" w:hAnsi="Times New Roman"/>
                <w:sz w:val="24"/>
                <w:lang w:eastAsia="pt-PT"/>
              </w:rPr>
              <w:t xml:space="preserve"> temperature (ºC)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15.7</w:t>
            </w:r>
          </w:p>
        </w:tc>
      </w:tr>
      <w:tr w:rsidR="00B44D88" w:rsidRPr="00C04B25" w:rsidTr="00D967FD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eastAsia="pt-PT"/>
              </w:rPr>
              <w:t>Spring average maximum temperature (ºC)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23.5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22.2</w:t>
            </w:r>
          </w:p>
        </w:tc>
      </w:tr>
      <w:tr w:rsidR="00B44D88" w:rsidRPr="00C04B25" w:rsidTr="00D967FD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eastAsia="pt-PT"/>
              </w:rPr>
              <w:t>Winter rainfall (mm)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25.3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168.3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291.8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89.2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175.3</w:t>
            </w:r>
          </w:p>
        </w:tc>
      </w:tr>
      <w:tr w:rsidR="00B44D88" w:rsidRPr="00C04B25" w:rsidTr="00D967FD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eastAsia="pt-PT"/>
              </w:rPr>
              <w:t>Spring rainfall (mm)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80.8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250.2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193.1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80.3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4D88" w:rsidRPr="00C04B25" w:rsidRDefault="00B44D88" w:rsidP="00D967F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lang w:val="pt-PT" w:eastAsia="pt-PT"/>
              </w:rPr>
            </w:pPr>
            <w:r w:rsidRPr="00C04B25">
              <w:rPr>
                <w:rFonts w:ascii="Times New Roman" w:eastAsia="Times New Roman" w:hAnsi="Times New Roman"/>
                <w:sz w:val="24"/>
                <w:lang w:val="pt-PT" w:eastAsia="pt-PT"/>
              </w:rPr>
              <w:t>183.8</w:t>
            </w:r>
          </w:p>
        </w:tc>
      </w:tr>
    </w:tbl>
    <w:p w:rsidR="00B44D88" w:rsidRPr="00C04B25" w:rsidRDefault="00B44D88" w:rsidP="00B44D88">
      <w:pPr>
        <w:pStyle w:val="CommentText"/>
        <w:rPr>
          <w:rFonts w:ascii="Times New Roman" w:hAnsi="Times New Roman"/>
        </w:rPr>
      </w:pPr>
    </w:p>
    <w:p w:rsidR="00B44D88" w:rsidRPr="00B90F09" w:rsidRDefault="00B44D88" w:rsidP="00B44D88">
      <w:pPr>
        <w:rPr>
          <w:b/>
          <w:sz w:val="24"/>
        </w:rPr>
      </w:pPr>
      <w:r w:rsidRPr="00B90F09">
        <w:rPr>
          <w:b/>
          <w:sz w:val="24"/>
        </w:rPr>
        <w:br w:type="page"/>
      </w:r>
    </w:p>
    <w:p w:rsidR="00B44D88" w:rsidRPr="00C04B25" w:rsidRDefault="00B44D88" w:rsidP="00B44D88">
      <w:pPr>
        <w:rPr>
          <w:rFonts w:ascii="Times New Roman" w:hAnsi="Times New Roman"/>
          <w:sz w:val="24"/>
        </w:rPr>
      </w:pPr>
      <w:r w:rsidRPr="00D20841">
        <w:rPr>
          <w:rFonts w:ascii="Times New Roman" w:hAnsi="Times New Roman"/>
          <w:sz w:val="24"/>
        </w:rPr>
        <w:lastRenderedPageBreak/>
        <w:t>Table S2.</w:t>
      </w:r>
      <w:r w:rsidRPr="00C04B25">
        <w:rPr>
          <w:rFonts w:ascii="Times New Roman" w:hAnsi="Times New Roman"/>
          <w:sz w:val="24"/>
        </w:rPr>
        <w:t xml:space="preserve"> Results of spatial autocorrelation </w:t>
      </w:r>
      <w:proofErr w:type="spellStart"/>
      <w:r w:rsidRPr="00C04B25">
        <w:rPr>
          <w:rFonts w:ascii="Times New Roman" w:hAnsi="Times New Roman"/>
          <w:sz w:val="24"/>
        </w:rPr>
        <w:t>Moran’I</w:t>
      </w:r>
      <w:proofErr w:type="spellEnd"/>
      <w:r w:rsidRPr="00C04B25">
        <w:rPr>
          <w:rFonts w:ascii="Times New Roman" w:hAnsi="Times New Roman"/>
          <w:sz w:val="24"/>
        </w:rPr>
        <w:t xml:space="preserve"> tests on the residuals of GLMMs on male, female and juvenile abundances (</w:t>
      </w:r>
      <w:r w:rsidRPr="00C04B25">
        <w:rPr>
          <w:rFonts w:ascii="Times New Roman" w:hAnsi="Times New Roman"/>
          <w:i/>
          <w:sz w:val="24"/>
        </w:rPr>
        <w:t>PFI</w:t>
      </w:r>
      <w:r w:rsidRPr="00C04B25">
        <w:rPr>
          <w:rFonts w:ascii="Times New Roman" w:hAnsi="Times New Roman"/>
          <w:sz w:val="24"/>
        </w:rPr>
        <w:t>).</w:t>
      </w:r>
    </w:p>
    <w:tbl>
      <w:tblPr>
        <w:tblStyle w:val="TableGrid"/>
        <w:tblpPr w:leftFromText="141" w:rightFromText="141" w:vertAnchor="text" w:horzAnchor="margin" w:tblpXSpec="center" w:tblpY="42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2177"/>
        <w:gridCol w:w="1710"/>
        <w:gridCol w:w="1204"/>
      </w:tblGrid>
      <w:tr w:rsidR="00B44D88" w:rsidRPr="00C04B25" w:rsidTr="00D967F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b/>
                <w:sz w:val="24"/>
              </w:rPr>
            </w:pPr>
            <w:r w:rsidRPr="00C04B25">
              <w:rPr>
                <w:rFonts w:ascii="Times New Roman" w:hAnsi="Times New Roman"/>
                <w:b/>
                <w:sz w:val="24"/>
              </w:rPr>
              <w:t>Model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b/>
                <w:sz w:val="24"/>
              </w:rPr>
            </w:pPr>
            <w:r w:rsidRPr="00C04B25">
              <w:rPr>
                <w:rFonts w:ascii="Times New Roman" w:hAnsi="Times New Roman"/>
                <w:b/>
                <w:sz w:val="24"/>
              </w:rPr>
              <w:t>Moran I statistic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b/>
                <w:sz w:val="24"/>
              </w:rPr>
            </w:pPr>
            <w:r w:rsidRPr="00C04B25">
              <w:rPr>
                <w:rFonts w:ascii="Times New Roman" w:hAnsi="Times New Roman"/>
                <w:b/>
                <w:sz w:val="24"/>
              </w:rPr>
              <w:t>Expectation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b/>
                <w:sz w:val="24"/>
              </w:rPr>
            </w:pPr>
            <w:r w:rsidRPr="00C04B25">
              <w:rPr>
                <w:rFonts w:ascii="Times New Roman" w:hAnsi="Times New Roman"/>
                <w:b/>
                <w:sz w:val="24"/>
              </w:rPr>
              <w:t>P-value</w:t>
            </w:r>
          </w:p>
        </w:tc>
      </w:tr>
      <w:tr w:rsidR="00B44D88" w:rsidRPr="00C04B25" w:rsidTr="00D967FD">
        <w:tc>
          <w:tcPr>
            <w:tcW w:w="1351" w:type="dxa"/>
            <w:tcBorders>
              <w:top w:val="single" w:sz="4" w:space="0" w:color="auto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Males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</w:p>
        </w:tc>
      </w:tr>
      <w:tr w:rsidR="00B44D88" w:rsidRPr="00C04B25" w:rsidTr="00D967FD">
        <w:tc>
          <w:tcPr>
            <w:tcW w:w="1351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Full</w:t>
            </w:r>
          </w:p>
        </w:tc>
        <w:tc>
          <w:tcPr>
            <w:tcW w:w="2177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-0.112</w:t>
            </w:r>
          </w:p>
        </w:tc>
        <w:tc>
          <w:tcPr>
            <w:tcW w:w="1710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-0.007</w:t>
            </w:r>
          </w:p>
        </w:tc>
        <w:tc>
          <w:tcPr>
            <w:tcW w:w="1204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0.060</w:t>
            </w:r>
          </w:p>
        </w:tc>
      </w:tr>
      <w:tr w:rsidR="00B44D88" w:rsidRPr="00C04B25" w:rsidTr="00D967FD">
        <w:tc>
          <w:tcPr>
            <w:tcW w:w="1351" w:type="dxa"/>
            <w:tcBorders>
              <w:top w:val="nil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Best</w:t>
            </w:r>
          </w:p>
        </w:tc>
        <w:tc>
          <w:tcPr>
            <w:tcW w:w="2177" w:type="dxa"/>
            <w:tcBorders>
              <w:top w:val="nil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-0.108</w:t>
            </w:r>
          </w:p>
        </w:tc>
        <w:tc>
          <w:tcPr>
            <w:tcW w:w="1710" w:type="dxa"/>
            <w:tcBorders>
              <w:top w:val="nil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-0.007</w:t>
            </w:r>
          </w:p>
        </w:tc>
        <w:tc>
          <w:tcPr>
            <w:tcW w:w="1204" w:type="dxa"/>
            <w:tcBorders>
              <w:top w:val="nil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0.091</w:t>
            </w:r>
          </w:p>
        </w:tc>
      </w:tr>
      <w:tr w:rsidR="00B44D88" w:rsidRPr="00C04B25" w:rsidTr="00D967FD">
        <w:tc>
          <w:tcPr>
            <w:tcW w:w="135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Females</w:t>
            </w:r>
          </w:p>
        </w:tc>
        <w:tc>
          <w:tcPr>
            <w:tcW w:w="217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</w:p>
        </w:tc>
      </w:tr>
      <w:tr w:rsidR="00B44D88" w:rsidRPr="00C04B25" w:rsidTr="00D967FD">
        <w:tc>
          <w:tcPr>
            <w:tcW w:w="1351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Full</w:t>
            </w:r>
          </w:p>
        </w:tc>
        <w:tc>
          <w:tcPr>
            <w:tcW w:w="2177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-0.002</w:t>
            </w:r>
          </w:p>
        </w:tc>
        <w:tc>
          <w:tcPr>
            <w:tcW w:w="1710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-0.007</w:t>
            </w:r>
          </w:p>
        </w:tc>
        <w:tc>
          <w:tcPr>
            <w:tcW w:w="1204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0.929</w:t>
            </w:r>
          </w:p>
        </w:tc>
      </w:tr>
      <w:tr w:rsidR="00B44D88" w:rsidRPr="00C04B25" w:rsidTr="00D967FD">
        <w:tc>
          <w:tcPr>
            <w:tcW w:w="1351" w:type="dxa"/>
            <w:tcBorders>
              <w:top w:val="nil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Best</w:t>
            </w:r>
          </w:p>
        </w:tc>
        <w:tc>
          <w:tcPr>
            <w:tcW w:w="2177" w:type="dxa"/>
            <w:tcBorders>
              <w:top w:val="nil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-0.007</w:t>
            </w:r>
          </w:p>
        </w:tc>
        <w:tc>
          <w:tcPr>
            <w:tcW w:w="1710" w:type="dxa"/>
            <w:tcBorders>
              <w:top w:val="nil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-0.007</w:t>
            </w:r>
          </w:p>
        </w:tc>
        <w:tc>
          <w:tcPr>
            <w:tcW w:w="1204" w:type="dxa"/>
            <w:tcBorders>
              <w:top w:val="nil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0.978</w:t>
            </w:r>
          </w:p>
        </w:tc>
      </w:tr>
      <w:tr w:rsidR="00B44D88" w:rsidRPr="00C04B25" w:rsidTr="00D967FD">
        <w:tc>
          <w:tcPr>
            <w:tcW w:w="1351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Juveniles</w:t>
            </w:r>
          </w:p>
        </w:tc>
        <w:tc>
          <w:tcPr>
            <w:tcW w:w="217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</w:p>
        </w:tc>
      </w:tr>
      <w:tr w:rsidR="00B44D88" w:rsidRPr="00C04B25" w:rsidTr="00D967FD">
        <w:tc>
          <w:tcPr>
            <w:tcW w:w="1351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Full</w:t>
            </w:r>
          </w:p>
        </w:tc>
        <w:tc>
          <w:tcPr>
            <w:tcW w:w="2177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-0.038</w:t>
            </w:r>
          </w:p>
        </w:tc>
        <w:tc>
          <w:tcPr>
            <w:tcW w:w="1710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-0.007</w:t>
            </w:r>
          </w:p>
        </w:tc>
        <w:tc>
          <w:tcPr>
            <w:tcW w:w="1204" w:type="dxa"/>
            <w:tcBorders>
              <w:top w:val="single" w:sz="2" w:space="0" w:color="D9D9D9" w:themeColor="background1" w:themeShade="D9"/>
              <w:bottom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0.456</w:t>
            </w:r>
          </w:p>
        </w:tc>
      </w:tr>
      <w:tr w:rsidR="00B44D88" w:rsidRPr="00C04B25" w:rsidTr="00D967FD">
        <w:tc>
          <w:tcPr>
            <w:tcW w:w="1351" w:type="dxa"/>
            <w:tcBorders>
              <w:top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Best</w:t>
            </w:r>
          </w:p>
        </w:tc>
        <w:tc>
          <w:tcPr>
            <w:tcW w:w="2177" w:type="dxa"/>
            <w:tcBorders>
              <w:top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-0.033</w:t>
            </w:r>
          </w:p>
        </w:tc>
        <w:tc>
          <w:tcPr>
            <w:tcW w:w="1710" w:type="dxa"/>
            <w:tcBorders>
              <w:top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-0.007</w:t>
            </w:r>
          </w:p>
        </w:tc>
        <w:tc>
          <w:tcPr>
            <w:tcW w:w="1204" w:type="dxa"/>
            <w:tcBorders>
              <w:top w:val="nil"/>
            </w:tcBorders>
          </w:tcPr>
          <w:p w:rsidR="00B44D88" w:rsidRPr="00C04B25" w:rsidRDefault="00B44D88" w:rsidP="00D967FD">
            <w:pPr>
              <w:rPr>
                <w:rFonts w:ascii="Times New Roman" w:hAnsi="Times New Roman"/>
                <w:sz w:val="24"/>
              </w:rPr>
            </w:pPr>
            <w:r w:rsidRPr="00C04B25">
              <w:rPr>
                <w:rFonts w:ascii="Times New Roman" w:hAnsi="Times New Roman"/>
                <w:sz w:val="24"/>
              </w:rPr>
              <w:t>0.547</w:t>
            </w:r>
          </w:p>
        </w:tc>
      </w:tr>
    </w:tbl>
    <w:p w:rsidR="00B44D88" w:rsidRPr="00C04B25" w:rsidRDefault="00B44D88" w:rsidP="00B44D88">
      <w:pPr>
        <w:rPr>
          <w:rFonts w:ascii="Times New Roman" w:hAnsi="Times New Roman"/>
          <w:sz w:val="24"/>
        </w:rPr>
      </w:pPr>
    </w:p>
    <w:p w:rsidR="00B44D88" w:rsidRPr="00C04B25" w:rsidRDefault="00B44D88" w:rsidP="00B44D88">
      <w:pPr>
        <w:rPr>
          <w:rFonts w:ascii="Times New Roman" w:hAnsi="Times New Roman"/>
          <w:sz w:val="24"/>
        </w:rPr>
      </w:pPr>
      <w:r w:rsidRPr="00C04B25">
        <w:rPr>
          <w:rFonts w:ascii="Times New Roman" w:hAnsi="Times New Roman"/>
          <w:sz w:val="24"/>
        </w:rPr>
        <w:br w:type="page"/>
      </w:r>
    </w:p>
    <w:p w:rsidR="00885A8A" w:rsidRDefault="00B44D88">
      <w:bookmarkStart w:id="0" w:name="_GoBack"/>
      <w:bookmarkEnd w:id="0"/>
    </w:p>
    <w:sectPr w:rsidR="00885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E"/>
    <w:rsid w:val="000E3959"/>
    <w:rsid w:val="000F15E9"/>
    <w:rsid w:val="00106CCB"/>
    <w:rsid w:val="001655C9"/>
    <w:rsid w:val="0037060F"/>
    <w:rsid w:val="004033D5"/>
    <w:rsid w:val="00440A39"/>
    <w:rsid w:val="005259D1"/>
    <w:rsid w:val="0057711D"/>
    <w:rsid w:val="0062706D"/>
    <w:rsid w:val="006A6F5E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B44D88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AF4CC-5E5B-4BDD-BBD0-0DC75262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D88"/>
    <w:pPr>
      <w:spacing w:after="0" w:line="480" w:lineRule="auto"/>
      <w:jc w:val="both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44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D88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B44D88"/>
    <w:pPr>
      <w:spacing w:line="240" w:lineRule="auto"/>
      <w:jc w:val="left"/>
    </w:pPr>
    <w:rPr>
      <w:rFonts w:eastAsia="Times New Roman" w:cs="Arial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semiHidden/>
    <w:rsid w:val="00B44D88"/>
    <w:rPr>
      <w:rFonts w:ascii="Arial" w:eastAsia="Times New Roman" w:hAnsi="Arial" w:cs="Arial"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B44D88"/>
    <w:pPr>
      <w:spacing w:after="0" w:line="240" w:lineRule="auto"/>
      <w:jc w:val="both"/>
    </w:pPr>
    <w:rPr>
      <w:rFonts w:ascii="Arial" w:hAnsi="Arial" w:cs="Times New Roman"/>
      <w:szCs w:val="24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2017-10-07T09:49:00Z</dcterms:created>
  <dcterms:modified xsi:type="dcterms:W3CDTF">2017-10-07T09:49:00Z</dcterms:modified>
</cp:coreProperties>
</file>