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2158" w:rsidRDefault="00146153" w:rsidP="00106DD0">
      <w:pPr>
        <w:tabs>
          <w:tab w:val="left" w:pos="2835"/>
          <w:tab w:val="left" w:pos="9214"/>
          <w:tab w:val="left" w:pos="1049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-74295</wp:posOffset>
                </wp:positionV>
                <wp:extent cx="352425" cy="355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BE" w:rsidRPr="005A48AB" w:rsidRDefault="000920C3" w:rsidP="004027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A4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9pt;margin-top:-5.85pt;width:27.7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3KgwIAAA4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" stroked="f">
                <v:textbox>
                  <w:txbxContent>
                    <w:p w:rsidR="004027BE" w:rsidRPr="005A48AB" w:rsidRDefault="000920C3" w:rsidP="004027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A48A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43D1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-302895</wp:posOffset>
            </wp:positionV>
            <wp:extent cx="5588000" cy="3810000"/>
            <wp:effectExtent l="0" t="0" r="0" b="0"/>
            <wp:wrapNone/>
            <wp:docPr id="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D7BED" w:rsidRDefault="0098396D" w:rsidP="0098396D">
      <w:pPr>
        <w:ind w:left="-426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4968A" wp14:editId="050FCDEE">
                <wp:simplePos x="0" y="0"/>
                <wp:positionH relativeFrom="column">
                  <wp:posOffset>1329055</wp:posOffset>
                </wp:positionH>
                <wp:positionV relativeFrom="paragraph">
                  <wp:posOffset>7082790</wp:posOffset>
                </wp:positionV>
                <wp:extent cx="483870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6D" w:rsidRPr="00310CDD" w:rsidRDefault="009839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10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Model simulation results for </w:t>
                            </w:r>
                            <w:r w:rsidR="007A4F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scenario 1</w:t>
                            </w:r>
                            <w:r w:rsidRPr="00310C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: (A) changes in land use/cover and infrastructures (dashed line, overhead high tension power line; (●) Rainfed; (■) Permanent crops; (▲) Forests) and (B) the trends of little bustard males’ population, throughout a period of 8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4968A" id="Caixa de Texto 2" o:spid="_x0000_s1027" type="#_x0000_t202" style="position:absolute;left:0;text-align:left;margin-left:104.65pt;margin-top:557.7pt;width:38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sPKQIAACs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" stroked="f">
                <v:textbox style="mso-fit-shape-to-text:t">
                  <w:txbxContent>
                    <w:p w:rsidR="0098396D" w:rsidRPr="00310CDD" w:rsidRDefault="009839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310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Model simulation results for </w:t>
                      </w:r>
                      <w:r w:rsidR="007A4F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scenario 1</w:t>
                      </w:r>
                      <w:bookmarkStart w:id="1" w:name="_GoBack"/>
                      <w:bookmarkEnd w:id="1"/>
                      <w:r w:rsidRPr="00310CD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: (A) changes in land use/cover and infrastructures (dashed line, overhead high tension power line; (●) Rainfed; (■) Permanent crops; (▲) Forests) and (B) the trends of little bustard males’ population, throughout a period of 8 years.</w:t>
                      </w:r>
                    </w:p>
                  </w:txbxContent>
                </v:textbox>
              </v:shape>
            </w:pict>
          </mc:Fallback>
        </mc:AlternateContent>
      </w:r>
      <w:r w:rsidR="00BE6B10">
        <w:t xml:space="preserve"> </w:t>
      </w:r>
      <w:r w:rsidR="00D3500C">
        <w:t xml:space="preserve">  </w:t>
      </w:r>
      <w:r w:rsidR="0014615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BD3DE" wp14:editId="3FDBC329">
                <wp:simplePos x="0" y="0"/>
                <wp:positionH relativeFrom="column">
                  <wp:posOffset>976630</wp:posOffset>
                </wp:positionH>
                <wp:positionV relativeFrom="paragraph">
                  <wp:posOffset>3406775</wp:posOffset>
                </wp:positionV>
                <wp:extent cx="352425" cy="355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7BE" w:rsidRPr="005A48AB" w:rsidRDefault="000920C3" w:rsidP="004027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A4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D3DE" id="Text Box 6" o:spid="_x0000_s1028" type="#_x0000_t202" style="position:absolute;left:0;text-align:left;margin-left:76.9pt;margin-top:268.25pt;width:27.7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" stroked="f">
                <v:textbox>
                  <w:txbxContent>
                    <w:p w:rsidR="004027BE" w:rsidRPr="005A48AB" w:rsidRDefault="000920C3" w:rsidP="004027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A48A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D43D1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2D70AD7" wp14:editId="4EC7AA5A">
            <wp:simplePos x="0" y="0"/>
            <wp:positionH relativeFrom="column">
              <wp:posOffset>976630</wp:posOffset>
            </wp:positionH>
            <wp:positionV relativeFrom="paragraph">
              <wp:posOffset>3089275</wp:posOffset>
            </wp:positionV>
            <wp:extent cx="5588000" cy="4000500"/>
            <wp:effectExtent l="0" t="0" r="0" b="0"/>
            <wp:wrapTight wrapText="bothSides">
              <wp:wrapPolygon edited="0">
                <wp:start x="1767" y="4217"/>
                <wp:lineTo x="1767" y="4834"/>
                <wp:lineTo x="3240" y="6069"/>
                <wp:lineTo x="1767" y="6377"/>
                <wp:lineTo x="1915" y="7509"/>
                <wp:lineTo x="663" y="7817"/>
                <wp:lineTo x="589" y="11006"/>
                <wp:lineTo x="884" y="11006"/>
                <wp:lineTo x="589" y="11417"/>
                <wp:lineTo x="589" y="14400"/>
                <wp:lineTo x="1325" y="15223"/>
                <wp:lineTo x="10751" y="15943"/>
                <wp:lineTo x="1841" y="16560"/>
                <wp:lineTo x="1694" y="17074"/>
                <wp:lineTo x="3387" y="17589"/>
                <wp:lineTo x="3387" y="18103"/>
                <wp:lineTo x="18556" y="18103"/>
                <wp:lineTo x="18704" y="17486"/>
                <wp:lineTo x="10898" y="15943"/>
                <wp:lineTo x="14285" y="14400"/>
                <wp:lineTo x="18335" y="13989"/>
                <wp:lineTo x="18115" y="12960"/>
                <wp:lineTo x="2725" y="12651"/>
                <wp:lineTo x="2725" y="11006"/>
                <wp:lineTo x="10677" y="9360"/>
                <wp:lineTo x="10677" y="7714"/>
                <wp:lineTo x="4418" y="6069"/>
                <wp:lineTo x="2725" y="4217"/>
                <wp:lineTo x="1767" y="4217"/>
              </wp:wrapPolygon>
            </wp:wrapTight>
            <wp:docPr id="18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9D7BED" w:rsidSect="003D43D1">
      <w:pgSz w:w="11906" w:h="16838"/>
      <w:pgMar w:top="1417" w:right="42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E5" w:rsidRDefault="008358E5" w:rsidP="00796B24">
      <w:pPr>
        <w:spacing w:after="0" w:line="240" w:lineRule="auto"/>
      </w:pPr>
      <w:r>
        <w:separator/>
      </w:r>
    </w:p>
  </w:endnote>
  <w:endnote w:type="continuationSeparator" w:id="0">
    <w:p w:rsidR="008358E5" w:rsidRDefault="008358E5" w:rsidP="0079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E5" w:rsidRDefault="008358E5" w:rsidP="00796B24">
      <w:pPr>
        <w:spacing w:after="0" w:line="240" w:lineRule="auto"/>
      </w:pPr>
      <w:r>
        <w:separator/>
      </w:r>
    </w:p>
  </w:footnote>
  <w:footnote w:type="continuationSeparator" w:id="0">
    <w:p w:rsidR="008358E5" w:rsidRDefault="008358E5" w:rsidP="0079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8"/>
    <w:rsid w:val="0000751A"/>
    <w:rsid w:val="0001024A"/>
    <w:rsid w:val="00034311"/>
    <w:rsid w:val="00034357"/>
    <w:rsid w:val="000606A9"/>
    <w:rsid w:val="0006510B"/>
    <w:rsid w:val="00076ECC"/>
    <w:rsid w:val="000920C3"/>
    <w:rsid w:val="00095FC8"/>
    <w:rsid w:val="000D7255"/>
    <w:rsid w:val="00106DD0"/>
    <w:rsid w:val="00116364"/>
    <w:rsid w:val="00136835"/>
    <w:rsid w:val="00142609"/>
    <w:rsid w:val="00146153"/>
    <w:rsid w:val="00151F15"/>
    <w:rsid w:val="00157ADD"/>
    <w:rsid w:val="00166A4F"/>
    <w:rsid w:val="00174C23"/>
    <w:rsid w:val="001821DF"/>
    <w:rsid w:val="00191D30"/>
    <w:rsid w:val="001F1190"/>
    <w:rsid w:val="001F31A7"/>
    <w:rsid w:val="001F7D85"/>
    <w:rsid w:val="00202183"/>
    <w:rsid w:val="0020578E"/>
    <w:rsid w:val="002215F2"/>
    <w:rsid w:val="002636DF"/>
    <w:rsid w:val="0029522C"/>
    <w:rsid w:val="002A0AFC"/>
    <w:rsid w:val="002B5081"/>
    <w:rsid w:val="0030201F"/>
    <w:rsid w:val="00310CDD"/>
    <w:rsid w:val="00320F18"/>
    <w:rsid w:val="003341E0"/>
    <w:rsid w:val="00345C2E"/>
    <w:rsid w:val="00353588"/>
    <w:rsid w:val="003549E6"/>
    <w:rsid w:val="003651DE"/>
    <w:rsid w:val="00370856"/>
    <w:rsid w:val="003878F4"/>
    <w:rsid w:val="003A7B86"/>
    <w:rsid w:val="003B08DF"/>
    <w:rsid w:val="003B5C0A"/>
    <w:rsid w:val="003D43D1"/>
    <w:rsid w:val="003D6A1C"/>
    <w:rsid w:val="003F001E"/>
    <w:rsid w:val="003F6525"/>
    <w:rsid w:val="004027BE"/>
    <w:rsid w:val="00410AB1"/>
    <w:rsid w:val="0042778A"/>
    <w:rsid w:val="00431A3F"/>
    <w:rsid w:val="00433A1D"/>
    <w:rsid w:val="004341DF"/>
    <w:rsid w:val="00441B05"/>
    <w:rsid w:val="004828F7"/>
    <w:rsid w:val="00494A6B"/>
    <w:rsid w:val="004A3E82"/>
    <w:rsid w:val="004B518C"/>
    <w:rsid w:val="00536E04"/>
    <w:rsid w:val="0054112A"/>
    <w:rsid w:val="005639BB"/>
    <w:rsid w:val="00591A47"/>
    <w:rsid w:val="00597452"/>
    <w:rsid w:val="005A48AB"/>
    <w:rsid w:val="005E598B"/>
    <w:rsid w:val="00647338"/>
    <w:rsid w:val="006579A4"/>
    <w:rsid w:val="00675FBE"/>
    <w:rsid w:val="00685B01"/>
    <w:rsid w:val="006E4C45"/>
    <w:rsid w:val="006F23F3"/>
    <w:rsid w:val="007207D4"/>
    <w:rsid w:val="007325E0"/>
    <w:rsid w:val="007427B7"/>
    <w:rsid w:val="007465D9"/>
    <w:rsid w:val="0076150C"/>
    <w:rsid w:val="00792FF6"/>
    <w:rsid w:val="00796B24"/>
    <w:rsid w:val="007A0CA3"/>
    <w:rsid w:val="007A4A63"/>
    <w:rsid w:val="007A4F0A"/>
    <w:rsid w:val="007B71C8"/>
    <w:rsid w:val="007C71E8"/>
    <w:rsid w:val="007F7B2D"/>
    <w:rsid w:val="00811FFB"/>
    <w:rsid w:val="008153D7"/>
    <w:rsid w:val="00830B72"/>
    <w:rsid w:val="00831988"/>
    <w:rsid w:val="008358E5"/>
    <w:rsid w:val="0085509D"/>
    <w:rsid w:val="00867B99"/>
    <w:rsid w:val="008824C4"/>
    <w:rsid w:val="0088667E"/>
    <w:rsid w:val="008A2267"/>
    <w:rsid w:val="008B5731"/>
    <w:rsid w:val="008B68D3"/>
    <w:rsid w:val="008B6928"/>
    <w:rsid w:val="008F0E95"/>
    <w:rsid w:val="008F1870"/>
    <w:rsid w:val="0093758E"/>
    <w:rsid w:val="0094546C"/>
    <w:rsid w:val="00967772"/>
    <w:rsid w:val="00976817"/>
    <w:rsid w:val="0098396D"/>
    <w:rsid w:val="00992C27"/>
    <w:rsid w:val="009A773C"/>
    <w:rsid w:val="009D071D"/>
    <w:rsid w:val="009D5CED"/>
    <w:rsid w:val="009D7BED"/>
    <w:rsid w:val="009E0AD2"/>
    <w:rsid w:val="00A06468"/>
    <w:rsid w:val="00A07F48"/>
    <w:rsid w:val="00A32FF2"/>
    <w:rsid w:val="00A472D2"/>
    <w:rsid w:val="00A63737"/>
    <w:rsid w:val="00A71980"/>
    <w:rsid w:val="00A9737E"/>
    <w:rsid w:val="00B62704"/>
    <w:rsid w:val="00B71115"/>
    <w:rsid w:val="00B73B21"/>
    <w:rsid w:val="00B7523E"/>
    <w:rsid w:val="00B82158"/>
    <w:rsid w:val="00B838AB"/>
    <w:rsid w:val="00B96CA6"/>
    <w:rsid w:val="00BA05AE"/>
    <w:rsid w:val="00BA3D29"/>
    <w:rsid w:val="00BB5115"/>
    <w:rsid w:val="00BE6B10"/>
    <w:rsid w:val="00BF7576"/>
    <w:rsid w:val="00C03B8A"/>
    <w:rsid w:val="00C47C31"/>
    <w:rsid w:val="00C63E3E"/>
    <w:rsid w:val="00CA6AC8"/>
    <w:rsid w:val="00CC4162"/>
    <w:rsid w:val="00CD4D69"/>
    <w:rsid w:val="00CF30AC"/>
    <w:rsid w:val="00CF70B5"/>
    <w:rsid w:val="00CF7EDD"/>
    <w:rsid w:val="00D057FC"/>
    <w:rsid w:val="00D15098"/>
    <w:rsid w:val="00D26357"/>
    <w:rsid w:val="00D31A6B"/>
    <w:rsid w:val="00D340B1"/>
    <w:rsid w:val="00D3500C"/>
    <w:rsid w:val="00DA6A62"/>
    <w:rsid w:val="00DA7F9F"/>
    <w:rsid w:val="00DB5C5B"/>
    <w:rsid w:val="00DD1AD5"/>
    <w:rsid w:val="00DD29F7"/>
    <w:rsid w:val="00DE19E5"/>
    <w:rsid w:val="00DE433A"/>
    <w:rsid w:val="00DE55DD"/>
    <w:rsid w:val="00E04EB0"/>
    <w:rsid w:val="00E06582"/>
    <w:rsid w:val="00E10193"/>
    <w:rsid w:val="00E13222"/>
    <w:rsid w:val="00E14D30"/>
    <w:rsid w:val="00E20C82"/>
    <w:rsid w:val="00E21B81"/>
    <w:rsid w:val="00E342FF"/>
    <w:rsid w:val="00E50FF6"/>
    <w:rsid w:val="00E57DD3"/>
    <w:rsid w:val="00E67EB0"/>
    <w:rsid w:val="00E7015B"/>
    <w:rsid w:val="00E84331"/>
    <w:rsid w:val="00EA0F5A"/>
    <w:rsid w:val="00EB5489"/>
    <w:rsid w:val="00EE4A73"/>
    <w:rsid w:val="00F019B9"/>
    <w:rsid w:val="00F03B69"/>
    <w:rsid w:val="00F2258D"/>
    <w:rsid w:val="00F45475"/>
    <w:rsid w:val="00F63539"/>
    <w:rsid w:val="00F7436C"/>
    <w:rsid w:val="00F743C4"/>
    <w:rsid w:val="00F743D3"/>
    <w:rsid w:val="00F778C1"/>
    <w:rsid w:val="00F85BBE"/>
    <w:rsid w:val="00FA05FE"/>
    <w:rsid w:val="00FA344C"/>
    <w:rsid w:val="00FA74F7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C0572-53C1-4918-A9B5-31BF5EA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8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8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1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96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6B24"/>
  </w:style>
  <w:style w:type="paragraph" w:styleId="Rodap">
    <w:name w:val="footer"/>
    <w:basedOn w:val="Normal"/>
    <w:link w:val="RodapCarter"/>
    <w:uiPriority w:val="99"/>
    <w:unhideWhenUsed/>
    <w:rsid w:val="00796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sao\Cuba_simulacoes_stella\Sisao_alentejo_modelo3f_Cubaf_uso_solo_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sao\Cuba_simulacoes_stella\Sisao_alentejo_modelo3f_Cubaf_uso_solo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00877466301683"/>
          <c:y val="0.21963134481749075"/>
          <c:w val="0.73233813302074902"/>
          <c:h val="0.64141903199592232"/>
        </c:manualLayout>
      </c:layout>
      <c:lineChart>
        <c:grouping val="standard"/>
        <c:varyColors val="0"/>
        <c:ser>
          <c:idx val="5"/>
          <c:order val="0"/>
          <c:tx>
            <c:strRef>
              <c:f>grafico!$Q$1</c:f>
              <c:strCache>
                <c:ptCount val="1"/>
                <c:pt idx="0">
                  <c:v>RAINFED</c:v>
                </c:pt>
              </c:strCache>
            </c:strRef>
          </c:tx>
          <c:spPr>
            <a:ln w="15875"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grafico!$B$15:$B$22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grafico!$Q$3:$Q$10</c:f>
              <c:numCache>
                <c:formatCode>General</c:formatCode>
                <c:ptCount val="8"/>
                <c:pt idx="0">
                  <c:v>3929.3849679999994</c:v>
                </c:pt>
                <c:pt idx="1">
                  <c:v>3924.7680889999929</c:v>
                </c:pt>
                <c:pt idx="2">
                  <c:v>3921.8882189999999</c:v>
                </c:pt>
                <c:pt idx="3">
                  <c:v>3920.7112479999982</c:v>
                </c:pt>
                <c:pt idx="4">
                  <c:v>3921.2167879999988</c:v>
                </c:pt>
                <c:pt idx="5">
                  <c:v>3923.3971530000076</c:v>
                </c:pt>
                <c:pt idx="6">
                  <c:v>3927.2565600000003</c:v>
                </c:pt>
                <c:pt idx="7">
                  <c:v>3932.8106000000002</c:v>
                </c:pt>
              </c:numCache>
            </c:numRef>
          </c:val>
          <c:smooth val="0"/>
        </c:ser>
        <c:ser>
          <c:idx val="6"/>
          <c:order val="1"/>
          <c:tx>
            <c:strRef>
              <c:f>grafico!$R$1</c:f>
              <c:strCache>
                <c:ptCount val="1"/>
                <c:pt idx="0">
                  <c:v>FORESTS</c:v>
                </c:pt>
              </c:strCache>
            </c:strRef>
          </c:tx>
          <c:spPr>
            <a:ln w="15875">
              <a:solidFill>
                <a:sysClr val="windowText" lastClr="000000"/>
              </a:solidFill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grafico!$B$15:$B$22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grafico!$R$3:$R$10</c:f>
              <c:numCache>
                <c:formatCode>General</c:formatCode>
                <c:ptCount val="8"/>
                <c:pt idx="0">
                  <c:v>30.220148999999989</c:v>
                </c:pt>
                <c:pt idx="1">
                  <c:v>33.493703000000011</c:v>
                </c:pt>
                <c:pt idx="2">
                  <c:v>36.868394000000023</c:v>
                </c:pt>
                <c:pt idx="3">
                  <c:v>40.319928999999995</c:v>
                </c:pt>
                <c:pt idx="4">
                  <c:v>43.830437000000003</c:v>
                </c:pt>
                <c:pt idx="5">
                  <c:v>47.386722000000006</c:v>
                </c:pt>
                <c:pt idx="6">
                  <c:v>50.979014000000006</c:v>
                </c:pt>
                <c:pt idx="7">
                  <c:v>54.600057000000007</c:v>
                </c:pt>
              </c:numCache>
            </c:numRef>
          </c:val>
          <c:smooth val="0"/>
        </c:ser>
        <c:ser>
          <c:idx val="10"/>
          <c:order val="2"/>
          <c:tx>
            <c:strRef>
              <c:f>grafico!$V$1</c:f>
              <c:strCache>
                <c:ptCount val="1"/>
                <c:pt idx="0">
                  <c:v>PERMANENT CROPS</c:v>
                </c:pt>
              </c:strCache>
            </c:strRef>
          </c:tx>
          <c:spPr>
            <a:ln w="15875">
              <a:solidFill>
                <a:sysClr val="windowText" lastClr="000000"/>
              </a:solidFill>
            </a:ln>
          </c:spPr>
          <c:marker>
            <c:symbol val="squar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grafico!$B$15:$B$22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grafico!$V$3:$V$10</c:f>
              <c:numCache>
                <c:formatCode>General</c:formatCode>
                <c:ptCount val="8"/>
                <c:pt idx="0">
                  <c:v>197.63967599999978</c:v>
                </c:pt>
                <c:pt idx="1">
                  <c:v>168.26667999999998</c:v>
                </c:pt>
                <c:pt idx="2">
                  <c:v>146.54113500000014</c:v>
                </c:pt>
                <c:pt idx="3">
                  <c:v>130.21167799999998</c:v>
                </c:pt>
                <c:pt idx="4">
                  <c:v>118.32300999999994</c:v>
                </c:pt>
                <c:pt idx="5">
                  <c:v>110.96931799999994</c:v>
                </c:pt>
                <c:pt idx="6">
                  <c:v>109.55914300000002</c:v>
                </c:pt>
                <c:pt idx="7">
                  <c:v>104.99568499999992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802384"/>
        <c:axId val="1413806192"/>
      </c:lineChart>
      <c:lineChart>
        <c:grouping val="standard"/>
        <c:varyColors val="0"/>
        <c:ser>
          <c:idx val="0"/>
          <c:order val="3"/>
          <c:tx>
            <c:strRef>
              <c:f>grafico!$F$12</c:f>
              <c:strCache>
                <c:ptCount val="1"/>
                <c:pt idx="0">
                  <c:v>TPL</c:v>
                </c:pt>
              </c:strCache>
            </c:strRef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grafico!$B$3:$B$10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grafico!$F$15:$F$22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3999.64</c:v>
                </c:pt>
                <c:pt idx="3">
                  <c:v>3999.6399999999994</c:v>
                </c:pt>
                <c:pt idx="4">
                  <c:v>3999.6399999999994</c:v>
                </c:pt>
                <c:pt idx="5">
                  <c:v>3999.6399999999994</c:v>
                </c:pt>
                <c:pt idx="6">
                  <c:v>3999.6399999999994</c:v>
                </c:pt>
                <c:pt idx="7">
                  <c:v>3999.6399999999994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805648"/>
        <c:axId val="1413805104"/>
      </c:lineChart>
      <c:catAx>
        <c:axId val="141380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413806192"/>
        <c:crosses val="autoZero"/>
        <c:auto val="1"/>
        <c:lblAlgn val="ctr"/>
        <c:lblOffset val="100"/>
        <c:noMultiLvlLbl val="0"/>
      </c:catAx>
      <c:valAx>
        <c:axId val="1413806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pt-PT" sz="1200" b="1"/>
                  <a:t>Area (hectares</a:t>
                </a:r>
                <a:r>
                  <a:rPr lang="pt-PT" b="1"/>
                  <a:t>)</a:t>
                </a:r>
              </a:p>
            </c:rich>
          </c:tx>
          <c:layout>
            <c:manualLayout>
              <c:xMode val="edge"/>
              <c:yMode val="edge"/>
              <c:x val="6.7959914101646517E-3"/>
              <c:y val="0.40362782152230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413802384"/>
        <c:crosses val="autoZero"/>
        <c:crossBetween val="between"/>
      </c:valAx>
      <c:valAx>
        <c:axId val="141380510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Overhead</a:t>
                </a:r>
                <a:r>
                  <a:rPr lang="en-US" sz="1200" baseline="0"/>
                  <a:t> power line</a:t>
                </a:r>
                <a:r>
                  <a:rPr lang="en-US" sz="1200"/>
                  <a:t> l(metres)</a:t>
                </a:r>
              </a:p>
            </c:rich>
          </c:tx>
          <c:layout>
            <c:manualLayout>
              <c:xMode val="edge"/>
              <c:yMode val="edge"/>
              <c:x val="0.9475275590551181"/>
              <c:y val="0.263100000000000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413805648"/>
        <c:crosses val="max"/>
        <c:crossBetween val="between"/>
      </c:valAx>
      <c:catAx>
        <c:axId val="1413805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13805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 w="3175"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59395132426644"/>
          <c:y val="0.22053968253968254"/>
          <c:w val="0.73185540443808372"/>
          <c:h val="0.5666321709786275"/>
        </c:manualLayout>
      </c:layout>
      <c:lineChart>
        <c:grouping val="standard"/>
        <c:varyColors val="0"/>
        <c:ser>
          <c:idx val="0"/>
          <c:order val="0"/>
          <c:tx>
            <c:strRef>
              <c:f>grafico!$C$1</c:f>
              <c:strCache>
                <c:ptCount val="1"/>
                <c:pt idx="0">
                  <c:v>TETRAX TETRAX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grafico!$B$3:$B$10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grafico!$C$3:$C$10</c:f>
              <c:numCache>
                <c:formatCode>General</c:formatCode>
                <c:ptCount val="8"/>
                <c:pt idx="0">
                  <c:v>150.57341399999999</c:v>
                </c:pt>
                <c:pt idx="1">
                  <c:v>149.53295099999997</c:v>
                </c:pt>
                <c:pt idx="2">
                  <c:v>143.57804100000001</c:v>
                </c:pt>
                <c:pt idx="3">
                  <c:v>143.07272399999997</c:v>
                </c:pt>
                <c:pt idx="4">
                  <c:v>142.82857200000004</c:v>
                </c:pt>
                <c:pt idx="5">
                  <c:v>142.83788000000001</c:v>
                </c:pt>
                <c:pt idx="6">
                  <c:v>143.10257199999998</c:v>
                </c:pt>
                <c:pt idx="7">
                  <c:v>143.63390599999971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3807280"/>
        <c:axId val="1413811632"/>
      </c:lineChart>
      <c:catAx>
        <c:axId val="141380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413811632"/>
        <c:crosses val="autoZero"/>
        <c:auto val="1"/>
        <c:lblAlgn val="ctr"/>
        <c:lblOffset val="100"/>
        <c:noMultiLvlLbl val="0"/>
      </c:catAx>
      <c:valAx>
        <c:axId val="1413811632"/>
        <c:scaling>
          <c:orientation val="minMax"/>
          <c:min val="14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PT" sz="1200"/>
                  <a:t>Males' population</a:t>
                </a:r>
              </a:p>
            </c:rich>
          </c:tx>
          <c:layout>
            <c:manualLayout>
              <c:xMode val="edge"/>
              <c:yMode val="edge"/>
              <c:x val="2.787061560486765E-2"/>
              <c:y val="0.347877765279341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t-PT"/>
          </a:p>
        </c:txPr>
        <c:crossAx val="1413807280"/>
        <c:crosses val="autoZero"/>
        <c:crossBetween val="between"/>
      </c:valAx>
    </c:plotArea>
    <c:plotVisOnly val="1"/>
    <c:dispBlanksAs val="gap"/>
    <c:showDLblsOverMax val="0"/>
  </c:chart>
  <c:spPr>
    <a:ln w="3175"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61B9-F1A3-4803-B34B-3C8F6B23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Mário Santos</cp:lastModifiedBy>
  <cp:revision>2</cp:revision>
  <dcterms:created xsi:type="dcterms:W3CDTF">2015-05-21T14:36:00Z</dcterms:created>
  <dcterms:modified xsi:type="dcterms:W3CDTF">2015-05-21T14:36:00Z</dcterms:modified>
</cp:coreProperties>
</file>