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4356" w14:textId="1E062A9D" w:rsidR="005B7861" w:rsidRPr="00ED1FC3" w:rsidRDefault="00F91FF1" w:rsidP="005B7861">
      <w:pPr>
        <w:pStyle w:val="Appendix"/>
        <w:numPr>
          <w:ilvl w:val="0"/>
          <w:numId w:val="7"/>
        </w:numPr>
      </w:pPr>
      <w:r>
        <w:t>Questions R</w:t>
      </w:r>
      <w:bookmarkStart w:id="0" w:name="_GoBack"/>
      <w:bookmarkEnd w:id="0"/>
      <w:r w:rsidR="005B7861" w:rsidRPr="00ED1FC3">
        <w:t>egarding Gender-Fair Language</w:t>
      </w:r>
    </w:p>
    <w:p w14:paraId="326A0180" w14:textId="77777777" w:rsidR="005B7861" w:rsidRDefault="005B7861" w:rsidP="005B7861">
      <w:pPr>
        <w:spacing w:line="276" w:lineRule="auto"/>
        <w:ind w:firstLine="0"/>
        <w:rPr>
          <w:lang w:val="fr-FR"/>
        </w:rPr>
      </w:pPr>
      <w:r w:rsidRPr="008E6027">
        <w:rPr>
          <w:lang w:val="fr-FR"/>
        </w:rPr>
        <w:t xml:space="preserve">Nous allons maintenant vous poser quelques questions à propos du langage inclusif, aussi appelé </w:t>
      </w:r>
      <w:r w:rsidRPr="008E6027">
        <w:rPr>
          <w:i/>
          <w:iCs/>
          <w:lang w:val="fr-FR"/>
        </w:rPr>
        <w:t>écriture inclusive</w:t>
      </w:r>
      <w:r w:rsidRPr="008E6027">
        <w:rPr>
          <w:lang w:val="fr-FR"/>
        </w:rPr>
        <w:t xml:space="preserve">, </w:t>
      </w:r>
      <w:r w:rsidRPr="008E6027">
        <w:rPr>
          <w:i/>
          <w:iCs/>
          <w:lang w:val="fr-FR"/>
        </w:rPr>
        <w:t>langage non-sexiste</w:t>
      </w:r>
      <w:r w:rsidRPr="008E6027">
        <w:rPr>
          <w:lang w:val="fr-FR"/>
        </w:rPr>
        <w:t xml:space="preserve"> ou </w:t>
      </w:r>
      <w:r w:rsidRPr="008E6027">
        <w:rPr>
          <w:i/>
          <w:iCs/>
          <w:lang w:val="fr-FR"/>
        </w:rPr>
        <w:t>rédaction épicène</w:t>
      </w:r>
      <w:r w:rsidRPr="008E6027">
        <w:rPr>
          <w:lang w:val="fr-FR"/>
        </w:rPr>
        <w:t xml:space="preserve">. Le langage inclusif consiste à inclure la forme féminine à côté de la forme masculine. Cela peut se faire soit avec des doublets complets, comme dans la phrase </w:t>
      </w:r>
      <w:r w:rsidRPr="008E6027">
        <w:rPr>
          <w:i/>
          <w:iCs/>
          <w:lang w:val="fr-FR"/>
        </w:rPr>
        <w:t>Les ouvriers et les ouvrières sont en grève</w:t>
      </w:r>
      <w:r w:rsidRPr="008E6027">
        <w:rPr>
          <w:lang w:val="fr-FR"/>
        </w:rPr>
        <w:t xml:space="preserve">, ou avec des doublets abrégés : </w:t>
      </w:r>
      <w:r w:rsidRPr="008E6027">
        <w:rPr>
          <w:i/>
          <w:iCs/>
          <w:lang w:val="fr-FR"/>
        </w:rPr>
        <w:t xml:space="preserve">De </w:t>
      </w:r>
      <w:proofErr w:type="spellStart"/>
      <w:r w:rsidRPr="008E6027">
        <w:rPr>
          <w:i/>
          <w:iCs/>
          <w:lang w:val="fr-FR"/>
        </w:rPr>
        <w:t>nombreux∙euses</w:t>
      </w:r>
      <w:proofErr w:type="spellEnd"/>
      <w:r w:rsidRPr="008E6027">
        <w:rPr>
          <w:i/>
          <w:iCs/>
          <w:lang w:val="fr-FR"/>
        </w:rPr>
        <w:t xml:space="preserve"> </w:t>
      </w:r>
      <w:proofErr w:type="spellStart"/>
      <w:r w:rsidRPr="008E6027">
        <w:rPr>
          <w:i/>
          <w:iCs/>
          <w:lang w:val="fr-FR"/>
        </w:rPr>
        <w:t>étudiant∙es</w:t>
      </w:r>
      <w:proofErr w:type="spellEnd"/>
      <w:r w:rsidRPr="008E6027">
        <w:rPr>
          <w:i/>
          <w:iCs/>
          <w:lang w:val="fr-FR"/>
        </w:rPr>
        <w:t xml:space="preserve"> ont eu de bonnes notes ce semestre</w:t>
      </w:r>
      <w:r w:rsidRPr="008E6027">
        <w:rPr>
          <w:lang w:val="fr-FR"/>
        </w:rPr>
        <w:t xml:space="preserve">. On peut aussi utiliser d’autres signes : </w:t>
      </w:r>
      <w:r w:rsidRPr="008E6027">
        <w:rPr>
          <w:i/>
          <w:iCs/>
          <w:lang w:val="fr-FR"/>
        </w:rPr>
        <w:t xml:space="preserve">étudiant(e)s, étudiant.es, </w:t>
      </w:r>
      <w:proofErr w:type="spellStart"/>
      <w:r w:rsidRPr="008E6027">
        <w:rPr>
          <w:i/>
          <w:iCs/>
          <w:lang w:val="fr-FR"/>
        </w:rPr>
        <w:t>étudiant-es</w:t>
      </w:r>
      <w:proofErr w:type="spellEnd"/>
      <w:r w:rsidRPr="008E6027">
        <w:rPr>
          <w:lang w:val="fr-FR"/>
        </w:rPr>
        <w:t>.</w:t>
      </w:r>
    </w:p>
    <w:p w14:paraId="27C85B60" w14:textId="77777777" w:rsidR="005B7861" w:rsidRDefault="005B7861" w:rsidP="005B7861">
      <w:pPr>
        <w:pStyle w:val="ListParagraph"/>
        <w:numPr>
          <w:ilvl w:val="0"/>
          <w:numId w:val="4"/>
        </w:numPr>
        <w:rPr>
          <w:lang w:val="fr-FR"/>
        </w:rPr>
      </w:pPr>
      <w:r w:rsidRPr="00E6285C">
        <w:rPr>
          <w:lang w:val="fr-FR"/>
        </w:rPr>
        <w:t>Avant ce questionnaire, connaissiez-vous le langage inclusif ?</w:t>
      </w:r>
    </w:p>
    <w:p w14:paraId="4C663D7A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Non, pas du tout</w:t>
      </w:r>
    </w:p>
    <w:p w14:paraId="095155BA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Non, à peine</w:t>
      </w:r>
    </w:p>
    <w:p w14:paraId="10528356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un peu</w:t>
      </w:r>
    </w:p>
    <w:p w14:paraId="488527A6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plutôt bien</w:t>
      </w:r>
    </w:p>
    <w:p w14:paraId="374EE7FE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très bien</w:t>
      </w:r>
    </w:p>
    <w:p w14:paraId="6926C932" w14:textId="77777777" w:rsidR="005B7861" w:rsidRDefault="005B7861" w:rsidP="005B786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Utilisez</w:t>
      </w:r>
      <w:r w:rsidRPr="00E6285C">
        <w:rPr>
          <w:lang w:val="fr-FR"/>
        </w:rPr>
        <w:t>-vous le langage inclusif ?</w:t>
      </w:r>
    </w:p>
    <w:p w14:paraId="10017FC6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Non, jamais</w:t>
      </w:r>
    </w:p>
    <w:p w14:paraId="248F8508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 mais très rarement</w:t>
      </w:r>
    </w:p>
    <w:p w14:paraId="30EF3CEE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de temps en temps</w:t>
      </w:r>
    </w:p>
    <w:p w14:paraId="650132B4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la plupart du temps</w:t>
      </w:r>
    </w:p>
    <w:p w14:paraId="7A02FEBA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tous les jours</w:t>
      </w:r>
    </w:p>
    <w:p w14:paraId="5FF30F84" w14:textId="77777777" w:rsidR="005B7861" w:rsidRDefault="005B7861" w:rsidP="005B7861">
      <w:pPr>
        <w:pStyle w:val="ListParagraph"/>
        <w:numPr>
          <w:ilvl w:val="0"/>
          <w:numId w:val="4"/>
        </w:numPr>
        <w:rPr>
          <w:lang w:val="fr-FR"/>
        </w:rPr>
      </w:pPr>
      <w:r w:rsidRPr="00583FCF">
        <w:rPr>
          <w:lang w:val="fr-FR"/>
        </w:rPr>
        <w:t>Dans votre quotidien, vous arrive-t-il de rencontrer le langage inclusif ?</w:t>
      </w:r>
    </w:p>
    <w:p w14:paraId="0AA7352A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Non, jamais</w:t>
      </w:r>
    </w:p>
    <w:p w14:paraId="4BAF498C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 mais très rarement</w:t>
      </w:r>
    </w:p>
    <w:p w14:paraId="1EA57008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de temps en temps</w:t>
      </w:r>
    </w:p>
    <w:p w14:paraId="4BC79329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la plupart du temps</w:t>
      </w:r>
    </w:p>
    <w:p w14:paraId="426564D6" w14:textId="77777777" w:rsidR="005B7861" w:rsidRDefault="005B7861" w:rsidP="005B7861">
      <w:pPr>
        <w:pStyle w:val="ListParagraph"/>
        <w:numPr>
          <w:ilvl w:val="1"/>
          <w:numId w:val="4"/>
        </w:numPr>
        <w:spacing w:line="276" w:lineRule="auto"/>
        <w:rPr>
          <w:lang w:val="fr-FR"/>
        </w:rPr>
      </w:pPr>
      <w:r>
        <w:rPr>
          <w:lang w:val="fr-FR"/>
        </w:rPr>
        <w:t>Oui, tous les jours</w:t>
      </w:r>
    </w:p>
    <w:p w14:paraId="46DA3085" w14:textId="77777777" w:rsidR="005B7861" w:rsidRPr="00583FCF" w:rsidRDefault="005B7861" w:rsidP="005B7861">
      <w:pPr>
        <w:pStyle w:val="ListParagraph"/>
        <w:numPr>
          <w:ilvl w:val="0"/>
          <w:numId w:val="4"/>
        </w:numPr>
        <w:rPr>
          <w:lang w:val="fr-FR"/>
        </w:rPr>
      </w:pPr>
      <w:r w:rsidRPr="00583FCF">
        <w:rPr>
          <w:lang w:val="fr-FR"/>
        </w:rPr>
        <w:t>Indiquez dans quelle mesure vous êtes d’accord ou pas d’accord avec chacun des énoncés</w:t>
      </w:r>
    </w:p>
    <w:p w14:paraId="3B8442CC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583FCF">
        <w:rPr>
          <w:lang w:val="fr-FR"/>
        </w:rPr>
        <w:t>Pas du tout d’accord</w:t>
      </w:r>
    </w:p>
    <w:p w14:paraId="5C0355D6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583FCF">
        <w:rPr>
          <w:lang w:val="fr-FR"/>
        </w:rPr>
        <w:t>Plutôt pas d’accord</w:t>
      </w:r>
    </w:p>
    <w:p w14:paraId="0700E8C2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583FCF">
        <w:rPr>
          <w:lang w:val="fr-FR"/>
        </w:rPr>
        <w:t>Neutre</w:t>
      </w:r>
    </w:p>
    <w:p w14:paraId="48EE112D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583FCF">
        <w:rPr>
          <w:lang w:val="fr-FR"/>
        </w:rPr>
        <w:t>Plutôt d’accord</w:t>
      </w:r>
    </w:p>
    <w:p w14:paraId="7015B5C0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DD6F4C">
        <w:rPr>
          <w:lang w:val="fr-FR"/>
        </w:rPr>
        <w:t>Tout à fait d’accord</w:t>
      </w:r>
    </w:p>
    <w:p w14:paraId="0BEA6EC1" w14:textId="77777777" w:rsidR="005B7861" w:rsidRDefault="005B7861" w:rsidP="005B7861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r w:rsidRPr="00DD6F4C">
        <w:rPr>
          <w:lang w:val="fr-FR"/>
        </w:rPr>
        <w:t>Aucune alternative ne me convient</w:t>
      </w:r>
    </w:p>
    <w:p w14:paraId="3BA79A16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8C33C8">
        <w:rPr>
          <w:i/>
          <w:iCs/>
          <w:lang w:val="fr-FR"/>
        </w:rPr>
        <w:t>Nous ne devrions pas changer la manière dont la langue française a été écrite et parlée traditionnellement</w:t>
      </w:r>
      <w:r w:rsidRPr="00576242">
        <w:rPr>
          <w:lang w:val="fr-FR"/>
        </w:rPr>
        <w:t>. (</w:t>
      </w:r>
      <w:r>
        <w:rPr>
          <w:lang w:val="fr-FR"/>
        </w:rPr>
        <w:t>reverse-</w:t>
      </w:r>
      <w:proofErr w:type="spellStart"/>
      <w:r>
        <w:rPr>
          <w:lang w:val="fr-FR"/>
        </w:rPr>
        <w:t>scored</w:t>
      </w:r>
      <w:proofErr w:type="spellEnd"/>
      <w:r w:rsidRPr="00576242">
        <w:rPr>
          <w:lang w:val="fr-FR"/>
        </w:rPr>
        <w:t xml:space="preserve">) </w:t>
      </w:r>
    </w:p>
    <w:p w14:paraId="27CF0BC5" w14:textId="77777777" w:rsidR="005B7861" w:rsidRPr="008C33C8" w:rsidRDefault="005B7861" w:rsidP="005B7861">
      <w:pPr>
        <w:spacing w:line="276" w:lineRule="auto"/>
        <w:ind w:left="720" w:firstLine="0"/>
      </w:pPr>
      <w:r w:rsidRPr="008C33C8">
        <w:t xml:space="preserve">We should not change the way the </w:t>
      </w:r>
      <w:r>
        <w:t>French</w:t>
      </w:r>
      <w:r w:rsidRPr="008C33C8">
        <w:t xml:space="preserve"> language has traditionally</w:t>
      </w:r>
      <w:r>
        <w:t xml:space="preserve"> </w:t>
      </w:r>
      <w:r w:rsidRPr="008C33C8">
        <w:t>been written and spoken</w:t>
      </w:r>
      <w:r>
        <w:t>.</w:t>
      </w:r>
      <w:r w:rsidRPr="008C33C8">
        <w:t xml:space="preserve"> </w:t>
      </w:r>
      <w:r w:rsidRPr="003D6B3B">
        <w:t xml:space="preserve">(Parks </w:t>
      </w:r>
      <w:r>
        <w:t>and</w:t>
      </w:r>
      <w:r w:rsidRPr="003D6B3B">
        <w:t xml:space="preserve"> </w:t>
      </w:r>
      <w:proofErr w:type="spellStart"/>
      <w:r w:rsidRPr="003D6B3B">
        <w:t>Roberton</w:t>
      </w:r>
      <w:proofErr w:type="spellEnd"/>
      <w:r w:rsidRPr="003D6B3B">
        <w:t>, 2000)</w:t>
      </w:r>
    </w:p>
    <w:p w14:paraId="4D034CDF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E32918">
        <w:rPr>
          <w:i/>
          <w:iCs/>
          <w:lang w:val="fr-FR"/>
        </w:rPr>
        <w:t>Se soucier du langage sexiste est inutile.</w:t>
      </w:r>
      <w:r w:rsidRPr="00576242">
        <w:rPr>
          <w:lang w:val="fr-FR"/>
        </w:rPr>
        <w:t xml:space="preserve"> (</w:t>
      </w:r>
      <w:r>
        <w:rPr>
          <w:lang w:val="fr-FR"/>
        </w:rPr>
        <w:t>reverse-</w:t>
      </w:r>
      <w:proofErr w:type="spellStart"/>
      <w:r>
        <w:rPr>
          <w:lang w:val="fr-FR"/>
        </w:rPr>
        <w:t>scored</w:t>
      </w:r>
      <w:proofErr w:type="spellEnd"/>
      <w:r w:rsidRPr="00576242">
        <w:rPr>
          <w:lang w:val="fr-FR"/>
        </w:rPr>
        <w:t>)</w:t>
      </w:r>
    </w:p>
    <w:p w14:paraId="12A8EBB8" w14:textId="77777777" w:rsidR="005B7861" w:rsidRPr="00E32918" w:rsidRDefault="005B7861" w:rsidP="005B7861">
      <w:pPr>
        <w:spacing w:line="276" w:lineRule="auto"/>
        <w:ind w:firstLine="720"/>
      </w:pPr>
      <w:r w:rsidRPr="00E32918">
        <w:t>Worrying about sexist language is a trivial activity.</w:t>
      </w:r>
      <w:r>
        <w:t xml:space="preserve"> </w:t>
      </w:r>
      <w:r w:rsidRPr="003D6B3B">
        <w:t xml:space="preserve">(Parks </w:t>
      </w:r>
      <w:r>
        <w:t>and</w:t>
      </w:r>
      <w:r w:rsidRPr="003D6B3B">
        <w:t xml:space="preserve"> </w:t>
      </w:r>
      <w:proofErr w:type="spellStart"/>
      <w:r w:rsidRPr="003D6B3B">
        <w:t>Roberton</w:t>
      </w:r>
      <w:proofErr w:type="spellEnd"/>
      <w:r w:rsidRPr="003D6B3B">
        <w:t>, 2000)</w:t>
      </w:r>
    </w:p>
    <w:p w14:paraId="7567AA1D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E32918">
        <w:rPr>
          <w:i/>
          <w:iCs/>
          <w:lang w:val="fr-FR"/>
        </w:rPr>
        <w:t>La langue française ne sera jamais changée, car elle est trop profondément enracinée dans la culture</w:t>
      </w:r>
      <w:r w:rsidRPr="00576242">
        <w:rPr>
          <w:lang w:val="fr-FR"/>
        </w:rPr>
        <w:t>. (</w:t>
      </w:r>
      <w:r>
        <w:rPr>
          <w:lang w:val="fr-FR"/>
        </w:rPr>
        <w:t>reverse-</w:t>
      </w:r>
      <w:proofErr w:type="spellStart"/>
      <w:r>
        <w:rPr>
          <w:lang w:val="fr-FR"/>
        </w:rPr>
        <w:t>scored</w:t>
      </w:r>
      <w:proofErr w:type="spellEnd"/>
      <w:r w:rsidRPr="00576242">
        <w:rPr>
          <w:lang w:val="fr-FR"/>
        </w:rPr>
        <w:t xml:space="preserve">) </w:t>
      </w:r>
    </w:p>
    <w:p w14:paraId="24F60430" w14:textId="77777777" w:rsidR="005B7861" w:rsidRPr="00E32918" w:rsidRDefault="005B7861" w:rsidP="005B7861">
      <w:pPr>
        <w:spacing w:line="276" w:lineRule="auto"/>
        <w:ind w:left="720" w:firstLine="0"/>
      </w:pPr>
      <w:r w:rsidRPr="00E32918">
        <w:lastRenderedPageBreak/>
        <w:t xml:space="preserve">The </w:t>
      </w:r>
      <w:r>
        <w:t>French</w:t>
      </w:r>
      <w:r w:rsidRPr="00E32918">
        <w:t xml:space="preserve"> language will never be changed because it is too deeply</w:t>
      </w:r>
      <w:r>
        <w:t xml:space="preserve"> </w:t>
      </w:r>
      <w:r w:rsidRPr="00E32918">
        <w:t xml:space="preserve">ingrained in the culture. </w:t>
      </w:r>
      <w:r w:rsidRPr="003D6B3B">
        <w:t xml:space="preserve">(Parks </w:t>
      </w:r>
      <w:r>
        <w:t>and</w:t>
      </w:r>
      <w:r w:rsidRPr="003D6B3B">
        <w:t xml:space="preserve"> </w:t>
      </w:r>
      <w:proofErr w:type="spellStart"/>
      <w:r w:rsidRPr="003D6B3B">
        <w:t>Roberton</w:t>
      </w:r>
      <w:proofErr w:type="spellEnd"/>
      <w:r w:rsidRPr="003D6B3B">
        <w:t>, 2000)</w:t>
      </w:r>
    </w:p>
    <w:p w14:paraId="0D0B5D6A" w14:textId="77777777" w:rsidR="005B7861" w:rsidRPr="00E32918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i/>
          <w:iCs/>
          <w:lang w:val="fr-FR"/>
        </w:rPr>
      </w:pPr>
      <w:r w:rsidRPr="00E32918">
        <w:rPr>
          <w:i/>
          <w:iCs/>
          <w:lang w:val="fr-FR"/>
        </w:rPr>
        <w:t xml:space="preserve">Bien que le changement soit difficile, nous devrions quand même essayer d’appliquer le langage inclusif. </w:t>
      </w:r>
    </w:p>
    <w:p w14:paraId="080B52ED" w14:textId="77777777" w:rsidR="005B7861" w:rsidRPr="00E32918" w:rsidRDefault="005B7861" w:rsidP="005B7861">
      <w:pPr>
        <w:spacing w:line="276" w:lineRule="auto"/>
        <w:ind w:left="720" w:firstLine="0"/>
      </w:pPr>
      <w:r w:rsidRPr="00E32918">
        <w:t xml:space="preserve">Although change is difficult, we still should try to eliminate sexist language. </w:t>
      </w:r>
      <w:r w:rsidRPr="003D6B3B">
        <w:t xml:space="preserve">(Parks </w:t>
      </w:r>
      <w:r>
        <w:t>and</w:t>
      </w:r>
      <w:r w:rsidRPr="003D6B3B">
        <w:t xml:space="preserve"> </w:t>
      </w:r>
      <w:proofErr w:type="spellStart"/>
      <w:r w:rsidRPr="003D6B3B">
        <w:t>Roberton</w:t>
      </w:r>
      <w:proofErr w:type="spellEnd"/>
      <w:r w:rsidRPr="003D6B3B">
        <w:t>, 2000)</w:t>
      </w:r>
    </w:p>
    <w:p w14:paraId="3578F00B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E32918">
        <w:rPr>
          <w:i/>
          <w:iCs/>
          <w:lang w:val="fr-FR"/>
        </w:rPr>
        <w:t>Personnellement, il m’est important d’utiliser un langage inclusif</w:t>
      </w:r>
      <w:r w:rsidRPr="00576242">
        <w:rPr>
          <w:lang w:val="fr-FR"/>
        </w:rPr>
        <w:t>.</w:t>
      </w:r>
    </w:p>
    <w:p w14:paraId="7B9D9455" w14:textId="77777777" w:rsidR="005B7861" w:rsidRPr="00E32918" w:rsidRDefault="005B7861" w:rsidP="005B7861">
      <w:pPr>
        <w:spacing w:line="276" w:lineRule="auto"/>
        <w:ind w:firstLine="720"/>
      </w:pPr>
      <w:r w:rsidRPr="00E32918">
        <w:t>It is personally</w:t>
      </w:r>
      <w:r>
        <w:t xml:space="preserve"> </w:t>
      </w:r>
      <w:r w:rsidRPr="00E32918">
        <w:t>important to me to use gender</w:t>
      </w:r>
      <w:r>
        <w:t xml:space="preserve"> </w:t>
      </w:r>
      <w:r w:rsidRPr="00E32918">
        <w:t>inclusive language</w:t>
      </w:r>
      <w:r>
        <w:t xml:space="preserve">. </w:t>
      </w:r>
      <w:r w:rsidRPr="003D6B3B">
        <w:t>(</w:t>
      </w:r>
      <w:proofErr w:type="spellStart"/>
      <w:r w:rsidRPr="003D6B3B">
        <w:t>Sczesny</w:t>
      </w:r>
      <w:proofErr w:type="spellEnd"/>
      <w:r w:rsidRPr="003D6B3B">
        <w:t xml:space="preserve"> et al., 2015)</w:t>
      </w:r>
    </w:p>
    <w:p w14:paraId="675085E0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E32918">
        <w:rPr>
          <w:i/>
          <w:iCs/>
          <w:lang w:val="fr-FR"/>
        </w:rPr>
        <w:t>Le langage inclusif n’a pas d’avantages sur le masculin générique.</w:t>
      </w:r>
      <w:r w:rsidRPr="00576242">
        <w:rPr>
          <w:lang w:val="fr-FR"/>
        </w:rPr>
        <w:t xml:space="preserve"> (</w:t>
      </w:r>
      <w:r>
        <w:rPr>
          <w:lang w:val="fr-FR"/>
        </w:rPr>
        <w:t>reverse-</w:t>
      </w:r>
      <w:proofErr w:type="spellStart"/>
      <w:r>
        <w:rPr>
          <w:lang w:val="fr-FR"/>
        </w:rPr>
        <w:t>scored</w:t>
      </w:r>
      <w:proofErr w:type="spellEnd"/>
      <w:r w:rsidRPr="00576242">
        <w:rPr>
          <w:lang w:val="fr-FR"/>
        </w:rPr>
        <w:t xml:space="preserve">) </w:t>
      </w:r>
    </w:p>
    <w:p w14:paraId="172CCC1A" w14:textId="77777777" w:rsidR="005B7861" w:rsidRPr="00E32918" w:rsidRDefault="005B7861" w:rsidP="005B7861">
      <w:pPr>
        <w:spacing w:line="276" w:lineRule="auto"/>
        <w:ind w:firstLine="720"/>
      </w:pPr>
      <w:r w:rsidRPr="00E32918">
        <w:t>Gender inclusive language does not convey any advantages</w:t>
      </w:r>
      <w:r>
        <w:t xml:space="preserve">. </w:t>
      </w:r>
      <w:r w:rsidRPr="003D6B3B">
        <w:t>(</w:t>
      </w:r>
      <w:proofErr w:type="spellStart"/>
      <w:r w:rsidRPr="003D6B3B">
        <w:t>Sczesny</w:t>
      </w:r>
      <w:proofErr w:type="spellEnd"/>
      <w:r w:rsidRPr="003D6B3B">
        <w:t xml:space="preserve"> et al., 2015)</w:t>
      </w:r>
    </w:p>
    <w:p w14:paraId="2C9EC03D" w14:textId="77777777" w:rsidR="005B7861" w:rsidRPr="00E32918" w:rsidRDefault="005B7861" w:rsidP="005B7861">
      <w:pPr>
        <w:pStyle w:val="ListParagraph"/>
        <w:numPr>
          <w:ilvl w:val="0"/>
          <w:numId w:val="6"/>
        </w:numPr>
        <w:spacing w:line="276" w:lineRule="auto"/>
      </w:pPr>
      <w:r w:rsidRPr="00E32918">
        <w:rPr>
          <w:i/>
          <w:iCs/>
          <w:lang w:val="fr-FR"/>
        </w:rPr>
        <w:t>L'usage du masculin générique est une propriété de la langue française et n'a rien à voir avec les inégalités entre les sexes dans la société</w:t>
      </w:r>
      <w:r w:rsidRPr="00CE258F">
        <w:rPr>
          <w:lang w:val="fr-FR"/>
        </w:rPr>
        <w:t>. (</w:t>
      </w:r>
      <w:r>
        <w:rPr>
          <w:lang w:val="fr-FR"/>
        </w:rPr>
        <w:t>reverse-</w:t>
      </w:r>
      <w:proofErr w:type="spellStart"/>
      <w:r>
        <w:rPr>
          <w:lang w:val="fr-FR"/>
        </w:rPr>
        <w:t>scored</w:t>
      </w:r>
      <w:proofErr w:type="spellEnd"/>
      <w:r w:rsidRPr="00CE258F">
        <w:rPr>
          <w:lang w:val="fr-FR"/>
        </w:rPr>
        <w:t>)</w:t>
      </w:r>
      <w:r w:rsidRPr="00E32918">
        <w:t xml:space="preserve"> </w:t>
      </w:r>
    </w:p>
    <w:p w14:paraId="61419FE0" w14:textId="77777777" w:rsidR="005B7861" w:rsidRPr="00CE258F" w:rsidRDefault="005B7861" w:rsidP="005B7861">
      <w:pPr>
        <w:spacing w:line="276" w:lineRule="auto"/>
        <w:ind w:left="720" w:firstLine="0"/>
      </w:pPr>
      <w:r>
        <w:t xml:space="preserve">The use of masculine pronouns to refer to generic nouns is a property of the French language and has nothing to do with social inequalities between males and females. </w:t>
      </w:r>
      <w:r w:rsidRPr="003D6B3B">
        <w:t>(Prentice, 1994)</w:t>
      </w:r>
    </w:p>
    <w:p w14:paraId="2D9F4BAA" w14:textId="77777777" w:rsidR="005B7861" w:rsidRDefault="005B7861" w:rsidP="005B7861">
      <w:pPr>
        <w:pStyle w:val="ListParagraph"/>
        <w:numPr>
          <w:ilvl w:val="0"/>
          <w:numId w:val="6"/>
        </w:numPr>
        <w:spacing w:line="276" w:lineRule="auto"/>
        <w:rPr>
          <w:lang w:val="fr-FR"/>
        </w:rPr>
      </w:pPr>
      <w:r w:rsidRPr="00D177E3">
        <w:rPr>
          <w:i/>
          <w:iCs/>
          <w:lang w:val="fr-FR"/>
        </w:rPr>
        <w:t>Nous n'allons jamais nous débarrasser des préjugés de genre tant qu'ils sont incorporés dans notre langue.</w:t>
      </w:r>
      <w:r w:rsidRPr="00CE258F">
        <w:rPr>
          <w:lang w:val="fr-FR"/>
        </w:rPr>
        <w:t xml:space="preserve"> </w:t>
      </w:r>
    </w:p>
    <w:p w14:paraId="42D44A70" w14:textId="469BE10E" w:rsidR="00061B11" w:rsidRDefault="005B7861" w:rsidP="005B7861">
      <w:pPr>
        <w:spacing w:line="276" w:lineRule="auto"/>
        <w:ind w:left="720" w:firstLine="0"/>
      </w:pPr>
      <w:r w:rsidRPr="00D177E3">
        <w:t>We will never rid ourselves o</w:t>
      </w:r>
      <w:r>
        <w:t xml:space="preserve">f gender prejudice so long as we have that prejudice built into our language. </w:t>
      </w:r>
      <w:r w:rsidRPr="003D6B3B">
        <w:t>(Prentice, 1994)</w:t>
      </w:r>
    </w:p>
    <w:sectPr w:rsidR="0006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Garamond Pro">
    <w:altName w:val="Athelas Bold Italic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829"/>
    <w:multiLevelType w:val="hybridMultilevel"/>
    <w:tmpl w:val="EA3EE8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0D5F"/>
    <w:multiLevelType w:val="hybridMultilevel"/>
    <w:tmpl w:val="5E7EA634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55F5B"/>
    <w:multiLevelType w:val="hybridMultilevel"/>
    <w:tmpl w:val="BD5028EA"/>
    <w:lvl w:ilvl="0" w:tplc="2C46CF78">
      <w:start w:val="3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DF2FD3"/>
    <w:multiLevelType w:val="hybridMultilevel"/>
    <w:tmpl w:val="C7024702"/>
    <w:lvl w:ilvl="0" w:tplc="9D0EAE46">
      <w:start w:val="1"/>
      <w:numFmt w:val="decimal"/>
      <w:lvlText w:val="1.%1"/>
      <w:lvlJc w:val="left"/>
      <w:pPr>
        <w:ind w:left="144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811E8B"/>
    <w:multiLevelType w:val="hybridMultilevel"/>
    <w:tmpl w:val="149872FC"/>
    <w:lvl w:ilvl="0" w:tplc="8CFE54A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D2BD7"/>
    <w:multiLevelType w:val="hybridMultilevel"/>
    <w:tmpl w:val="9B2C8BA6"/>
    <w:lvl w:ilvl="0" w:tplc="02AAB622">
      <w:start w:val="1"/>
      <w:numFmt w:val="upperLetter"/>
      <w:pStyle w:val="Appendix"/>
      <w:lvlText w:val="%1."/>
      <w:lvlJc w:val="left"/>
      <w:pPr>
        <w:ind w:left="1494" w:hanging="360"/>
      </w:pPr>
      <w:rPr>
        <w:b w:val="0"/>
        <w:bCs w:val="0"/>
        <w:color w:val="2F5496" w:themeColor="accent1" w:themeShade="BF"/>
      </w:rPr>
    </w:lvl>
    <w:lvl w:ilvl="1" w:tplc="041D0019" w:tentative="1">
      <w:start w:val="1"/>
      <w:numFmt w:val="lowerLetter"/>
      <w:lvlText w:val="%2."/>
      <w:lvlJc w:val="left"/>
      <w:pPr>
        <w:ind w:left="-10249" w:hanging="360"/>
      </w:pPr>
    </w:lvl>
    <w:lvl w:ilvl="2" w:tplc="041D001B" w:tentative="1">
      <w:start w:val="1"/>
      <w:numFmt w:val="lowerRoman"/>
      <w:lvlText w:val="%3."/>
      <w:lvlJc w:val="right"/>
      <w:pPr>
        <w:ind w:left="-9529" w:hanging="180"/>
      </w:pPr>
    </w:lvl>
    <w:lvl w:ilvl="3" w:tplc="041D000F" w:tentative="1">
      <w:start w:val="1"/>
      <w:numFmt w:val="decimal"/>
      <w:lvlText w:val="%4."/>
      <w:lvlJc w:val="left"/>
      <w:pPr>
        <w:ind w:left="-8809" w:hanging="360"/>
      </w:pPr>
    </w:lvl>
    <w:lvl w:ilvl="4" w:tplc="041D0019" w:tentative="1">
      <w:start w:val="1"/>
      <w:numFmt w:val="lowerLetter"/>
      <w:lvlText w:val="%5."/>
      <w:lvlJc w:val="left"/>
      <w:pPr>
        <w:ind w:left="-8089" w:hanging="360"/>
      </w:pPr>
    </w:lvl>
    <w:lvl w:ilvl="5" w:tplc="041D001B" w:tentative="1">
      <w:start w:val="1"/>
      <w:numFmt w:val="lowerRoman"/>
      <w:lvlText w:val="%6."/>
      <w:lvlJc w:val="right"/>
      <w:pPr>
        <w:ind w:left="-7369" w:hanging="180"/>
      </w:pPr>
    </w:lvl>
    <w:lvl w:ilvl="6" w:tplc="041D000F" w:tentative="1">
      <w:start w:val="1"/>
      <w:numFmt w:val="decimal"/>
      <w:lvlText w:val="%7."/>
      <w:lvlJc w:val="left"/>
      <w:pPr>
        <w:ind w:left="-6649" w:hanging="360"/>
      </w:pPr>
    </w:lvl>
    <w:lvl w:ilvl="7" w:tplc="041D0019" w:tentative="1">
      <w:start w:val="1"/>
      <w:numFmt w:val="lowerLetter"/>
      <w:lvlText w:val="%8."/>
      <w:lvlJc w:val="left"/>
      <w:pPr>
        <w:ind w:left="-5929" w:hanging="360"/>
      </w:pPr>
    </w:lvl>
    <w:lvl w:ilvl="8" w:tplc="041D001B" w:tentative="1">
      <w:start w:val="1"/>
      <w:numFmt w:val="lowerRoman"/>
      <w:lvlText w:val="%9."/>
      <w:lvlJc w:val="right"/>
      <w:pPr>
        <w:ind w:left="-5209" w:hanging="180"/>
      </w:pPr>
    </w:lvl>
  </w:abstractNum>
  <w:abstractNum w:abstractNumId="6">
    <w:nsid w:val="79046485"/>
    <w:multiLevelType w:val="hybridMultilevel"/>
    <w:tmpl w:val="3E90A1C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1"/>
    <w:rsid w:val="00061B11"/>
    <w:rsid w:val="000D559B"/>
    <w:rsid w:val="001A7573"/>
    <w:rsid w:val="003648A5"/>
    <w:rsid w:val="005B7861"/>
    <w:rsid w:val="005D685C"/>
    <w:rsid w:val="00674CBA"/>
    <w:rsid w:val="007F6238"/>
    <w:rsid w:val="00C111F3"/>
    <w:rsid w:val="00CF37B6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B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61"/>
    <w:pPr>
      <w:spacing w:after="0" w:line="480" w:lineRule="auto"/>
      <w:ind w:firstLine="567"/>
      <w:jc w:val="both"/>
    </w:pPr>
    <w:rPr>
      <w:rFonts w:ascii="Adobe Garamond Pro" w:hAnsi="Adobe Garamond Pro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238"/>
    <w:pPr>
      <w:keepNext/>
      <w:keepLines/>
      <w:spacing w:before="24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D559B"/>
    <w:pPr>
      <w:ind w:left="792" w:hanging="432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238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fi">
    <w:name w:val="Bibliografi"/>
    <w:basedOn w:val="Bibliography"/>
    <w:link w:val="BibliografiChar"/>
    <w:qFormat/>
    <w:rsid w:val="00CF37B6"/>
    <w:pPr>
      <w:spacing w:beforeAutospacing="1" w:afterAutospacing="1" w:line="240" w:lineRule="auto"/>
      <w:ind w:left="720" w:hanging="720"/>
    </w:pPr>
  </w:style>
  <w:style w:type="character" w:customStyle="1" w:styleId="BibliografiChar">
    <w:name w:val="Bibliografi Char"/>
    <w:basedOn w:val="DefaultParagraphFont"/>
    <w:link w:val="Bibliografi"/>
    <w:rsid w:val="00CF37B6"/>
    <w:rPr>
      <w:rFonts w:ascii="Adobe Garamond Pro" w:hAnsi="Adobe Garamond Pro"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37B6"/>
  </w:style>
  <w:style w:type="character" w:customStyle="1" w:styleId="Heading2Char">
    <w:name w:val="Heading 2 Char"/>
    <w:basedOn w:val="DefaultParagraphFont"/>
    <w:link w:val="Heading2"/>
    <w:uiPriority w:val="9"/>
    <w:rsid w:val="000D559B"/>
    <w:rPr>
      <w:rFonts w:ascii="Arial" w:eastAsiaTheme="majorEastAsia" w:hAnsi="Arial" w:cs="Arial"/>
      <w:color w:val="2F5496" w:themeColor="accent1" w:themeShade="BF"/>
      <w:sz w:val="28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A7573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7573"/>
    <w:rPr>
      <w:rFonts w:ascii="Arial" w:eastAsiaTheme="majorEastAsia" w:hAnsi="Arial" w:cs="Arial"/>
      <w:spacing w:val="-10"/>
      <w:kern w:val="28"/>
      <w:sz w:val="4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F6238"/>
    <w:rPr>
      <w:rFonts w:ascii="Arial" w:eastAsiaTheme="majorEastAsia" w:hAnsi="Arial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F6238"/>
    <w:rPr>
      <w:rFonts w:ascii="Arial" w:eastAsiaTheme="majorEastAsia" w:hAnsi="Arial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B7861"/>
    <w:pPr>
      <w:ind w:left="720"/>
      <w:contextualSpacing/>
    </w:pPr>
  </w:style>
  <w:style w:type="paragraph" w:customStyle="1" w:styleId="Appendix">
    <w:name w:val="Appendix"/>
    <w:basedOn w:val="Heading1"/>
    <w:link w:val="AppendixChar"/>
    <w:qFormat/>
    <w:rsid w:val="005B7861"/>
    <w:pPr>
      <w:numPr>
        <w:numId w:val="3"/>
      </w:numPr>
    </w:pPr>
    <w:rPr>
      <w:rFonts w:cs="Arial"/>
    </w:rPr>
  </w:style>
  <w:style w:type="character" w:customStyle="1" w:styleId="AppendixChar">
    <w:name w:val="Appendix Char"/>
    <w:basedOn w:val="Heading1Char"/>
    <w:link w:val="Appendix"/>
    <w:rsid w:val="005B7861"/>
    <w:rPr>
      <w:rFonts w:ascii="Arial" w:eastAsiaTheme="majorEastAsia" w:hAnsi="Arial" w:cs="Arial"/>
      <w:color w:val="2F5496" w:themeColor="accent1" w:themeShade="BF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61"/>
    <w:pPr>
      <w:spacing w:after="0" w:line="480" w:lineRule="auto"/>
      <w:ind w:firstLine="567"/>
      <w:jc w:val="both"/>
    </w:pPr>
    <w:rPr>
      <w:rFonts w:ascii="Adobe Garamond Pro" w:hAnsi="Adobe Garamond Pro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238"/>
    <w:pPr>
      <w:keepNext/>
      <w:keepLines/>
      <w:spacing w:before="24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D559B"/>
    <w:pPr>
      <w:ind w:left="792" w:hanging="432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238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fi">
    <w:name w:val="Bibliografi"/>
    <w:basedOn w:val="Bibliography"/>
    <w:link w:val="BibliografiChar"/>
    <w:qFormat/>
    <w:rsid w:val="00CF37B6"/>
    <w:pPr>
      <w:spacing w:beforeAutospacing="1" w:afterAutospacing="1" w:line="240" w:lineRule="auto"/>
      <w:ind w:left="720" w:hanging="720"/>
    </w:pPr>
  </w:style>
  <w:style w:type="character" w:customStyle="1" w:styleId="BibliografiChar">
    <w:name w:val="Bibliografi Char"/>
    <w:basedOn w:val="DefaultParagraphFont"/>
    <w:link w:val="Bibliografi"/>
    <w:rsid w:val="00CF37B6"/>
    <w:rPr>
      <w:rFonts w:ascii="Adobe Garamond Pro" w:hAnsi="Adobe Garamond Pro"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37B6"/>
  </w:style>
  <w:style w:type="character" w:customStyle="1" w:styleId="Heading2Char">
    <w:name w:val="Heading 2 Char"/>
    <w:basedOn w:val="DefaultParagraphFont"/>
    <w:link w:val="Heading2"/>
    <w:uiPriority w:val="9"/>
    <w:rsid w:val="000D559B"/>
    <w:rPr>
      <w:rFonts w:ascii="Arial" w:eastAsiaTheme="majorEastAsia" w:hAnsi="Arial" w:cs="Arial"/>
      <w:color w:val="2F5496" w:themeColor="accent1" w:themeShade="BF"/>
      <w:sz w:val="28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A7573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7573"/>
    <w:rPr>
      <w:rFonts w:ascii="Arial" w:eastAsiaTheme="majorEastAsia" w:hAnsi="Arial" w:cs="Arial"/>
      <w:spacing w:val="-10"/>
      <w:kern w:val="28"/>
      <w:sz w:val="4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F6238"/>
    <w:rPr>
      <w:rFonts w:ascii="Arial" w:eastAsiaTheme="majorEastAsia" w:hAnsi="Arial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F6238"/>
    <w:rPr>
      <w:rFonts w:ascii="Arial" w:eastAsiaTheme="majorEastAsia" w:hAnsi="Arial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B7861"/>
    <w:pPr>
      <w:ind w:left="720"/>
      <w:contextualSpacing/>
    </w:pPr>
  </w:style>
  <w:style w:type="paragraph" w:customStyle="1" w:styleId="Appendix">
    <w:name w:val="Appendix"/>
    <w:basedOn w:val="Heading1"/>
    <w:link w:val="AppendixChar"/>
    <w:qFormat/>
    <w:rsid w:val="005B7861"/>
    <w:pPr>
      <w:numPr>
        <w:numId w:val="3"/>
      </w:numPr>
    </w:pPr>
    <w:rPr>
      <w:rFonts w:cs="Arial"/>
    </w:rPr>
  </w:style>
  <w:style w:type="character" w:customStyle="1" w:styleId="AppendixChar">
    <w:name w:val="Appendix Char"/>
    <w:basedOn w:val="Heading1Char"/>
    <w:link w:val="Appendix"/>
    <w:rsid w:val="005B7861"/>
    <w:rPr>
      <w:rFonts w:ascii="Arial" w:eastAsiaTheme="majorEastAsia" w:hAnsi="Arial" w:cs="Arial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Macintosh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Tibblin</dc:creator>
  <cp:keywords/>
  <dc:description/>
  <cp:lastModifiedBy>S J Barnes</cp:lastModifiedBy>
  <cp:revision>2</cp:revision>
  <dcterms:created xsi:type="dcterms:W3CDTF">2022-07-12T10:06:00Z</dcterms:created>
  <dcterms:modified xsi:type="dcterms:W3CDTF">2022-07-12T10:06:00Z</dcterms:modified>
</cp:coreProperties>
</file>