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tif" ContentType="image/tiff"/>
  <Override PartName="/word/media/image3.tif" ContentType="image/tif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bidi w:val="0"/>
        <w:spacing w:lineRule="auto" w:line="480" w:before="0" w:after="0"/>
        <w:jc w:val="center"/>
        <w:rPr/>
      </w:pPr>
      <w:r>
        <w:rPr>
          <w:rStyle w:val="InternetLink"/>
          <w:rFonts w:eastAsia="Arial" w:cs="Arial" w:ascii="Arial" w:hAnsi="Arial"/>
          <w:b/>
          <w:bCs/>
          <w:i w:val="false"/>
          <w:iCs w:val="false"/>
          <w:caps w:val="false"/>
          <w:smallCaps w:val="false"/>
          <w:color w:val="231F20"/>
          <w:spacing w:val="0"/>
          <w:sz w:val="24"/>
          <w:szCs w:val="24"/>
          <w:u w:val="none"/>
          <w:lang w:val="en-US"/>
        </w:rPr>
        <w:t>Supplementary Information</w:t>
      </w:r>
    </w:p>
    <w:p>
      <w:pPr>
        <w:pStyle w:val="Heading3"/>
        <w:widowControl w:val="false"/>
        <w:numPr>
          <w:ilvl w:val="2"/>
          <w:numId w:val="2"/>
        </w:numPr>
        <w:bidi w:val="0"/>
        <w:spacing w:lineRule="auto" w:line="480" w:before="0" w:after="0"/>
        <w:jc w:val="both"/>
        <w:rPr/>
      </w:pPr>
      <w:r>
        <w:rPr>
          <w:rStyle w:val="InternetLink"/>
          <w:rFonts w:eastAsia="Arial" w:cs="Arial" w:ascii="Arial" w:hAnsi="Arial"/>
          <w:b/>
          <w:bCs/>
          <w:i w:val="false"/>
          <w:iCs w:val="false"/>
          <w:caps w:val="false"/>
          <w:smallCaps w:val="false"/>
          <w:color w:val="000000"/>
          <w:spacing w:val="0"/>
          <w:sz w:val="24"/>
          <w:szCs w:val="24"/>
          <w:u w:val="none"/>
          <w:lang w:val="en-US"/>
        </w:rPr>
        <w:t>1. Prenatal adversity sum score</w:t>
      </w:r>
    </w:p>
    <w:p>
      <w:pPr>
        <w:pStyle w:val="Normal"/>
        <w:widowControl/>
        <w:bidi w:val="0"/>
        <w:spacing w:lineRule="auto" w:line="480" w:before="0" w:after="0"/>
        <w:ind w:left="0" w:right="0" w:hanging="0"/>
        <w:jc w:val="both"/>
        <w:rPr/>
      </w:pPr>
      <w:r>
        <w:rPr>
          <w:rStyle w:val="InternetLink"/>
          <w:rFonts w:eastAsia="Arial" w:cs="Arial" w:ascii="Arial" w:hAnsi="Arial"/>
          <w:b w:val="false"/>
          <w:bCs/>
          <w:i w:val="false"/>
          <w:iCs w:val="false"/>
          <w:caps w:val="false"/>
          <w:smallCaps w:val="false"/>
          <w:color w:val="000000"/>
          <w:spacing w:val="0"/>
          <w:sz w:val="24"/>
          <w:szCs w:val="24"/>
          <w:u w:val="none"/>
          <w:lang w:val="en-US"/>
        </w:rPr>
        <w:t xml:space="preserve">The clinical cut-offs used in our study have been established in a Finnish sample, by using the first 500 participant mothers’ questionnaire data of the FinnBrain Birth Cohort Study </w:t>
      </w:r>
      <w:r>
        <w:rPr>
          <w:rStyle w:val="InternetLink"/>
          <w:rFonts w:eastAsia="Arial" w:cs="Arial" w:ascii="Arial" w:hAnsi="Arial"/>
          <w:b w:val="false"/>
          <w:bCs/>
          <w:i w:val="false"/>
          <w:iCs w:val="false"/>
          <w:caps w:val="false"/>
          <w:smallCaps w:val="false"/>
          <w:color w:val="000000"/>
          <w:spacing w:val="0"/>
          <w:position w:val="0"/>
          <w:sz w:val="24"/>
          <w:sz w:val="24"/>
          <w:szCs w:val="24"/>
          <w:u w:val="none"/>
          <w:vertAlign w:val="baseline"/>
          <w:lang w:val="en-US"/>
        </w:rPr>
        <w:t>(Karlsson et al., 2018)</w:t>
      </w:r>
      <w:r>
        <w:rPr>
          <w:rStyle w:val="InternetLink"/>
          <w:rFonts w:eastAsia="Arial" w:cs="Arial" w:ascii="Arial" w:hAnsi="Arial"/>
          <w:b w:val="false"/>
          <w:bCs/>
          <w:i w:val="false"/>
          <w:iCs w:val="false"/>
          <w:caps w:val="false"/>
          <w:smallCaps w:val="false"/>
          <w:color w:val="000000"/>
          <w:spacing w:val="0"/>
          <w:sz w:val="24"/>
          <w:szCs w:val="24"/>
          <w:u w:val="none"/>
          <w:lang w:val="en-US"/>
        </w:rPr>
        <w:t>. In our child behavior sample, the 85</w:t>
      </w:r>
      <w:r>
        <w:rPr>
          <w:rStyle w:val="InternetLink"/>
          <w:rFonts w:eastAsia="Arial" w:cs="Arial" w:ascii="Arial" w:hAnsi="Arial"/>
          <w:b w:val="false"/>
          <w:bCs/>
          <w:i w:val="false"/>
          <w:iCs w:val="false"/>
          <w:caps w:val="false"/>
          <w:smallCaps w:val="false"/>
          <w:color w:val="000000"/>
          <w:spacing w:val="0"/>
          <w:sz w:val="24"/>
          <w:szCs w:val="24"/>
          <w:u w:val="none"/>
          <w:vertAlign w:val="superscript"/>
          <w:lang w:val="en-US"/>
        </w:rPr>
        <w:t>th</w:t>
      </w:r>
      <w:r>
        <w:rPr>
          <w:rStyle w:val="InternetLink"/>
          <w:rFonts w:eastAsia="Arial" w:cs="Arial" w:ascii="Arial" w:hAnsi="Arial"/>
          <w:b w:val="false"/>
          <w:bCs/>
          <w:i w:val="false"/>
          <w:iCs w:val="false"/>
          <w:caps w:val="false"/>
          <w:smallCaps w:val="false"/>
          <w:color w:val="000000"/>
          <w:spacing w:val="0"/>
          <w:sz w:val="24"/>
          <w:szCs w:val="24"/>
          <w:u w:val="none"/>
          <w:lang w:val="en-US"/>
        </w:rPr>
        <w:t xml:space="preserve"> percentiles of the respective questionnaire were as follows: EPDS (t1/t2/t3= 9), SCL (t1= 6, t2= 8, t3= 6) and PRAQ-R (t2/t3= 29). Thereby, in our sample, the 85</w:t>
      </w:r>
      <w:r>
        <w:rPr>
          <w:rStyle w:val="InternetLink"/>
          <w:rFonts w:eastAsia="Arial" w:cs="Arial" w:ascii="Arial" w:hAnsi="Arial"/>
          <w:b w:val="false"/>
          <w:bCs/>
          <w:i w:val="false"/>
          <w:iCs w:val="false"/>
          <w:caps w:val="false"/>
          <w:smallCaps w:val="false"/>
          <w:color w:val="000000"/>
          <w:spacing w:val="0"/>
          <w:sz w:val="24"/>
          <w:szCs w:val="24"/>
          <w:u w:val="none"/>
          <w:vertAlign w:val="superscript"/>
          <w:lang w:val="en-US"/>
        </w:rPr>
        <w:t>th</w:t>
      </w:r>
      <w:r>
        <w:rPr>
          <w:rStyle w:val="InternetLink"/>
          <w:rFonts w:eastAsia="Arial" w:cs="Arial" w:ascii="Arial" w:hAnsi="Arial"/>
          <w:b w:val="false"/>
          <w:bCs/>
          <w:i w:val="false"/>
          <w:iCs w:val="false"/>
          <w:caps w:val="false"/>
          <w:smallCaps w:val="false"/>
          <w:color w:val="000000"/>
          <w:spacing w:val="0"/>
          <w:sz w:val="24"/>
          <w:szCs w:val="24"/>
          <w:u w:val="none"/>
          <w:lang w:val="en-US"/>
        </w:rPr>
        <w:t xml:space="preserve"> percentiles of the EPDS questionnaire and the SCL anxiety subscale were low compared to most recommended clinical cutoffs (e.g., </w:t>
      </w:r>
      <w:r>
        <w:rPr>
          <w:rStyle w:val="InternetLink"/>
          <w:rFonts w:eastAsia="Arial" w:cs="Arial" w:ascii="Arial" w:hAnsi="Arial"/>
          <w:b w:val="false"/>
          <w:bCs/>
          <w:i w:val="false"/>
          <w:iCs w:val="false"/>
          <w:caps w:val="false"/>
          <w:smallCaps w:val="false"/>
          <w:color w:val="000000"/>
          <w:spacing w:val="0"/>
          <w:position w:val="0"/>
          <w:sz w:val="24"/>
          <w:sz w:val="24"/>
          <w:szCs w:val="24"/>
          <w:u w:val="none"/>
          <w:vertAlign w:val="baseline"/>
          <w:lang w:val="en-US"/>
        </w:rPr>
        <w:t>Levis et al., 2020; Lyubenova et al., 2021; Pedersen &amp; Karterud, 2004)</w:t>
      </w:r>
      <w:r>
        <w:rPr>
          <w:rStyle w:val="InternetLink"/>
          <w:rFonts w:eastAsia="Arial" w:cs="Arial" w:ascii="Arial" w:hAnsi="Arial"/>
          <w:b w:val="false"/>
          <w:bCs/>
          <w:i w:val="false"/>
          <w:iCs w:val="false"/>
          <w:caps w:val="false"/>
          <w:smallCaps w:val="false"/>
          <w:color w:val="000000"/>
          <w:spacing w:val="0"/>
          <w:sz w:val="24"/>
          <w:szCs w:val="24"/>
          <w:u w:val="none"/>
          <w:lang w:val="en-US"/>
        </w:rPr>
        <w:t>. Using the 85</w:t>
      </w:r>
      <w:r>
        <w:rPr>
          <w:rStyle w:val="InternetLink"/>
          <w:rFonts w:eastAsia="Arial" w:cs="Arial" w:ascii="Arial" w:hAnsi="Arial"/>
          <w:b w:val="false"/>
          <w:bCs/>
          <w:i w:val="false"/>
          <w:iCs w:val="false"/>
          <w:caps w:val="false"/>
          <w:smallCaps w:val="false"/>
          <w:color w:val="000000"/>
          <w:spacing w:val="0"/>
          <w:sz w:val="24"/>
          <w:szCs w:val="24"/>
          <w:u w:val="none"/>
          <w:vertAlign w:val="superscript"/>
          <w:lang w:val="en-US"/>
        </w:rPr>
        <w:t>th</w:t>
      </w:r>
      <w:r>
        <w:rPr>
          <w:rStyle w:val="InternetLink"/>
          <w:rFonts w:eastAsia="Arial" w:cs="Arial" w:ascii="Arial" w:hAnsi="Arial"/>
          <w:b w:val="false"/>
          <w:bCs/>
          <w:i w:val="false"/>
          <w:iCs w:val="false"/>
          <w:caps w:val="false"/>
          <w:smallCaps w:val="false"/>
          <w:color w:val="000000"/>
          <w:spacing w:val="0"/>
          <w:sz w:val="24"/>
          <w:szCs w:val="24"/>
          <w:u w:val="none"/>
          <w:lang w:val="en-US"/>
        </w:rPr>
        <w:t xml:space="preserve"> percentiles for EPDS, SCL anxiety and PRAQ-R2 for determining PRE-AS, results were very similar to those obtained with the clinical cut-offs, with following exceptions: The GxE interaction on F4 at 5 years was no longer significant with the continuous SDQ F4 values, but was significant with the dichotomized SDQ F4 values, and the GxExSex interaction effect on F2 at 4 years became significant. </w:t>
      </w:r>
      <w:r>
        <w:rPr>
          <w:rStyle w:val="InternetLink"/>
          <w:rFonts w:eastAsia="Arial" w:cs="Arial" w:ascii="Arial" w:hAnsi="Arial"/>
          <w:b w:val="false"/>
          <w:bCs/>
          <w:i/>
          <w:iCs/>
          <w:caps w:val="false"/>
          <w:smallCaps w:val="false"/>
          <w:color w:val="000000"/>
          <w:spacing w:val="0"/>
          <w:sz w:val="24"/>
          <w:szCs w:val="24"/>
          <w:u w:val="none"/>
          <w:lang w:val="en-US"/>
        </w:rPr>
        <w:t>Post hoc</w:t>
      </w:r>
      <w:r>
        <w:rPr>
          <w:rStyle w:val="InternetLink"/>
          <w:rFonts w:eastAsia="Arial" w:cs="Arial" w:ascii="Arial" w:hAnsi="Arial"/>
          <w:b w:val="false"/>
          <w:bCs/>
          <w:i w:val="false"/>
          <w:iCs w:val="false"/>
          <w:caps w:val="false"/>
          <w:smallCaps w:val="false"/>
          <w:color w:val="000000"/>
          <w:spacing w:val="0"/>
          <w:sz w:val="24"/>
          <w:szCs w:val="24"/>
          <w:u w:val="none"/>
          <w:lang w:val="en-US"/>
        </w:rPr>
        <w:t xml:space="preserve"> analyses, performed separately in boys and girls, revealed that the GxE interaction on F2 at 4 years was insignificant in both boys (beta: 0.08, SE: 0.05, p= 0.128) and girls (beta: -0.09, SE: 0.06, p= 0.121). </w:t>
      </w:r>
    </w:p>
    <w:p>
      <w:pPr>
        <w:pStyle w:val="Heading3"/>
        <w:widowControl w:val="false"/>
        <w:numPr>
          <w:ilvl w:val="2"/>
          <w:numId w:val="2"/>
        </w:numPr>
        <w:bidi w:val="0"/>
        <w:spacing w:lineRule="auto" w:line="480" w:before="173" w:after="0"/>
        <w:jc w:val="both"/>
        <w:rPr/>
      </w:pPr>
      <w:r>
        <w:rPr>
          <w:rStyle w:val="InternetLink"/>
          <w:rFonts w:eastAsia="Arial" w:cs="Arial" w:ascii="Arial" w:hAnsi="Arial"/>
          <w:b/>
          <w:bCs/>
          <w:i w:val="false"/>
          <w:iCs w:val="false"/>
          <w:caps w:val="false"/>
          <w:smallCaps w:val="false"/>
          <w:color w:val="000000"/>
          <w:spacing w:val="0"/>
          <w:sz w:val="24"/>
          <w:szCs w:val="24"/>
          <w:u w:val="none"/>
          <w:lang w:val="en-US"/>
        </w:rPr>
        <w:t>2. Statistical analyses</w:t>
      </w:r>
    </w:p>
    <w:p>
      <w:pPr>
        <w:pStyle w:val="Normal"/>
        <w:widowControl w:val="false"/>
        <w:bidi w:val="0"/>
        <w:spacing w:lineRule="auto" w:line="480" w:before="0" w:after="0"/>
        <w:jc w:val="both"/>
        <w:rPr/>
      </w:pPr>
      <w:r>
        <w:rPr>
          <w:rStyle w:val="InternetLink"/>
          <w:rFonts w:eastAsia="Arial" w:cs="Arial" w:ascii="Arial" w:hAnsi="Arial"/>
          <w:b w:val="false"/>
          <w:bCs w:val="false"/>
          <w:i w:val="false"/>
          <w:iCs w:val="false"/>
          <w:caps w:val="false"/>
          <w:smallCaps w:val="false"/>
          <w:color w:val="231F20"/>
          <w:spacing w:val="0"/>
          <w:sz w:val="24"/>
          <w:szCs w:val="24"/>
          <w:u w:val="none"/>
          <w:lang w:val="en-US"/>
        </w:rPr>
        <w:t>Assumptions of the multiple regression analyses were checked by visual inspection of the correct specification of the model (Residuals vs Fitted plot, Lowess line), the normal distribution of the residuals (Normal Q-Q plot), the homoscedasticity (Scale-Location diagram) and critical outliers (Residuals vs. Leverage plot, Cook’s distance) (‘plot’ function in R). Assumptions were met in all analyses unless otherwise stated. Homoscedasticity was additionally tested by means of the Goldfeld-Quandt-test (‘gqtest’ function in R); a p-value &gt; 0.05 indicates homoscedasticity. Heteroscedasticity was observed in analyses with SDQ F1 values at 4 years and SDQ F4 values at 5 years.</w:t>
      </w:r>
      <w:r>
        <w:rPr>
          <w:rStyle w:val="InternetLink"/>
          <w:rFonts w:eastAsia="Arial" w:cs="Arial" w:ascii="Arial" w:hAnsi="Arial"/>
          <w:b w:val="false"/>
          <w:bCs w:val="false"/>
          <w:i w:val="false"/>
          <w:iCs w:val="false"/>
          <w:caps w:val="false"/>
          <w:smallCaps w:val="false"/>
          <w:color w:val="000000"/>
          <w:spacing w:val="0"/>
          <w:sz w:val="24"/>
          <w:szCs w:val="24"/>
          <w:u w:val="none"/>
          <w:lang w:val="en-US"/>
        </w:rPr>
        <w:t xml:space="preserve"> In case of non-normally distributed residuals and heteroscedasticity, we additionally computed a factor with two levels, representing two extreme groups of the respective variable (≤20%, ≥80%), and used this variable in binomial regression analyses as dependent variable. This resulted in additional control analyses for SDQ F1 and F4 at both 4 years and 5 years.</w:t>
      </w:r>
    </w:p>
    <w:p>
      <w:pPr>
        <w:pStyle w:val="Normal"/>
        <w:widowControl w:val="false"/>
        <w:bidi w:val="0"/>
        <w:spacing w:lineRule="auto" w:line="480" w:before="0" w:after="0"/>
        <w:jc w:val="both"/>
        <w:rPr/>
      </w:pPr>
      <w:r>
        <w:rPr>
          <w:rStyle w:val="InternetLink"/>
          <w:rFonts w:eastAsia="Arial" w:cs="Arial" w:ascii="Arial" w:hAnsi="Arial"/>
          <w:b w:val="false"/>
          <w:bCs w:val="false"/>
          <w:i w:val="false"/>
          <w:iCs w:val="false"/>
          <w:caps w:val="false"/>
          <w:smallCaps w:val="false"/>
          <w:color w:val="000000"/>
          <w:spacing w:val="0"/>
          <w:sz w:val="24"/>
          <w:szCs w:val="24"/>
          <w:u w:val="none"/>
          <w:lang w:val="en-US"/>
        </w:rPr>
        <w:t xml:space="preserve">Furthermore, we reran the main analyses in control analyses excluding a) mothers with CNS affecting medication (including antidepressants), prenatal alcohol and/or illicit drug intake, and b) offspring with Apgar scores &lt;5, asphyxia and/or birth weight &lt;1500g. These control variables constitute potential or established risk factors. For instance, while studies on the effects of psychotropic medication on early child development have yielded mixed results </w:t>
      </w:r>
      <w:r>
        <w:rPr>
          <w:rStyle w:val="InternetLink"/>
          <w:rFonts w:eastAsia="Arial" w:cs="Arial" w:ascii="Arial" w:hAnsi="Arial"/>
          <w:b w:val="false"/>
          <w:bCs w:val="false"/>
          <w:i w:val="false"/>
          <w:iCs w:val="false"/>
          <w:caps w:val="false"/>
          <w:smallCaps w:val="false"/>
          <w:color w:val="000000"/>
          <w:spacing w:val="0"/>
          <w:position w:val="0"/>
          <w:sz w:val="24"/>
          <w:sz w:val="24"/>
          <w:szCs w:val="24"/>
          <w:u w:val="none"/>
          <w:vertAlign w:val="baseline"/>
          <w:lang w:val="en-US"/>
        </w:rPr>
        <w:t>(El Marroun et al., 2014; Field, 2017)</w:t>
      </w:r>
      <w:r>
        <w:rPr>
          <w:rStyle w:val="InternetLink"/>
          <w:rFonts w:eastAsia="Arial" w:cs="Arial" w:ascii="Arial" w:hAnsi="Arial"/>
          <w:b w:val="false"/>
          <w:bCs w:val="false"/>
          <w:i w:val="false"/>
          <w:iCs w:val="false"/>
          <w:caps w:val="false"/>
          <w:smallCaps w:val="false"/>
          <w:color w:val="000000"/>
          <w:spacing w:val="0"/>
          <w:sz w:val="24"/>
          <w:szCs w:val="24"/>
          <w:u w:val="none"/>
          <w:lang w:val="en-US"/>
        </w:rPr>
        <w:t xml:space="preserve">, recent studies reported sex-specific variations of white matter structure in SSRI-exposed infants (e.g., </w:t>
      </w:r>
      <w:r>
        <w:rPr>
          <w:rStyle w:val="InternetLink"/>
          <w:rFonts w:eastAsia="Arial" w:cs="Arial" w:ascii="Arial" w:hAnsi="Arial"/>
          <w:b w:val="false"/>
          <w:bCs w:val="false"/>
          <w:i w:val="false"/>
          <w:iCs w:val="false"/>
          <w:caps w:val="false"/>
          <w:smallCaps w:val="false"/>
          <w:color w:val="000000"/>
          <w:spacing w:val="0"/>
          <w:position w:val="0"/>
          <w:sz w:val="24"/>
          <w:sz w:val="24"/>
          <w:szCs w:val="24"/>
          <w:u w:val="none"/>
          <w:vertAlign w:val="baseline"/>
          <w:lang w:val="en-US"/>
        </w:rPr>
        <w:t>Campbell et al., 2021</w:t>
      </w:r>
      <w:r>
        <w:rPr>
          <w:rStyle w:val="InternetLink"/>
          <w:rFonts w:eastAsia="Arial" w:cs="Arial" w:ascii="Arial" w:hAnsi="Arial"/>
          <w:b w:val="false"/>
          <w:bCs w:val="false"/>
          <w:i w:val="false"/>
          <w:iCs w:val="false"/>
          <w:caps w:val="false"/>
          <w:smallCaps w:val="false"/>
          <w:color w:val="000000"/>
          <w:spacing w:val="0"/>
          <w:sz w:val="24"/>
          <w:szCs w:val="24"/>
          <w:u w:val="none"/>
          <w:lang w:val="en-US"/>
        </w:rPr>
        <w:t xml:space="preserve">) and animal studies suggest age- and sex-specific altered hippocampal synaptic plasticity in perinatally SSRI-exposed animals </w:t>
      </w:r>
      <w:r>
        <w:rPr>
          <w:rStyle w:val="InternetLink"/>
          <w:rFonts w:eastAsia="Arial" w:cs="Arial" w:ascii="Arial" w:hAnsi="Arial"/>
          <w:b w:val="false"/>
          <w:bCs w:val="false"/>
          <w:i w:val="false"/>
          <w:iCs w:val="false"/>
          <w:caps w:val="false"/>
          <w:smallCaps w:val="false"/>
          <w:color w:val="000000"/>
          <w:spacing w:val="0"/>
          <w:position w:val="0"/>
          <w:sz w:val="24"/>
          <w:sz w:val="24"/>
          <w:szCs w:val="24"/>
          <w:u w:val="none"/>
          <w:vertAlign w:val="baseline"/>
          <w:lang w:val="en-US"/>
        </w:rPr>
        <w:t>(Pawluski &amp; Gemmel, 2018)</w:t>
      </w:r>
      <w:r>
        <w:rPr>
          <w:rStyle w:val="InternetLink"/>
          <w:rFonts w:eastAsia="Arial" w:cs="Arial" w:ascii="Arial" w:hAnsi="Arial"/>
          <w:b w:val="false"/>
          <w:bCs w:val="false"/>
          <w:i w:val="false"/>
          <w:iCs w:val="false"/>
          <w:caps w:val="false"/>
          <w:smallCaps w:val="false"/>
          <w:color w:val="000000"/>
          <w:spacing w:val="0"/>
          <w:sz w:val="24"/>
          <w:szCs w:val="24"/>
          <w:u w:val="none"/>
          <w:lang w:val="en-US"/>
        </w:rPr>
        <w:t>.</w:t>
      </w:r>
    </w:p>
    <w:p>
      <w:pPr>
        <w:pStyle w:val="Normal"/>
        <w:widowControl w:val="false"/>
        <w:bidi w:val="0"/>
        <w:spacing w:lineRule="auto" w:line="480" w:before="0" w:after="0"/>
        <w:jc w:val="both"/>
        <w:rPr/>
      </w:pPr>
      <w:r>
        <w:rPr>
          <w:rStyle w:val="InternetLink"/>
          <w:rFonts w:eastAsia="Arial" w:cs="Arial" w:ascii="Arial" w:hAnsi="Arial"/>
          <w:b w:val="false"/>
          <w:bCs w:val="false"/>
          <w:i w:val="false"/>
          <w:iCs w:val="false"/>
          <w:caps w:val="false"/>
          <w:smallCaps w:val="false"/>
          <w:color w:val="000000"/>
          <w:spacing w:val="0"/>
          <w:sz w:val="24"/>
          <w:szCs w:val="24"/>
          <w:u w:val="none"/>
          <w:lang w:val="en-US"/>
        </w:rPr>
        <w:t xml:space="preserve">Packages in use were </w:t>
      </w:r>
      <w:r>
        <w:rPr>
          <w:rStyle w:val="InternetLink"/>
          <w:rFonts w:eastAsia="Arial" w:cs="Arial" w:ascii="Arial" w:hAnsi="Arial"/>
          <w:b w:val="false"/>
          <w:bCs w:val="false"/>
          <w:i w:val="false"/>
          <w:iCs w:val="false"/>
          <w:caps w:val="false"/>
          <w:smallCaps w:val="false"/>
          <w:color w:val="000000"/>
          <w:spacing w:val="0"/>
          <w:position w:val="0"/>
          <w:sz w:val="24"/>
          <w:sz w:val="24"/>
          <w:szCs w:val="24"/>
          <w:u w:val="none"/>
          <w:vertAlign w:val="baseline"/>
          <w:lang w:val="en-US"/>
        </w:rPr>
        <w:t xml:space="preserve">“psych” (Revelle, 2018) and “missForest” (Stekhoven, 2013) </w:t>
      </w:r>
      <w:r>
        <w:rPr>
          <w:rStyle w:val="InternetLink"/>
          <w:rFonts w:eastAsia="Arial" w:cs="Arial" w:ascii="Arial" w:hAnsi="Arial"/>
          <w:b w:val="false"/>
          <w:bCs w:val="false"/>
          <w:i w:val="false"/>
          <w:iCs w:val="false"/>
          <w:caps w:val="false"/>
          <w:smallCaps w:val="false"/>
          <w:color w:val="000000"/>
          <w:spacing w:val="0"/>
          <w:sz w:val="24"/>
          <w:szCs w:val="24"/>
          <w:u w:val="none"/>
          <w:lang w:val="en-US"/>
        </w:rPr>
        <w:t>among others.</w:t>
      </w:r>
    </w:p>
    <w:p>
      <w:pPr>
        <w:pStyle w:val="Normal"/>
        <w:widowControl w:val="false"/>
        <w:bidi w:val="0"/>
        <w:spacing w:lineRule="auto" w:line="480" w:before="173" w:after="0"/>
        <w:jc w:val="both"/>
        <w:rPr/>
      </w:pPr>
      <w:r>
        <w:rPr>
          <w:rStyle w:val="InternetLink"/>
          <w:rFonts w:eastAsia="Arial" w:cs="Arial" w:ascii="Arial" w:hAnsi="Arial"/>
          <w:b/>
          <w:bCs/>
          <w:i w:val="false"/>
          <w:iCs w:val="false"/>
          <w:caps w:val="false"/>
          <w:smallCaps w:val="false"/>
          <w:color w:val="000000"/>
          <w:spacing w:val="0"/>
          <w:sz w:val="24"/>
          <w:szCs w:val="24"/>
          <w:u w:val="none"/>
          <w:lang w:val="en-US"/>
        </w:rPr>
        <w:t>3. Results</w:t>
      </w:r>
    </w:p>
    <w:p>
      <w:pPr>
        <w:pStyle w:val="Normal"/>
        <w:widowControl w:val="false"/>
        <w:bidi w:val="0"/>
        <w:spacing w:lineRule="auto" w:line="480" w:before="0" w:after="115"/>
        <w:jc w:val="both"/>
        <w:rPr/>
      </w:pPr>
      <w:r>
        <w:rPr>
          <w:rStyle w:val="InternetLink"/>
          <w:rFonts w:eastAsia="Arial" w:cs="Arial" w:ascii="Arial" w:hAnsi="Arial"/>
          <w:b/>
          <w:bCs/>
          <w:i w:val="false"/>
          <w:iCs w:val="false"/>
          <w:caps w:val="false"/>
          <w:smallCaps w:val="false"/>
          <w:color w:val="000000"/>
          <w:spacing w:val="0"/>
          <w:sz w:val="24"/>
          <w:szCs w:val="24"/>
          <w:u w:val="none"/>
          <w:lang w:val="en-US"/>
        </w:rPr>
        <w:t>3.1 Demographic overview</w:t>
      </w:r>
    </w:p>
    <w:p>
      <w:pPr>
        <w:pStyle w:val="Normal"/>
        <w:widowControl w:val="false"/>
        <w:bidi w:val="0"/>
        <w:spacing w:lineRule="auto" w:line="480" w:before="0" w:after="240"/>
        <w:jc w:val="both"/>
        <w:rPr>
          <w:rFonts w:ascii="Arial" w:hAnsi="Arial" w:cs="Arial"/>
          <w:b/>
          <w:b/>
          <w:bCs/>
        </w:rPr>
      </w:pPr>
      <w:r>
        <w:rPr>
          <w:rStyle w:val="InternetLink"/>
          <w:rFonts w:eastAsia="Arial" w:cs="Arial" w:ascii="Arial" w:hAnsi="Arial"/>
          <w:b w:val="false"/>
          <w:bCs w:val="false"/>
          <w:i w:val="false"/>
          <w:iCs w:val="false"/>
          <w:caps w:val="false"/>
          <w:smallCaps w:val="false"/>
          <w:color w:val="000000"/>
          <w:spacing w:val="0"/>
          <w:sz w:val="24"/>
          <w:szCs w:val="24"/>
          <w:u w:val="none"/>
          <w:lang w:val="en-US"/>
        </w:rPr>
        <w:t>With regard to the subscales of PRE-AS, several measures differed significantly between the child behavior sample and the neuroimaging sample such as SCL-pre, EPDS-pre, RDAS-pre and PRAQ being significantly higher and maternal prenatal physical diseases significantly lower in the neuroimaging sample. POST-DS was higher in the neuroimaging sample compared to the child behavior sample. In addition, in the child behavior sample, significant sex differences were found for postnatal SCL (p= 0.016) and gestational weeks ≤37 (p= 0.033) revealing higher risk in mothers of boys than in those of girls. In the neuroimaging sample, lower Apgar scores were observed for boys compared to girls (p=0.015).</w:t>
      </w:r>
    </w:p>
    <w:p>
      <w:pPr>
        <w:pStyle w:val="Normal"/>
        <w:widowControl w:val="false"/>
        <w:bidi w:val="0"/>
        <w:spacing w:lineRule="auto" w:line="480" w:before="0" w:after="115"/>
        <w:jc w:val="both"/>
        <w:rPr/>
      </w:pPr>
      <w:r>
        <w:rPr>
          <w:rStyle w:val="InternetLink"/>
          <w:rFonts w:eastAsia="Arial" w:cs="Arial" w:ascii="Arial" w:hAnsi="Arial"/>
          <w:b/>
          <w:bCs/>
          <w:i w:val="false"/>
          <w:iCs w:val="false"/>
          <w:caps w:val="false"/>
          <w:smallCaps w:val="false"/>
          <w:color w:val="000000"/>
          <w:spacing w:val="0"/>
          <w:sz w:val="24"/>
          <w:szCs w:val="24"/>
          <w:u w:val="none"/>
          <w:lang w:val="en-US"/>
        </w:rPr>
        <w:t>3.2 Association of PRE-AS with child problem behavior</w:t>
      </w:r>
    </w:p>
    <w:p>
      <w:pPr>
        <w:pStyle w:val="Normal"/>
        <w:widowControl w:val="false"/>
        <w:bidi w:val="0"/>
        <w:spacing w:lineRule="auto" w:line="480" w:before="58" w:after="58"/>
        <w:jc w:val="both"/>
        <w:rPr>
          <w:rFonts w:ascii="Arial" w:hAnsi="Arial" w:cs="Arial"/>
          <w:b/>
          <w:b/>
          <w:bCs/>
        </w:rPr>
      </w:pPr>
      <w:r>
        <w:rPr>
          <w:rStyle w:val="InternetLink"/>
          <w:rFonts w:eastAsia="Arial" w:cs="Arial" w:ascii="Arial" w:hAnsi="Arial"/>
          <w:b w:val="false"/>
          <w:bCs w:val="false"/>
          <w:i w:val="false"/>
          <w:iCs w:val="false"/>
          <w:caps w:val="false"/>
          <w:smallCaps w:val="false"/>
          <w:color w:val="000000"/>
          <w:spacing w:val="0"/>
          <w:sz w:val="24"/>
          <w:szCs w:val="24"/>
          <w:u w:val="none"/>
          <w:lang w:val="en-US"/>
        </w:rPr>
        <w:t xml:space="preserve">In our control analyses, excluding mothers with CNS affecting medication, alcohol and/or illicit drug intake, all significant associations between PRE-AS and SDQ scores remained significant (N= 1109). Excluding children with low Apgar scores, asphyxia and/or low birth weight, all significant associations between PRE-AS and SDQ scores remained significant, and additionally significantly higher conduct problems (SDQ F2 scores) at 5 years were observed in boys compared to girls (N= 1397). </w:t>
      </w:r>
    </w:p>
    <w:p>
      <w:pPr>
        <w:pStyle w:val="Normal"/>
        <w:widowControl w:val="false"/>
        <w:bidi w:val="0"/>
        <w:spacing w:lineRule="auto" w:line="480" w:before="0" w:after="115"/>
        <w:jc w:val="both"/>
        <w:rPr>
          <w:rFonts w:ascii="Arial" w:hAnsi="Arial" w:cs="Arial"/>
          <w:b/>
          <w:b/>
          <w:bCs/>
        </w:rPr>
      </w:pPr>
      <w:r>
        <w:rPr>
          <w:rStyle w:val="InternetLink"/>
          <w:rFonts w:eastAsia="Arial" w:cs="Arial" w:ascii="Arial" w:hAnsi="Arial"/>
          <w:b/>
          <w:bCs/>
          <w:i w:val="false"/>
          <w:iCs w:val="false"/>
          <w:caps w:val="false"/>
          <w:smallCaps w:val="false"/>
          <w:color w:val="000000"/>
          <w:spacing w:val="0"/>
          <w:sz w:val="24"/>
          <w:szCs w:val="24"/>
          <w:u w:val="none"/>
          <w:lang w:val="en-US"/>
        </w:rPr>
        <w:t>3.3 Association of PRE-AS with infant amygdalar and hippocampal volumes</w:t>
      </w:r>
    </w:p>
    <w:p>
      <w:pPr>
        <w:pStyle w:val="Normal"/>
        <w:widowControl w:val="false"/>
        <w:bidi w:val="0"/>
        <w:spacing w:lineRule="auto" w:line="480" w:before="0" w:after="240"/>
        <w:jc w:val="both"/>
        <w:rPr>
          <w:rFonts w:ascii="Arial" w:hAnsi="Arial" w:cs="Arial"/>
          <w:b/>
          <w:b/>
          <w:bCs/>
        </w:rPr>
      </w:pPr>
      <w:r>
        <w:rPr>
          <w:rStyle w:val="InternetLink"/>
          <w:rFonts w:eastAsia="Arial" w:cs="Arial" w:ascii="Arial" w:hAnsi="Arial"/>
          <w:b w:val="false"/>
          <w:bCs w:val="false"/>
          <w:i w:val="false"/>
          <w:iCs w:val="false"/>
          <w:caps w:val="false"/>
          <w:smallCaps w:val="false"/>
          <w:color w:val="000000"/>
          <w:spacing w:val="0"/>
          <w:sz w:val="24"/>
          <w:szCs w:val="24"/>
          <w:u w:val="none"/>
          <w:lang w:val="en-US"/>
        </w:rPr>
        <w:t>In the control analyses, excluding infants with low Apgar scores and/or asphyxia (resulting sample N= 107), the sex-specific association with right amygdalar volumes stayed significant (p= 0.031), but was reduced to non-significance (trend-level significance) for left amygdalar volumes (p= 0.096). Post hoc statistical analyses with the control variables as covariates suggest that the reduction to non-significance is due to the reduction in sample size (left amygdala: p= 0.017).</w:t>
      </w:r>
    </w:p>
    <w:p>
      <w:pPr>
        <w:pStyle w:val="Normal"/>
        <w:widowControl w:val="false"/>
        <w:bidi w:val="0"/>
        <w:spacing w:lineRule="auto" w:line="480" w:before="0" w:after="240"/>
        <w:jc w:val="both"/>
        <w:rPr>
          <w:rFonts w:ascii="Arial" w:hAnsi="Arial" w:cs="Arial"/>
          <w:b/>
          <w:b/>
          <w:bCs/>
        </w:rPr>
      </w:pPr>
      <w:r>
        <w:rPr>
          <w:rStyle w:val="InternetLink"/>
          <w:rFonts w:eastAsia="Arial" w:cs="Arial" w:ascii="Arial" w:hAnsi="Arial"/>
          <w:b w:val="false"/>
          <w:bCs w:val="false"/>
          <w:i w:val="false"/>
          <w:iCs w:val="false"/>
          <w:caps w:val="false"/>
          <w:smallCaps w:val="false"/>
          <w:color w:val="000000"/>
          <w:spacing w:val="0"/>
          <w:sz w:val="24"/>
          <w:szCs w:val="24"/>
          <w:u w:val="none"/>
          <w:lang w:val="en-US"/>
        </w:rPr>
        <w:t>Excluding mothers with medication, alcohol and/or illicit drug intake (resulting sample N= 81), the interaction of PRE-AS with sex on both right (p= 0.134) and left amygdalar volumes (p= 0.231) was reduced to non-significance. Post hoc statistical analyses with the control variables as covariates suggest that the reduction to non-significance is due to the reduction in sample size (right amygdala: p= 0.029, left amygdala: p= 0.026).</w:t>
      </w:r>
    </w:p>
    <w:p>
      <w:pPr>
        <w:pStyle w:val="Normal"/>
        <w:widowControl w:val="false"/>
        <w:bidi w:val="0"/>
        <w:spacing w:lineRule="auto" w:line="480" w:before="0" w:after="115"/>
        <w:jc w:val="both"/>
        <w:rPr/>
      </w:pPr>
      <w:r>
        <w:rPr>
          <w:rStyle w:val="InternetLink"/>
          <w:rFonts w:eastAsia="Arial" w:cs="Arial" w:ascii="Arial" w:hAnsi="Arial"/>
          <w:b/>
          <w:bCs/>
          <w:i w:val="false"/>
          <w:iCs w:val="false"/>
          <w:caps w:val="false"/>
          <w:smallCaps w:val="false"/>
          <w:color w:val="000000"/>
          <w:spacing w:val="0"/>
          <w:sz w:val="24"/>
          <w:szCs w:val="24"/>
          <w:u w:val="none"/>
          <w:lang w:val="en-US"/>
        </w:rPr>
        <w:t>3.4 ePRS – by – environment interaction effects on SDQ</w:t>
      </w:r>
    </w:p>
    <w:p>
      <w:pPr>
        <w:pStyle w:val="Normal"/>
        <w:widowControl w:val="false"/>
        <w:bidi w:val="0"/>
        <w:spacing w:lineRule="auto" w:line="480" w:before="0" w:after="240"/>
        <w:jc w:val="both"/>
        <w:rPr>
          <w:rFonts w:ascii="Arial" w:hAnsi="Arial" w:cs="Arial"/>
          <w:b/>
          <w:b/>
          <w:bCs/>
        </w:rPr>
      </w:pPr>
      <w:r>
        <w:rPr>
          <w:rStyle w:val="InternetLink"/>
          <w:rFonts w:eastAsia="Arial" w:cs="Arial" w:ascii="Arial" w:hAnsi="Arial"/>
          <w:b w:val="false"/>
          <w:bCs w:val="false"/>
          <w:i w:val="false"/>
          <w:iCs w:val="false"/>
          <w:caps w:val="false"/>
          <w:smallCaps w:val="false"/>
          <w:color w:val="000000"/>
          <w:spacing w:val="0"/>
          <w:sz w:val="24"/>
          <w:szCs w:val="24"/>
          <w:u w:val="none"/>
          <w:lang w:val="en-US"/>
        </w:rPr>
        <w:t>The ePRS-by-PRE-AS interaction effect stayed significant after controlling for POST-DS, in the analysis with the dichotomous SDQ F4 factor as a dependent variable and in the control analysis excluding mothers with CNS affecting medication, alcohol and drug intake (resulting sample N= 823), but was reduced to non-significance by correcting for multiple comparisons and in the control analysis excluding children with asphyxia, apgar &lt;5 or birthweight &lt; 1500g (resulting sample N= 1046, p= 0.196). The post hoc statistical analysis with the control variables as covariates yielded significant results (p= 0.030).</w:t>
      </w:r>
    </w:p>
    <w:p>
      <w:pPr>
        <w:pStyle w:val="Normal"/>
        <w:widowControl w:val="false"/>
        <w:bidi w:val="0"/>
        <w:spacing w:lineRule="auto" w:line="480" w:before="0" w:after="240"/>
        <w:jc w:val="both"/>
        <w:rPr/>
      </w:pPr>
      <w:r>
        <w:rPr>
          <w:rStyle w:val="InternetLink"/>
          <w:rFonts w:eastAsia="Arial" w:cs="Arial" w:ascii="Arial" w:hAnsi="Arial"/>
          <w:b w:val="false"/>
          <w:bCs w:val="false"/>
          <w:i w:val="false"/>
          <w:iCs w:val="false"/>
          <w:caps w:val="false"/>
          <w:smallCaps w:val="false"/>
          <w:color w:val="000000"/>
          <w:spacing w:val="0"/>
          <w:sz w:val="24"/>
          <w:szCs w:val="24"/>
          <w:u w:val="none"/>
          <w:lang w:val="en-US"/>
        </w:rPr>
        <w:t xml:space="preserve">Additional exploratory </w:t>
      </w:r>
      <w:r>
        <w:rPr>
          <w:rStyle w:val="InternetLink"/>
          <w:rFonts w:eastAsia="Arial" w:cs="Arial" w:ascii="Arial" w:hAnsi="Arial"/>
          <w:b w:val="false"/>
          <w:bCs w:val="false"/>
          <w:i/>
          <w:iCs/>
          <w:caps w:val="false"/>
          <w:smallCaps w:val="false"/>
          <w:color w:val="000000"/>
          <w:spacing w:val="0"/>
          <w:sz w:val="24"/>
          <w:szCs w:val="24"/>
          <w:u w:val="none"/>
          <w:lang w:val="en-US"/>
        </w:rPr>
        <w:t>post hoc</w:t>
      </w:r>
      <w:r>
        <w:rPr>
          <w:rStyle w:val="InternetLink"/>
          <w:rFonts w:eastAsia="Arial" w:cs="Arial" w:ascii="Arial" w:hAnsi="Arial"/>
          <w:b w:val="false"/>
          <w:bCs w:val="false"/>
          <w:i w:val="false"/>
          <w:iCs w:val="false"/>
          <w:caps w:val="false"/>
          <w:smallCaps w:val="false"/>
          <w:color w:val="000000"/>
          <w:spacing w:val="0"/>
          <w:sz w:val="24"/>
          <w:szCs w:val="24"/>
          <w:u w:val="none"/>
          <w:lang w:val="en-US"/>
        </w:rPr>
        <w:t xml:space="preserve"> analyses with the PRE-POST factor showed that, in the subgroup with low genetic risk, SDQ F4 values were significantly higher in children with both pre- and postnatal adversity (&gt;0/&gt;0) compared to children with no pre- and postnatal adversity (0/0) (</w:t>
      </w:r>
      <w:r>
        <w:rPr>
          <w:rStyle w:val="InternetLink"/>
          <w:rFonts w:eastAsia="SimSun" w:cs="Lucida Sans" w:ascii="Arial" w:hAnsi="Arial"/>
          <w:b w:val="false"/>
          <w:bCs w:val="false"/>
          <w:i w:val="false"/>
          <w:iCs w:val="false"/>
          <w:caps w:val="false"/>
          <w:smallCaps w:val="false"/>
          <w:color w:val="000000"/>
          <w:spacing w:val="0"/>
          <w:sz w:val="24"/>
          <w:szCs w:val="24"/>
          <w:u w:val="none"/>
          <w:lang w:val="en-US"/>
        </w:rPr>
        <w:t xml:space="preserve">β±SE: </w:t>
      </w:r>
      <w:r>
        <w:rPr>
          <w:rStyle w:val="InternetLink"/>
          <w:rFonts w:eastAsia="Arial" w:cs="Arial" w:ascii="Arial" w:hAnsi="Arial"/>
          <w:b w:val="false"/>
          <w:bCs w:val="false"/>
          <w:i w:val="false"/>
          <w:iCs w:val="false"/>
          <w:caps w:val="false"/>
          <w:smallCaps w:val="false"/>
          <w:color w:val="000000"/>
          <w:spacing w:val="0"/>
          <w:sz w:val="24"/>
          <w:szCs w:val="24"/>
          <w:u w:val="none"/>
          <w:lang w:val="en-US"/>
        </w:rPr>
        <w:t>0.68±0.15, p&lt; 0.001). SDQ F4 values were also non-significantly higher in children with only prenatal adversity (</w:t>
      </w:r>
      <w:r>
        <w:rPr>
          <w:rStyle w:val="InternetLink"/>
          <w:rFonts w:eastAsia="SimSun" w:cs="Lucida Sans" w:ascii="Arial" w:hAnsi="Arial"/>
          <w:b w:val="false"/>
          <w:bCs w:val="false"/>
          <w:i w:val="false"/>
          <w:iCs w:val="false"/>
          <w:caps w:val="false"/>
          <w:smallCaps w:val="false"/>
          <w:color w:val="000000"/>
          <w:spacing w:val="0"/>
          <w:sz w:val="24"/>
          <w:szCs w:val="24"/>
          <w:u w:val="none"/>
          <w:lang w:val="en-US"/>
        </w:rPr>
        <w:t xml:space="preserve">β±SE: </w:t>
      </w:r>
      <w:r>
        <w:rPr>
          <w:rStyle w:val="InternetLink"/>
          <w:rFonts w:eastAsia="Arial" w:cs="Arial" w:ascii="Arial" w:hAnsi="Arial"/>
          <w:b w:val="false"/>
          <w:bCs w:val="false"/>
          <w:i w:val="false"/>
          <w:iCs w:val="false"/>
          <w:caps w:val="false"/>
          <w:smallCaps w:val="false"/>
          <w:color w:val="000000"/>
          <w:spacing w:val="0"/>
          <w:sz w:val="24"/>
          <w:szCs w:val="24"/>
          <w:u w:val="none"/>
          <w:lang w:val="en-US"/>
        </w:rPr>
        <w:t>0.24±0.17, p= 0.155), while no effects were observed in children with only postnatal adversity (</w:t>
      </w:r>
      <w:r>
        <w:rPr>
          <w:rStyle w:val="InternetLink"/>
          <w:rFonts w:eastAsia="SimSun" w:cs="Lucida Sans" w:ascii="Arial" w:hAnsi="Arial"/>
          <w:b w:val="false"/>
          <w:bCs w:val="false"/>
          <w:i w:val="false"/>
          <w:iCs w:val="false"/>
          <w:caps w:val="false"/>
          <w:smallCaps w:val="false"/>
          <w:color w:val="000000"/>
          <w:spacing w:val="0"/>
          <w:sz w:val="24"/>
          <w:szCs w:val="24"/>
          <w:u w:val="none"/>
          <w:lang w:val="en-US"/>
        </w:rPr>
        <w:t xml:space="preserve">β±SE: </w:t>
      </w:r>
      <w:r>
        <w:rPr>
          <w:rStyle w:val="InternetLink"/>
          <w:rFonts w:eastAsia="Arial" w:cs="Arial" w:ascii="Arial" w:hAnsi="Arial"/>
          <w:b w:val="false"/>
          <w:bCs w:val="false"/>
          <w:i w:val="false"/>
          <w:iCs w:val="false"/>
          <w:caps w:val="false"/>
          <w:smallCaps w:val="false"/>
          <w:color w:val="000000"/>
          <w:spacing w:val="0"/>
          <w:sz w:val="24"/>
          <w:szCs w:val="24"/>
          <w:u w:val="none"/>
          <w:lang w:val="en-US"/>
        </w:rPr>
        <w:t xml:space="preserve">0.03±0.23, p= 0.901). No significant associations with PRE-POST were observed in the subgroup with high genetic risk (all p &gt; 0.12), and effects were comparably weak in children with either pre- or postnatal adversity (PRE-AS &gt; 0: </w:t>
      </w:r>
      <w:r>
        <w:rPr>
          <w:rStyle w:val="InternetLink"/>
          <w:rFonts w:eastAsia="SimSun" w:cs="Lucida Sans" w:ascii="Arial" w:hAnsi="Arial"/>
          <w:b w:val="false"/>
          <w:bCs w:val="false"/>
          <w:i w:val="false"/>
          <w:iCs w:val="false"/>
          <w:caps w:val="false"/>
          <w:smallCaps w:val="false"/>
          <w:color w:val="000000"/>
          <w:spacing w:val="0"/>
          <w:sz w:val="24"/>
          <w:szCs w:val="24"/>
          <w:u w:val="none"/>
          <w:lang w:val="en-US"/>
        </w:rPr>
        <w:t xml:space="preserve">β±SE: </w:t>
      </w:r>
      <w:r>
        <w:rPr>
          <w:rStyle w:val="InternetLink"/>
          <w:rFonts w:eastAsia="Arial" w:cs="Arial" w:ascii="Arial" w:hAnsi="Arial"/>
          <w:b w:val="false"/>
          <w:bCs w:val="false"/>
          <w:i w:val="false"/>
          <w:iCs w:val="false"/>
          <w:caps w:val="false"/>
          <w:smallCaps w:val="false"/>
          <w:color w:val="000000"/>
          <w:spacing w:val="0"/>
          <w:sz w:val="24"/>
          <w:szCs w:val="24"/>
          <w:u w:val="none"/>
          <w:lang w:val="en-US"/>
        </w:rPr>
        <w:t>0.17±0.20, p= 0.408; POST-</w:t>
      </w:r>
      <w:r>
        <w:rPr>
          <w:rStyle w:val="InternetLink"/>
          <w:rFonts w:eastAsia="Arial" w:cs="Arial" w:ascii="Arial" w:hAnsi="Arial"/>
          <w:b w:val="false"/>
          <w:bCs w:val="false"/>
          <w:i w:val="false"/>
          <w:iCs w:val="false"/>
          <w:caps w:val="false"/>
          <w:smallCaps w:val="false"/>
          <w:color w:val="000000"/>
          <w:spacing w:val="0"/>
          <w:sz w:val="24"/>
          <w:szCs w:val="24"/>
          <w:u w:val="none"/>
          <w:lang w:val="en-US"/>
        </w:rPr>
        <w:t>D</w:t>
      </w:r>
      <w:r>
        <w:rPr>
          <w:rStyle w:val="InternetLink"/>
          <w:rFonts w:eastAsia="Arial" w:cs="Arial" w:ascii="Arial" w:hAnsi="Arial"/>
          <w:b w:val="false"/>
          <w:bCs w:val="false"/>
          <w:i w:val="false"/>
          <w:iCs w:val="false"/>
          <w:caps w:val="false"/>
          <w:smallCaps w:val="false"/>
          <w:color w:val="000000"/>
          <w:spacing w:val="0"/>
          <w:sz w:val="24"/>
          <w:szCs w:val="24"/>
          <w:u w:val="none"/>
          <w:lang w:val="en-US"/>
        </w:rPr>
        <w:t xml:space="preserve">S &gt; 0: </w:t>
      </w:r>
      <w:r>
        <w:rPr>
          <w:rStyle w:val="InternetLink"/>
          <w:rFonts w:eastAsia="SimSun" w:cs="Lucida Sans" w:ascii="Arial" w:hAnsi="Arial"/>
          <w:b w:val="false"/>
          <w:bCs w:val="false"/>
          <w:i w:val="false"/>
          <w:iCs w:val="false"/>
          <w:caps w:val="false"/>
          <w:smallCaps w:val="false"/>
          <w:color w:val="000000"/>
          <w:spacing w:val="0"/>
          <w:sz w:val="24"/>
          <w:szCs w:val="24"/>
          <w:u w:val="none"/>
          <w:lang w:val="en-US"/>
        </w:rPr>
        <w:t xml:space="preserve">β±SE: </w:t>
      </w:r>
      <w:r>
        <w:rPr>
          <w:rStyle w:val="InternetLink"/>
          <w:rFonts w:eastAsia="Arial" w:cs="Arial" w:ascii="Arial" w:hAnsi="Arial"/>
          <w:b w:val="false"/>
          <w:bCs w:val="false"/>
          <w:i w:val="false"/>
          <w:iCs w:val="false"/>
          <w:caps w:val="false"/>
          <w:smallCaps w:val="false"/>
          <w:color w:val="000000"/>
          <w:spacing w:val="0"/>
          <w:sz w:val="24"/>
          <w:szCs w:val="24"/>
          <w:u w:val="none"/>
          <w:lang w:val="en-US"/>
        </w:rPr>
        <w:t>0.18±0.25, p= 0.480).</w:t>
      </w:r>
    </w:p>
    <w:p>
      <w:pPr>
        <w:pStyle w:val="Normal"/>
        <w:widowControl w:val="false"/>
        <w:bidi w:val="0"/>
        <w:spacing w:lineRule="auto" w:line="480" w:before="0" w:after="115"/>
        <w:jc w:val="both"/>
        <w:rPr/>
      </w:pPr>
      <w:r>
        <w:rPr>
          <w:rStyle w:val="InternetLink"/>
          <w:rFonts w:eastAsia="Arial" w:cs="Arial" w:ascii="Arial" w:hAnsi="Arial"/>
          <w:b/>
          <w:bCs/>
          <w:i w:val="false"/>
          <w:iCs w:val="false"/>
          <w:caps w:val="false"/>
          <w:smallCaps w:val="false"/>
          <w:color w:val="000000"/>
          <w:spacing w:val="0"/>
          <w:sz w:val="24"/>
          <w:szCs w:val="24"/>
          <w:u w:val="none"/>
          <w:lang w:val="en-US"/>
        </w:rPr>
        <w:t>3.5 ePRS – by – environment interaction effects on amygdalar and hippocampal volumes</w:t>
      </w:r>
    </w:p>
    <w:p>
      <w:pPr>
        <w:pStyle w:val="Normal"/>
        <w:widowControl w:val="false"/>
        <w:bidi w:val="0"/>
        <w:spacing w:lineRule="auto" w:line="480" w:before="0" w:after="240"/>
        <w:jc w:val="both"/>
        <w:rPr/>
      </w:pPr>
      <w:r>
        <w:rPr>
          <w:rStyle w:val="InternetLink"/>
          <w:rFonts w:eastAsia="Arial" w:cs="Arial" w:ascii="Arial" w:hAnsi="Arial"/>
          <w:b w:val="false"/>
          <w:bCs w:val="false"/>
          <w:i w:val="false"/>
          <w:iCs w:val="false"/>
          <w:caps w:val="false"/>
          <w:smallCaps w:val="false"/>
          <w:color w:val="000000"/>
          <w:spacing w:val="0"/>
          <w:sz w:val="24"/>
          <w:szCs w:val="24"/>
          <w:u w:val="none"/>
          <w:lang w:val="en-US"/>
        </w:rPr>
        <w:t xml:space="preserve">The GxExSex interaction effect on right hippocampal volumes stayed significant after including the control variable POST-DS (with and without correction for multiple comparisons), and after excluding mothers with CNS affecting medication and/or alcohol/illicit drug intake, but was reduced to non-significance in the subsample of infants with no asphyxia nor low </w:t>
      </w:r>
      <w:r>
        <w:rPr>
          <w:rStyle w:val="InternetLink"/>
          <w:rFonts w:eastAsia="Arial" w:cs="Arial" w:ascii="Arial" w:hAnsi="Arial"/>
          <w:b w:val="false"/>
          <w:bCs w:val="false"/>
          <w:i w:val="false"/>
          <w:iCs w:val="false"/>
          <w:caps w:val="false"/>
          <w:smallCaps w:val="false"/>
          <w:color w:val="000000"/>
          <w:spacing w:val="0"/>
          <w:sz w:val="24"/>
          <w:szCs w:val="24"/>
          <w:u w:val="none"/>
          <w:lang w:val="en-US"/>
        </w:rPr>
        <w:t>A</w:t>
      </w:r>
      <w:r>
        <w:rPr>
          <w:rStyle w:val="InternetLink"/>
          <w:rFonts w:eastAsia="Arial" w:cs="Arial" w:ascii="Arial" w:hAnsi="Arial"/>
          <w:b w:val="false"/>
          <w:bCs w:val="false"/>
          <w:i w:val="false"/>
          <w:iCs w:val="false"/>
          <w:caps w:val="false"/>
          <w:smallCaps w:val="false"/>
          <w:color w:val="000000"/>
          <w:spacing w:val="0"/>
          <w:sz w:val="24"/>
          <w:szCs w:val="24"/>
          <w:u w:val="none"/>
          <w:lang w:val="en-US"/>
        </w:rPr>
        <w:t>pgar scores (p= 0.302). in the latter subsample, significant GxE interaction effects on right (</w:t>
      </w:r>
      <w:r>
        <w:rPr>
          <w:rStyle w:val="InternetLink"/>
          <w:rFonts w:eastAsia="SimSun" w:cs="Lucida Sans" w:ascii="Arial" w:hAnsi="Arial"/>
          <w:b w:val="false"/>
          <w:bCs w:val="false"/>
          <w:i w:val="false"/>
          <w:iCs w:val="false"/>
          <w:caps w:val="false"/>
          <w:smallCaps w:val="false"/>
          <w:color w:val="000000"/>
          <w:spacing w:val="0"/>
          <w:sz w:val="24"/>
          <w:szCs w:val="24"/>
          <w:u w:val="none"/>
          <w:lang w:val="en-US"/>
        </w:rPr>
        <w:t>β±SE: 15</w:t>
      </w:r>
      <w:r>
        <w:rPr>
          <w:rStyle w:val="InternetLink"/>
          <w:rFonts w:eastAsia="Arial" w:cs="Arial" w:ascii="Arial" w:hAnsi="Arial"/>
          <w:b w:val="false"/>
          <w:bCs w:val="false"/>
          <w:i w:val="false"/>
          <w:iCs w:val="false"/>
          <w:caps w:val="false"/>
          <w:smallCaps w:val="false"/>
          <w:color w:val="000000"/>
          <w:spacing w:val="0"/>
          <w:sz w:val="24"/>
          <w:szCs w:val="24"/>
          <w:u w:val="none"/>
          <w:lang w:val="en-US"/>
        </w:rPr>
        <w:t>.63±7.27, p= 0.035) and left hippocampal volumes (</w:t>
      </w:r>
      <w:r>
        <w:rPr>
          <w:rStyle w:val="InternetLink"/>
          <w:rFonts w:eastAsia="SimSun" w:cs="Lucida Sans" w:ascii="Arial" w:hAnsi="Arial"/>
          <w:b w:val="false"/>
          <w:bCs w:val="false"/>
          <w:i w:val="false"/>
          <w:iCs w:val="false"/>
          <w:caps w:val="false"/>
          <w:smallCaps w:val="false"/>
          <w:color w:val="000000"/>
          <w:spacing w:val="0"/>
          <w:sz w:val="24"/>
          <w:szCs w:val="24"/>
          <w:u w:val="none"/>
          <w:lang w:val="en-US"/>
        </w:rPr>
        <w:t>β±SE: 18.79</w:t>
      </w:r>
      <w:r>
        <w:rPr>
          <w:rStyle w:val="InternetLink"/>
          <w:rFonts w:eastAsia="Arial" w:cs="Arial" w:ascii="Arial" w:hAnsi="Arial"/>
          <w:b w:val="false"/>
          <w:bCs w:val="false"/>
          <w:i w:val="false"/>
          <w:iCs w:val="false"/>
          <w:caps w:val="false"/>
          <w:smallCaps w:val="false"/>
          <w:color w:val="000000"/>
          <w:spacing w:val="0"/>
          <w:sz w:val="24"/>
          <w:szCs w:val="24"/>
          <w:u w:val="none"/>
          <w:lang w:val="en-US"/>
        </w:rPr>
        <w:t xml:space="preserve">±7.42, p= 0.013) emerged, independent of sex. Of note, in this subsample, the number of female infants was lower than that of male infants [girls: n= 37 (41.1%), boys: n= 53]. The </w:t>
      </w:r>
      <w:r>
        <w:rPr>
          <w:rStyle w:val="InternetLink"/>
          <w:rFonts w:eastAsia="Arial" w:cs="Arial" w:ascii="Arial" w:hAnsi="Arial"/>
          <w:b w:val="false"/>
          <w:bCs w:val="false"/>
          <w:i/>
          <w:iCs/>
          <w:caps w:val="false"/>
          <w:smallCaps w:val="false"/>
          <w:color w:val="000000"/>
          <w:spacing w:val="0"/>
          <w:sz w:val="24"/>
          <w:szCs w:val="24"/>
          <w:u w:val="none"/>
          <w:lang w:val="en-US"/>
        </w:rPr>
        <w:t>post hoc</w:t>
      </w:r>
      <w:r>
        <w:rPr>
          <w:rStyle w:val="InternetLink"/>
          <w:rFonts w:eastAsia="Arial" w:cs="Arial" w:ascii="Arial" w:hAnsi="Arial"/>
          <w:b w:val="false"/>
          <w:bCs w:val="false"/>
          <w:i w:val="false"/>
          <w:iCs w:val="false"/>
          <w:caps w:val="false"/>
          <w:smallCaps w:val="false"/>
          <w:color w:val="000000"/>
          <w:spacing w:val="0"/>
          <w:sz w:val="24"/>
          <w:szCs w:val="24"/>
          <w:u w:val="none"/>
          <w:lang w:val="en-US"/>
        </w:rPr>
        <w:t xml:space="preserve"> statistical analysis with the control variables as covariates yielded significant results (p= 0.001).</w:t>
      </w:r>
    </w:p>
    <w:p>
      <w:pPr>
        <w:pStyle w:val="Normal"/>
        <w:widowControl w:val="false"/>
        <w:bidi w:val="0"/>
        <w:spacing w:lineRule="auto" w:line="480" w:before="0" w:after="240"/>
        <w:jc w:val="both"/>
        <w:rPr>
          <w:rStyle w:val="InternetLink"/>
          <w:rFonts w:ascii="Arial" w:hAnsi="Arial" w:eastAsia="Arial" w:cs="Arial"/>
          <w:b/>
          <w:b/>
          <w:bCs/>
          <w:i w:val="false"/>
          <w:i w:val="false"/>
          <w:iCs w:val="false"/>
          <w:caps w:val="false"/>
          <w:smallCaps w:val="false"/>
          <w:color w:val="000000"/>
          <w:spacing w:val="0"/>
          <w:sz w:val="22"/>
          <w:szCs w:val="22"/>
          <w:u w:val="none"/>
          <w:lang w:val="en-US"/>
        </w:rPr>
      </w:pPr>
      <w:r>
        <w:rPr/>
      </w:r>
      <w:r>
        <w:br w:type="page"/>
      </w:r>
    </w:p>
    <w:p>
      <w:pPr>
        <w:pStyle w:val="Normal"/>
        <w:widowControl w:val="false"/>
        <w:bidi w:val="0"/>
        <w:spacing w:lineRule="auto" w:line="480" w:before="0" w:after="240"/>
        <w:jc w:val="both"/>
        <w:rPr/>
      </w:pPr>
      <w:r>
        <w:rPr>
          <w:rStyle w:val="InternetLink"/>
          <w:rFonts w:eastAsia="Arial" w:cs="Arial" w:ascii="Arial" w:hAnsi="Arial"/>
          <w:b/>
          <w:bCs/>
          <w:i w:val="false"/>
          <w:iCs w:val="false"/>
          <w:caps w:val="false"/>
          <w:smallCaps w:val="false"/>
          <w:color w:val="000000"/>
          <w:spacing w:val="0"/>
          <w:sz w:val="24"/>
          <w:szCs w:val="24"/>
          <w:u w:val="none"/>
          <w:lang w:val="en-US"/>
        </w:rPr>
        <w:t>Table S</w:t>
      </w:r>
      <w:r>
        <w:rPr>
          <w:rStyle w:val="InternetLink"/>
          <w:rFonts w:eastAsia="Arial" w:cs="Arial" w:ascii="Arial" w:hAnsi="Arial"/>
          <w:b/>
          <w:bCs/>
          <w:i w:val="false"/>
          <w:iCs w:val="false"/>
          <w:caps w:val="false"/>
          <w:smallCaps w:val="false"/>
          <w:color w:val="000000"/>
          <w:spacing w:val="0"/>
          <w:sz w:val="24"/>
          <w:szCs w:val="24"/>
          <w:u w:val="none"/>
          <w:lang w:val="en-US"/>
        </w:rPr>
        <w:t>I-</w:t>
      </w:r>
      <w:r>
        <w:rPr>
          <w:rStyle w:val="InternetLink"/>
          <w:rFonts w:eastAsia="Arial" w:cs="Arial" w:ascii="Arial" w:hAnsi="Arial"/>
          <w:b/>
          <w:bCs/>
          <w:i w:val="false"/>
          <w:iCs w:val="false"/>
          <w:caps w:val="false"/>
          <w:smallCaps w:val="false"/>
          <w:color w:val="000000"/>
          <w:spacing w:val="0"/>
          <w:sz w:val="24"/>
          <w:szCs w:val="24"/>
          <w:u w:val="none"/>
          <w:lang w:val="en-US"/>
        </w:rPr>
        <w:t xml:space="preserve">1: </w:t>
      </w:r>
      <w:r>
        <w:rPr>
          <w:rStyle w:val="InternetLink"/>
          <w:rFonts w:eastAsia="Arial" w:cs="Arial" w:ascii="Arial" w:hAnsi="Arial"/>
          <w:b w:val="false"/>
          <w:bCs w:val="false"/>
          <w:i w:val="false"/>
          <w:iCs w:val="false"/>
          <w:caps w:val="false"/>
          <w:smallCaps w:val="false"/>
          <w:color w:val="000000"/>
          <w:spacing w:val="0"/>
          <w:sz w:val="24"/>
          <w:szCs w:val="24"/>
          <w:u w:val="none"/>
          <w:lang w:val="en-US"/>
        </w:rPr>
        <w:t>Descriptive information for the child behavior and the neuroimaging samples. Mean values (M) with standard deviations (SD) and ranges, or the frequencies are given. In the right column, the p-values of the differences between the samples (boys and girls combined), assessed with t-tests or chi-squared tests, are presented.</w:t>
      </w:r>
    </w:p>
    <w:tbl>
      <w:tblPr>
        <w:tblW w:w="9645"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Pr>
      <w:tblGrid>
        <w:gridCol w:w="1657"/>
        <w:gridCol w:w="1133"/>
        <w:gridCol w:w="1260"/>
        <w:gridCol w:w="1260"/>
        <w:gridCol w:w="2"/>
        <w:gridCol w:w="1170"/>
        <w:gridCol w:w="1170"/>
        <w:gridCol w:w="1169"/>
        <w:gridCol w:w="1"/>
        <w:gridCol w:w="821"/>
      </w:tblGrid>
      <w:tr>
        <w:trPr/>
        <w:tc>
          <w:tcPr>
            <w:tcW w:w="1657"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r>
          </w:p>
        </w:tc>
        <w:tc>
          <w:tcPr>
            <w:tcW w:w="3653" w:type="dxa"/>
            <w:gridSpan w:val="3"/>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Child behavior sample (n= 1568)</w:t>
            </w:r>
          </w:p>
        </w:tc>
        <w:tc>
          <w:tcPr>
            <w:tcW w:w="3511" w:type="dxa"/>
            <w:gridSpan w:val="4"/>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Neuroimaging sample (n=122)</w:t>
            </w:r>
          </w:p>
        </w:tc>
        <w:tc>
          <w:tcPr>
            <w:tcW w:w="82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both"/>
              <w:rPr>
                <w:rFonts w:ascii="Arial" w:hAnsi="Arial" w:eastAsia="SimSun" w:cs="Lucida Sans"/>
                <w:sz w:val="22"/>
                <w:szCs w:val="22"/>
              </w:rPr>
            </w:pPr>
            <w:r>
              <w:rPr>
                <w:rFonts w:eastAsia="SimSun" w:cs="Lucida Sans" w:ascii="Arial" w:hAnsi="Arial"/>
                <w:sz w:val="22"/>
                <w:szCs w:val="22"/>
              </w:rPr>
              <w:t>Δ</w:t>
            </w:r>
          </w:p>
          <w:p>
            <w:pPr>
              <w:pStyle w:val="TableContents"/>
              <w:jc w:val="both"/>
              <w:rPr>
                <w:rFonts w:ascii="Arial" w:hAnsi="Arial"/>
                <w:sz w:val="20"/>
                <w:szCs w:val="20"/>
              </w:rPr>
            </w:pPr>
            <w:r>
              <w:rPr>
                <w:rFonts w:ascii="Arial" w:hAnsi="Arial"/>
                <w:sz w:val="20"/>
                <w:szCs w:val="20"/>
              </w:rPr>
              <w:t>Sample</w:t>
            </w:r>
          </w:p>
        </w:tc>
      </w:tr>
      <w:tr>
        <w:trPr/>
        <w:tc>
          <w:tcPr>
            <w:tcW w:w="1657"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M±SD (range); frequency (no/yes)</w:t>
            </w:r>
          </w:p>
        </w:tc>
        <w:tc>
          <w:tcPr>
            <w:tcW w:w="1133"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Whole sample</w:t>
            </w:r>
          </w:p>
        </w:tc>
        <w:tc>
          <w:tcPr>
            <w:tcW w:w="126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Boys</w:t>
            </w:r>
          </w:p>
        </w:tc>
        <w:tc>
          <w:tcPr>
            <w:tcW w:w="1262"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Girls</w:t>
            </w:r>
          </w:p>
        </w:tc>
        <w:tc>
          <w:tcPr>
            <w:tcW w:w="117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Whole sample</w:t>
            </w:r>
          </w:p>
        </w:tc>
        <w:tc>
          <w:tcPr>
            <w:tcW w:w="117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Boys</w:t>
            </w:r>
          </w:p>
        </w:tc>
        <w:tc>
          <w:tcPr>
            <w:tcW w:w="1170"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Girls</w:t>
            </w:r>
          </w:p>
        </w:tc>
        <w:tc>
          <w:tcPr>
            <w:tcW w:w="8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both"/>
              <w:rPr>
                <w:rFonts w:ascii="Arial" w:hAnsi="Arial"/>
                <w:sz w:val="22"/>
                <w:szCs w:val="22"/>
              </w:rPr>
            </w:pPr>
            <w:r>
              <w:rPr>
                <w:rFonts w:ascii="Arial" w:hAnsi="Arial"/>
                <w:sz w:val="22"/>
                <w:szCs w:val="22"/>
              </w:rPr>
              <w:t>p-value</w:t>
            </w:r>
          </w:p>
        </w:tc>
      </w:tr>
      <w:tr>
        <w:trPr/>
        <w:tc>
          <w:tcPr>
            <w:tcW w:w="1657"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PRE-AS</w:t>
            </w:r>
          </w:p>
        </w:tc>
        <w:tc>
          <w:tcPr>
            <w:tcW w:w="1133"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1.53±1.43</w:t>
            </w:r>
          </w:p>
          <w:p>
            <w:pPr>
              <w:pStyle w:val="TableContents"/>
              <w:jc w:val="both"/>
              <w:rPr>
                <w:rFonts w:ascii="Arial" w:hAnsi="Arial"/>
                <w:sz w:val="22"/>
                <w:szCs w:val="22"/>
              </w:rPr>
            </w:pPr>
            <w:r>
              <w:rPr>
                <w:rFonts w:ascii="Arial" w:hAnsi="Arial"/>
                <w:sz w:val="22"/>
                <w:szCs w:val="22"/>
              </w:rPr>
              <w:t>(0-9)</w:t>
            </w:r>
          </w:p>
        </w:tc>
        <w:tc>
          <w:tcPr>
            <w:tcW w:w="126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1.58±1.46 (0-9)</w:t>
            </w:r>
          </w:p>
        </w:tc>
        <w:tc>
          <w:tcPr>
            <w:tcW w:w="1262"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1.47±1.40 (0-7)</w:t>
            </w:r>
          </w:p>
        </w:tc>
        <w:tc>
          <w:tcPr>
            <w:tcW w:w="117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1.71±1.72 (0-7)</w:t>
            </w:r>
          </w:p>
        </w:tc>
        <w:tc>
          <w:tcPr>
            <w:tcW w:w="117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1.71±1.68</w:t>
            </w:r>
          </w:p>
          <w:p>
            <w:pPr>
              <w:pStyle w:val="TableContents"/>
              <w:jc w:val="both"/>
              <w:rPr>
                <w:rFonts w:ascii="Arial" w:hAnsi="Arial"/>
                <w:sz w:val="22"/>
                <w:szCs w:val="22"/>
              </w:rPr>
            </w:pPr>
            <w:r>
              <w:rPr>
                <w:rFonts w:ascii="Arial" w:hAnsi="Arial"/>
                <w:sz w:val="22"/>
                <w:szCs w:val="22"/>
              </w:rPr>
              <w:t>(0-6)</w:t>
            </w:r>
          </w:p>
        </w:tc>
        <w:tc>
          <w:tcPr>
            <w:tcW w:w="1170"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1.72±1.79</w:t>
            </w:r>
          </w:p>
          <w:p>
            <w:pPr>
              <w:pStyle w:val="TableContents"/>
              <w:jc w:val="both"/>
              <w:rPr>
                <w:rFonts w:ascii="Arial" w:hAnsi="Arial"/>
                <w:sz w:val="22"/>
                <w:szCs w:val="22"/>
              </w:rPr>
            </w:pPr>
            <w:r>
              <w:rPr>
                <w:rFonts w:ascii="Arial" w:hAnsi="Arial"/>
                <w:sz w:val="22"/>
                <w:szCs w:val="22"/>
              </w:rPr>
              <w:t>(0-7)</w:t>
            </w:r>
          </w:p>
        </w:tc>
        <w:tc>
          <w:tcPr>
            <w:tcW w:w="8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widowControl w:val="false"/>
              <w:bidi w:val="0"/>
              <w:spacing w:lineRule="auto" w:line="480" w:before="0" w:after="240"/>
              <w:jc w:val="both"/>
              <w:rPr>
                <w:rFonts w:ascii="Arial" w:hAnsi="Arial" w:cs="Arial"/>
                <w:b/>
                <w:b/>
                <w:bCs/>
                <w:sz w:val="22"/>
                <w:szCs w:val="22"/>
              </w:rPr>
            </w:pPr>
            <w:r>
              <w:rPr>
                <w:rStyle w:val="InternetLink"/>
                <w:rFonts w:eastAsia="Arial" w:cs="Arial" w:ascii="Arial" w:hAnsi="Arial"/>
                <w:b w:val="false"/>
                <w:bCs w:val="false"/>
                <w:i w:val="false"/>
                <w:iCs w:val="false"/>
                <w:caps w:val="false"/>
                <w:smallCaps w:val="false"/>
                <w:color w:val="000000"/>
                <w:spacing w:val="0"/>
                <w:sz w:val="24"/>
                <w:szCs w:val="24"/>
                <w:u w:val="none"/>
                <w:lang w:val="en-US"/>
              </w:rPr>
              <w:t>0.185</w:t>
            </w:r>
          </w:p>
        </w:tc>
      </w:tr>
      <w:tr>
        <w:trPr/>
        <w:tc>
          <w:tcPr>
            <w:tcW w:w="1657"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SCL-pre</w:t>
            </w:r>
          </w:p>
        </w:tc>
        <w:tc>
          <w:tcPr>
            <w:tcW w:w="1133"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1354/214</w:t>
            </w:r>
          </w:p>
          <w:p>
            <w:pPr>
              <w:pStyle w:val="TableContents"/>
              <w:jc w:val="both"/>
              <w:rPr>
                <w:rFonts w:ascii="Arial" w:hAnsi="Arial"/>
                <w:color w:val="808080"/>
                <w:sz w:val="20"/>
                <w:szCs w:val="20"/>
              </w:rPr>
            </w:pPr>
            <w:r>
              <w:rPr>
                <w:rFonts w:ascii="Arial" w:hAnsi="Arial"/>
                <w:color w:val="808080"/>
                <w:sz w:val="20"/>
                <w:szCs w:val="20"/>
              </w:rPr>
              <w:t>(</w:t>
            </w:r>
            <w:r>
              <w:rPr>
                <w:rFonts w:ascii="Arial" w:hAnsi="Arial"/>
                <w:i/>
                <w:iCs/>
                <w:color w:val="808080"/>
                <w:sz w:val="20"/>
                <w:szCs w:val="20"/>
              </w:rPr>
              <w:t>mis:</w:t>
            </w:r>
            <w:r>
              <w:rPr>
                <w:rFonts w:ascii="Arial" w:hAnsi="Arial"/>
                <w:color w:val="808080"/>
                <w:sz w:val="20"/>
                <w:szCs w:val="20"/>
              </w:rPr>
              <w:t xml:space="preserve"> 147)</w:t>
            </w:r>
          </w:p>
        </w:tc>
        <w:tc>
          <w:tcPr>
            <w:tcW w:w="126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733/125</w:t>
            </w:r>
          </w:p>
          <w:p>
            <w:pPr>
              <w:pStyle w:val="TableContents"/>
              <w:jc w:val="both"/>
              <w:rPr>
                <w:rFonts w:ascii="Arial" w:hAnsi="Arial"/>
                <w:color w:val="808080"/>
                <w:sz w:val="20"/>
                <w:szCs w:val="20"/>
              </w:rPr>
            </w:pPr>
            <w:r>
              <w:rPr>
                <w:rFonts w:ascii="Arial" w:hAnsi="Arial"/>
                <w:color w:val="808080"/>
                <w:sz w:val="20"/>
                <w:szCs w:val="20"/>
              </w:rPr>
              <w:t>(</w:t>
            </w:r>
            <w:r>
              <w:rPr>
                <w:rFonts w:ascii="Arial" w:hAnsi="Arial"/>
                <w:i/>
                <w:iCs/>
                <w:color w:val="808080"/>
                <w:sz w:val="20"/>
                <w:szCs w:val="20"/>
              </w:rPr>
              <w:t>mis: 84</w:t>
            </w:r>
            <w:r>
              <w:rPr>
                <w:rFonts w:ascii="Arial" w:hAnsi="Arial"/>
                <w:color w:val="808080"/>
                <w:sz w:val="20"/>
                <w:szCs w:val="20"/>
              </w:rPr>
              <w:t>)</w:t>
            </w:r>
          </w:p>
        </w:tc>
        <w:tc>
          <w:tcPr>
            <w:tcW w:w="1262"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621/89</w:t>
            </w:r>
          </w:p>
          <w:p>
            <w:pPr>
              <w:pStyle w:val="TableContents"/>
              <w:jc w:val="both"/>
              <w:rPr>
                <w:rFonts w:ascii="Arial" w:hAnsi="Arial"/>
                <w:color w:val="808080"/>
                <w:sz w:val="20"/>
                <w:szCs w:val="20"/>
              </w:rPr>
            </w:pPr>
            <w:r>
              <w:rPr>
                <w:rFonts w:ascii="Arial" w:hAnsi="Arial"/>
                <w:color w:val="808080"/>
                <w:sz w:val="20"/>
                <w:szCs w:val="20"/>
              </w:rPr>
              <w:t>(</w:t>
            </w:r>
            <w:r>
              <w:rPr>
                <w:rFonts w:ascii="Arial" w:hAnsi="Arial"/>
                <w:i/>
                <w:iCs/>
                <w:color w:val="808080"/>
                <w:sz w:val="20"/>
                <w:szCs w:val="20"/>
              </w:rPr>
              <w:t>mis: 63</w:t>
            </w:r>
            <w:r>
              <w:rPr>
                <w:rFonts w:ascii="Arial" w:hAnsi="Arial"/>
                <w:color w:val="808080"/>
                <w:sz w:val="20"/>
                <w:szCs w:val="20"/>
              </w:rPr>
              <w:t>)</w:t>
            </w:r>
          </w:p>
        </w:tc>
        <w:tc>
          <w:tcPr>
            <w:tcW w:w="117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93/29</w:t>
            </w:r>
          </w:p>
          <w:p>
            <w:pPr>
              <w:pStyle w:val="TableContents"/>
              <w:jc w:val="both"/>
              <w:rPr>
                <w:rFonts w:ascii="Arial" w:hAnsi="Arial"/>
                <w:color w:val="808080"/>
                <w:sz w:val="20"/>
                <w:szCs w:val="20"/>
              </w:rPr>
            </w:pPr>
            <w:r>
              <w:rPr>
                <w:rFonts w:ascii="Arial" w:hAnsi="Arial"/>
                <w:color w:val="808080"/>
                <w:sz w:val="20"/>
                <w:szCs w:val="20"/>
              </w:rPr>
              <w:t>(</w:t>
            </w:r>
            <w:r>
              <w:rPr>
                <w:rFonts w:ascii="Arial" w:hAnsi="Arial"/>
                <w:i/>
                <w:iCs/>
                <w:color w:val="808080"/>
                <w:sz w:val="20"/>
                <w:szCs w:val="20"/>
              </w:rPr>
              <w:t>mis: 3</w:t>
            </w:r>
            <w:r>
              <w:rPr>
                <w:rFonts w:ascii="Arial" w:hAnsi="Arial"/>
                <w:color w:val="808080"/>
                <w:sz w:val="20"/>
                <w:szCs w:val="20"/>
              </w:rPr>
              <w:t>)</w:t>
            </w:r>
          </w:p>
        </w:tc>
        <w:tc>
          <w:tcPr>
            <w:tcW w:w="117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53/16</w:t>
            </w:r>
          </w:p>
          <w:p>
            <w:pPr>
              <w:pStyle w:val="TableContents"/>
              <w:jc w:val="both"/>
              <w:rPr>
                <w:rFonts w:ascii="Arial" w:hAnsi="Arial"/>
                <w:color w:val="808080"/>
                <w:sz w:val="20"/>
                <w:szCs w:val="20"/>
              </w:rPr>
            </w:pPr>
            <w:r>
              <w:rPr>
                <w:rFonts w:ascii="Arial" w:hAnsi="Arial"/>
                <w:color w:val="808080"/>
                <w:sz w:val="20"/>
                <w:szCs w:val="20"/>
              </w:rPr>
              <w:t>(</w:t>
            </w:r>
            <w:r>
              <w:rPr>
                <w:rFonts w:ascii="Arial" w:hAnsi="Arial"/>
                <w:i/>
                <w:iCs/>
                <w:color w:val="808080"/>
                <w:sz w:val="20"/>
                <w:szCs w:val="20"/>
              </w:rPr>
              <w:t>mis: 2</w:t>
            </w:r>
            <w:r>
              <w:rPr>
                <w:rFonts w:ascii="Arial" w:hAnsi="Arial"/>
                <w:color w:val="808080"/>
                <w:sz w:val="20"/>
                <w:szCs w:val="20"/>
              </w:rPr>
              <w:t>)</w:t>
            </w:r>
          </w:p>
        </w:tc>
        <w:tc>
          <w:tcPr>
            <w:tcW w:w="1170"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40/13</w:t>
            </w:r>
          </w:p>
          <w:p>
            <w:pPr>
              <w:pStyle w:val="TableContents"/>
              <w:jc w:val="both"/>
              <w:rPr>
                <w:rFonts w:ascii="Arial" w:hAnsi="Arial"/>
                <w:color w:val="808080"/>
                <w:sz w:val="20"/>
                <w:szCs w:val="20"/>
              </w:rPr>
            </w:pPr>
            <w:r>
              <w:rPr>
                <w:rFonts w:ascii="Arial" w:hAnsi="Arial"/>
                <w:color w:val="808080"/>
                <w:sz w:val="20"/>
                <w:szCs w:val="20"/>
              </w:rPr>
              <w:t>(</w:t>
            </w:r>
            <w:r>
              <w:rPr>
                <w:rFonts w:ascii="Arial" w:hAnsi="Arial"/>
                <w:i/>
                <w:iCs/>
                <w:color w:val="808080"/>
                <w:sz w:val="20"/>
                <w:szCs w:val="20"/>
              </w:rPr>
              <w:t>mis: 1</w:t>
            </w:r>
            <w:r>
              <w:rPr>
                <w:rFonts w:ascii="Arial" w:hAnsi="Arial"/>
                <w:color w:val="808080"/>
                <w:sz w:val="20"/>
                <w:szCs w:val="20"/>
              </w:rPr>
              <w:t>)</w:t>
            </w:r>
          </w:p>
        </w:tc>
        <w:tc>
          <w:tcPr>
            <w:tcW w:w="8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both"/>
              <w:rPr>
                <w:rFonts w:ascii="Arial" w:hAnsi="Arial"/>
                <w:sz w:val="22"/>
                <w:szCs w:val="22"/>
              </w:rPr>
            </w:pPr>
            <w:r>
              <w:rPr>
                <w:rFonts w:ascii="Arial" w:hAnsi="Arial"/>
                <w:sz w:val="22"/>
                <w:szCs w:val="22"/>
              </w:rPr>
              <w:t>0.002</w:t>
            </w:r>
          </w:p>
        </w:tc>
      </w:tr>
      <w:tr>
        <w:trPr/>
        <w:tc>
          <w:tcPr>
            <w:tcW w:w="1657"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PRAQ</w:t>
            </w:r>
          </w:p>
        </w:tc>
        <w:tc>
          <w:tcPr>
            <w:tcW w:w="1133"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1425/143</w:t>
            </w:r>
          </w:p>
          <w:p>
            <w:pPr>
              <w:pStyle w:val="TableContents"/>
              <w:jc w:val="both"/>
              <w:rPr>
                <w:rFonts w:ascii="Arial" w:hAnsi="Arial"/>
                <w:color w:val="808080"/>
                <w:sz w:val="20"/>
                <w:szCs w:val="20"/>
              </w:rPr>
            </w:pPr>
            <w:r>
              <w:rPr>
                <w:rFonts w:ascii="Arial" w:hAnsi="Arial"/>
                <w:color w:val="808080"/>
                <w:sz w:val="20"/>
                <w:szCs w:val="20"/>
              </w:rPr>
              <w:t>(</w:t>
            </w:r>
            <w:r>
              <w:rPr>
                <w:rFonts w:ascii="Arial" w:hAnsi="Arial"/>
                <w:i/>
                <w:iCs/>
                <w:color w:val="808080"/>
                <w:sz w:val="20"/>
                <w:szCs w:val="20"/>
              </w:rPr>
              <w:t>mis:</w:t>
            </w:r>
            <w:r>
              <w:rPr>
                <w:rFonts w:ascii="Arial" w:hAnsi="Arial"/>
                <w:color w:val="808080"/>
                <w:sz w:val="20"/>
                <w:szCs w:val="20"/>
              </w:rPr>
              <w:t xml:space="preserve"> 114)</w:t>
            </w:r>
          </w:p>
        </w:tc>
        <w:tc>
          <w:tcPr>
            <w:tcW w:w="126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781/77</w:t>
            </w:r>
          </w:p>
          <w:p>
            <w:pPr>
              <w:pStyle w:val="TableContents"/>
              <w:jc w:val="both"/>
              <w:rPr>
                <w:rFonts w:ascii="Arial" w:hAnsi="Arial"/>
                <w:color w:val="808080"/>
                <w:sz w:val="20"/>
                <w:szCs w:val="20"/>
              </w:rPr>
            </w:pPr>
            <w:r>
              <w:rPr>
                <w:rFonts w:ascii="Arial" w:hAnsi="Arial"/>
                <w:color w:val="808080"/>
                <w:sz w:val="20"/>
                <w:szCs w:val="20"/>
              </w:rPr>
              <w:t>(</w:t>
            </w:r>
            <w:r>
              <w:rPr>
                <w:rFonts w:ascii="Arial" w:hAnsi="Arial"/>
                <w:i/>
                <w:iCs/>
                <w:color w:val="808080"/>
                <w:sz w:val="20"/>
                <w:szCs w:val="20"/>
              </w:rPr>
              <w:t>mis: 67</w:t>
            </w:r>
            <w:r>
              <w:rPr>
                <w:rFonts w:ascii="Arial" w:hAnsi="Arial"/>
                <w:color w:val="808080"/>
                <w:sz w:val="20"/>
                <w:szCs w:val="20"/>
              </w:rPr>
              <w:t>)</w:t>
            </w:r>
          </w:p>
        </w:tc>
        <w:tc>
          <w:tcPr>
            <w:tcW w:w="1262"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644/66</w:t>
            </w:r>
          </w:p>
          <w:p>
            <w:pPr>
              <w:pStyle w:val="TableContents"/>
              <w:jc w:val="both"/>
              <w:rPr>
                <w:rFonts w:ascii="Arial" w:hAnsi="Arial"/>
                <w:color w:val="808080"/>
                <w:sz w:val="20"/>
                <w:szCs w:val="20"/>
              </w:rPr>
            </w:pPr>
            <w:r>
              <w:rPr>
                <w:rFonts w:ascii="Arial" w:hAnsi="Arial"/>
                <w:color w:val="808080"/>
                <w:sz w:val="20"/>
                <w:szCs w:val="20"/>
              </w:rPr>
              <w:t>(</w:t>
            </w:r>
            <w:r>
              <w:rPr>
                <w:rFonts w:ascii="Arial" w:hAnsi="Arial"/>
                <w:i/>
                <w:iCs/>
                <w:color w:val="808080"/>
                <w:sz w:val="20"/>
                <w:szCs w:val="20"/>
              </w:rPr>
              <w:t>mis: 47</w:t>
            </w:r>
            <w:r>
              <w:rPr>
                <w:rFonts w:ascii="Arial" w:hAnsi="Arial"/>
                <w:color w:val="808080"/>
                <w:sz w:val="20"/>
                <w:szCs w:val="20"/>
              </w:rPr>
              <w:t>)</w:t>
            </w:r>
          </w:p>
        </w:tc>
        <w:tc>
          <w:tcPr>
            <w:tcW w:w="117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99/23</w:t>
            </w:r>
          </w:p>
          <w:p>
            <w:pPr>
              <w:pStyle w:val="TableContents"/>
              <w:jc w:val="both"/>
              <w:rPr>
                <w:rFonts w:ascii="Arial" w:hAnsi="Arial"/>
                <w:color w:val="808080"/>
                <w:sz w:val="20"/>
                <w:szCs w:val="20"/>
              </w:rPr>
            </w:pPr>
            <w:r>
              <w:rPr>
                <w:rFonts w:ascii="Arial" w:hAnsi="Arial"/>
                <w:color w:val="808080"/>
                <w:sz w:val="20"/>
                <w:szCs w:val="20"/>
              </w:rPr>
              <w:t>(</w:t>
            </w:r>
            <w:r>
              <w:rPr>
                <w:rFonts w:ascii="Arial" w:hAnsi="Arial"/>
                <w:i/>
                <w:iCs/>
                <w:color w:val="808080"/>
                <w:sz w:val="20"/>
                <w:szCs w:val="20"/>
              </w:rPr>
              <w:t>mis: 4</w:t>
            </w:r>
            <w:r>
              <w:rPr>
                <w:rFonts w:ascii="Arial" w:hAnsi="Arial"/>
                <w:color w:val="808080"/>
                <w:sz w:val="20"/>
                <w:szCs w:val="20"/>
              </w:rPr>
              <w:t>)</w:t>
            </w:r>
          </w:p>
        </w:tc>
        <w:tc>
          <w:tcPr>
            <w:tcW w:w="117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55/14</w:t>
            </w:r>
          </w:p>
          <w:p>
            <w:pPr>
              <w:pStyle w:val="TableContents"/>
              <w:jc w:val="both"/>
              <w:rPr>
                <w:rFonts w:ascii="Arial" w:hAnsi="Arial"/>
                <w:color w:val="808080"/>
                <w:sz w:val="20"/>
                <w:szCs w:val="20"/>
              </w:rPr>
            </w:pPr>
            <w:r>
              <w:rPr>
                <w:rFonts w:ascii="Arial" w:hAnsi="Arial"/>
                <w:color w:val="808080"/>
                <w:sz w:val="20"/>
                <w:szCs w:val="20"/>
              </w:rPr>
              <w:t>(</w:t>
            </w:r>
            <w:r>
              <w:rPr>
                <w:rFonts w:ascii="Arial" w:hAnsi="Arial"/>
                <w:i/>
                <w:iCs/>
                <w:color w:val="808080"/>
                <w:sz w:val="20"/>
                <w:szCs w:val="20"/>
              </w:rPr>
              <w:t>mis: 3</w:t>
            </w:r>
            <w:r>
              <w:rPr>
                <w:rFonts w:ascii="Arial" w:hAnsi="Arial"/>
                <w:color w:val="808080"/>
                <w:sz w:val="20"/>
                <w:szCs w:val="20"/>
              </w:rPr>
              <w:t>)</w:t>
            </w:r>
          </w:p>
        </w:tc>
        <w:tc>
          <w:tcPr>
            <w:tcW w:w="1170"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44/9</w:t>
            </w:r>
          </w:p>
          <w:p>
            <w:pPr>
              <w:pStyle w:val="TableContents"/>
              <w:jc w:val="both"/>
              <w:rPr>
                <w:rFonts w:ascii="Arial" w:hAnsi="Arial"/>
                <w:color w:val="808080"/>
                <w:sz w:val="20"/>
                <w:szCs w:val="20"/>
              </w:rPr>
            </w:pPr>
            <w:r>
              <w:rPr>
                <w:rFonts w:ascii="Arial" w:hAnsi="Arial"/>
                <w:color w:val="808080"/>
                <w:sz w:val="20"/>
                <w:szCs w:val="20"/>
              </w:rPr>
              <w:t>(</w:t>
            </w:r>
            <w:r>
              <w:rPr>
                <w:rFonts w:ascii="Arial" w:hAnsi="Arial"/>
                <w:i/>
                <w:iCs/>
                <w:color w:val="808080"/>
                <w:sz w:val="20"/>
                <w:szCs w:val="20"/>
              </w:rPr>
              <w:t>mis: 1</w:t>
            </w:r>
            <w:r>
              <w:rPr>
                <w:rFonts w:ascii="Arial" w:hAnsi="Arial"/>
                <w:color w:val="808080"/>
                <w:sz w:val="20"/>
                <w:szCs w:val="20"/>
              </w:rPr>
              <w:t>)</w:t>
            </w:r>
          </w:p>
        </w:tc>
        <w:tc>
          <w:tcPr>
            <w:tcW w:w="8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both"/>
              <w:rPr>
                <w:rFonts w:ascii="Arial" w:hAnsi="Arial"/>
                <w:sz w:val="22"/>
                <w:szCs w:val="22"/>
              </w:rPr>
            </w:pPr>
            <w:r>
              <w:rPr>
                <w:rFonts w:ascii="Arial" w:hAnsi="Arial"/>
                <w:sz w:val="22"/>
                <w:szCs w:val="22"/>
              </w:rPr>
              <w:t>&lt;0.001</w:t>
            </w:r>
          </w:p>
        </w:tc>
      </w:tr>
      <w:tr>
        <w:trPr/>
        <w:tc>
          <w:tcPr>
            <w:tcW w:w="1657"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EPDS-pre</w:t>
            </w:r>
          </w:p>
        </w:tc>
        <w:tc>
          <w:tcPr>
            <w:tcW w:w="1133"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1351/217</w:t>
            </w:r>
          </w:p>
          <w:p>
            <w:pPr>
              <w:pStyle w:val="TableContents"/>
              <w:jc w:val="both"/>
              <w:rPr>
                <w:rFonts w:ascii="Arial" w:hAnsi="Arial"/>
                <w:color w:val="808080"/>
                <w:sz w:val="20"/>
                <w:szCs w:val="20"/>
              </w:rPr>
            </w:pPr>
            <w:r>
              <w:rPr>
                <w:rFonts w:ascii="Arial" w:hAnsi="Arial"/>
                <w:color w:val="808080"/>
                <w:sz w:val="20"/>
                <w:szCs w:val="20"/>
              </w:rPr>
              <w:t>(</w:t>
            </w:r>
            <w:r>
              <w:rPr>
                <w:rFonts w:ascii="Arial" w:hAnsi="Arial"/>
                <w:i/>
                <w:iCs/>
                <w:color w:val="808080"/>
                <w:sz w:val="20"/>
                <w:szCs w:val="20"/>
              </w:rPr>
              <w:t>mis:</w:t>
            </w:r>
            <w:r>
              <w:rPr>
                <w:rFonts w:ascii="Arial" w:hAnsi="Arial"/>
                <w:color w:val="808080"/>
                <w:sz w:val="20"/>
                <w:szCs w:val="20"/>
              </w:rPr>
              <w:t xml:space="preserve"> 139)</w:t>
            </w:r>
          </w:p>
        </w:tc>
        <w:tc>
          <w:tcPr>
            <w:tcW w:w="126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736/122</w:t>
            </w:r>
          </w:p>
          <w:p>
            <w:pPr>
              <w:pStyle w:val="TableContents"/>
              <w:jc w:val="both"/>
              <w:rPr>
                <w:rFonts w:ascii="Arial" w:hAnsi="Arial"/>
                <w:color w:val="808080"/>
                <w:sz w:val="20"/>
                <w:szCs w:val="20"/>
              </w:rPr>
            </w:pPr>
            <w:r>
              <w:rPr>
                <w:rFonts w:ascii="Arial" w:hAnsi="Arial"/>
                <w:color w:val="808080"/>
                <w:sz w:val="20"/>
                <w:szCs w:val="20"/>
              </w:rPr>
              <w:t>(</w:t>
            </w:r>
            <w:r>
              <w:rPr>
                <w:rFonts w:ascii="Arial" w:hAnsi="Arial"/>
                <w:i/>
                <w:iCs/>
                <w:color w:val="808080"/>
                <w:sz w:val="20"/>
                <w:szCs w:val="20"/>
              </w:rPr>
              <w:t>mis: 85</w:t>
            </w:r>
            <w:r>
              <w:rPr>
                <w:rFonts w:ascii="Arial" w:hAnsi="Arial"/>
                <w:color w:val="808080"/>
                <w:sz w:val="20"/>
                <w:szCs w:val="20"/>
              </w:rPr>
              <w:t>)</w:t>
            </w:r>
          </w:p>
        </w:tc>
        <w:tc>
          <w:tcPr>
            <w:tcW w:w="1262"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615/95</w:t>
            </w:r>
          </w:p>
          <w:p>
            <w:pPr>
              <w:pStyle w:val="TableContents"/>
              <w:jc w:val="both"/>
              <w:rPr>
                <w:rFonts w:ascii="Arial" w:hAnsi="Arial"/>
                <w:color w:val="808080"/>
                <w:sz w:val="20"/>
                <w:szCs w:val="20"/>
              </w:rPr>
            </w:pPr>
            <w:r>
              <w:rPr>
                <w:rFonts w:ascii="Arial" w:hAnsi="Arial"/>
                <w:color w:val="808080"/>
                <w:sz w:val="20"/>
                <w:szCs w:val="20"/>
              </w:rPr>
              <w:t>(</w:t>
            </w:r>
            <w:r>
              <w:rPr>
                <w:rFonts w:ascii="Arial" w:hAnsi="Arial"/>
                <w:i/>
                <w:iCs/>
                <w:color w:val="808080"/>
                <w:sz w:val="20"/>
                <w:szCs w:val="20"/>
              </w:rPr>
              <w:t>mis: 54</w:t>
            </w:r>
            <w:r>
              <w:rPr>
                <w:rFonts w:ascii="Arial" w:hAnsi="Arial"/>
                <w:color w:val="808080"/>
                <w:sz w:val="20"/>
                <w:szCs w:val="20"/>
              </w:rPr>
              <w:t>)</w:t>
            </w:r>
          </w:p>
        </w:tc>
        <w:tc>
          <w:tcPr>
            <w:tcW w:w="117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94/28</w:t>
            </w:r>
          </w:p>
          <w:p>
            <w:pPr>
              <w:pStyle w:val="TableContents"/>
              <w:jc w:val="both"/>
              <w:rPr>
                <w:rFonts w:ascii="Arial" w:hAnsi="Arial"/>
                <w:color w:val="808080"/>
                <w:sz w:val="20"/>
                <w:szCs w:val="20"/>
              </w:rPr>
            </w:pPr>
            <w:r>
              <w:rPr>
                <w:rFonts w:ascii="Arial" w:hAnsi="Arial"/>
                <w:color w:val="808080"/>
                <w:sz w:val="20"/>
                <w:szCs w:val="20"/>
              </w:rPr>
              <w:t>(</w:t>
            </w:r>
            <w:r>
              <w:rPr>
                <w:rFonts w:ascii="Arial" w:hAnsi="Arial"/>
                <w:i/>
                <w:iCs/>
                <w:color w:val="808080"/>
                <w:sz w:val="20"/>
                <w:szCs w:val="20"/>
              </w:rPr>
              <w:t>mis: 3</w:t>
            </w:r>
            <w:r>
              <w:rPr>
                <w:rFonts w:ascii="Arial" w:hAnsi="Arial"/>
                <w:color w:val="808080"/>
                <w:sz w:val="20"/>
                <w:szCs w:val="20"/>
              </w:rPr>
              <w:t>)</w:t>
            </w:r>
          </w:p>
        </w:tc>
        <w:tc>
          <w:tcPr>
            <w:tcW w:w="117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53/16</w:t>
            </w:r>
          </w:p>
          <w:p>
            <w:pPr>
              <w:pStyle w:val="TableContents"/>
              <w:jc w:val="both"/>
              <w:rPr>
                <w:rFonts w:ascii="Arial" w:hAnsi="Arial"/>
                <w:color w:val="808080"/>
                <w:sz w:val="20"/>
                <w:szCs w:val="20"/>
              </w:rPr>
            </w:pPr>
            <w:r>
              <w:rPr>
                <w:rFonts w:ascii="Arial" w:hAnsi="Arial"/>
                <w:color w:val="808080"/>
                <w:sz w:val="20"/>
                <w:szCs w:val="20"/>
              </w:rPr>
              <w:t>(</w:t>
            </w:r>
            <w:r>
              <w:rPr>
                <w:rFonts w:ascii="Arial" w:hAnsi="Arial"/>
                <w:i/>
                <w:iCs/>
                <w:color w:val="808080"/>
                <w:sz w:val="20"/>
                <w:szCs w:val="20"/>
              </w:rPr>
              <w:t>mis: 2</w:t>
            </w:r>
            <w:r>
              <w:rPr>
                <w:rFonts w:ascii="Arial" w:hAnsi="Arial"/>
                <w:color w:val="808080"/>
                <w:sz w:val="20"/>
                <w:szCs w:val="20"/>
              </w:rPr>
              <w:t>)</w:t>
            </w:r>
          </w:p>
        </w:tc>
        <w:tc>
          <w:tcPr>
            <w:tcW w:w="1170"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41/12</w:t>
            </w:r>
          </w:p>
          <w:p>
            <w:pPr>
              <w:pStyle w:val="TableContents"/>
              <w:jc w:val="both"/>
              <w:rPr>
                <w:rFonts w:ascii="Arial" w:hAnsi="Arial"/>
                <w:color w:val="808080"/>
                <w:sz w:val="20"/>
                <w:szCs w:val="20"/>
              </w:rPr>
            </w:pPr>
            <w:r>
              <w:rPr>
                <w:rFonts w:ascii="Arial" w:hAnsi="Arial"/>
                <w:color w:val="808080"/>
                <w:sz w:val="20"/>
                <w:szCs w:val="20"/>
              </w:rPr>
              <w:t>(</w:t>
            </w:r>
            <w:r>
              <w:rPr>
                <w:rFonts w:ascii="Arial" w:hAnsi="Arial"/>
                <w:i/>
                <w:iCs/>
                <w:color w:val="808080"/>
                <w:sz w:val="20"/>
                <w:szCs w:val="20"/>
              </w:rPr>
              <w:t>mis: 1</w:t>
            </w:r>
            <w:r>
              <w:rPr>
                <w:rFonts w:ascii="Arial" w:hAnsi="Arial"/>
                <w:color w:val="808080"/>
                <w:sz w:val="20"/>
                <w:szCs w:val="20"/>
              </w:rPr>
              <w:t>)</w:t>
            </w:r>
          </w:p>
        </w:tc>
        <w:tc>
          <w:tcPr>
            <w:tcW w:w="8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both"/>
              <w:rPr>
                <w:rFonts w:ascii="Arial" w:hAnsi="Arial"/>
                <w:sz w:val="22"/>
                <w:szCs w:val="22"/>
              </w:rPr>
            </w:pPr>
            <w:r>
              <w:rPr>
                <w:rFonts w:ascii="Arial" w:hAnsi="Arial"/>
                <w:sz w:val="22"/>
                <w:szCs w:val="22"/>
              </w:rPr>
              <w:t>0.006</w:t>
            </w:r>
          </w:p>
        </w:tc>
      </w:tr>
      <w:tr>
        <w:trPr/>
        <w:tc>
          <w:tcPr>
            <w:tcW w:w="1657"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Lack of money</w:t>
            </w:r>
          </w:p>
        </w:tc>
        <w:tc>
          <w:tcPr>
            <w:tcW w:w="1133"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1321/247</w:t>
            </w:r>
          </w:p>
          <w:p>
            <w:pPr>
              <w:pStyle w:val="TableContents"/>
              <w:jc w:val="both"/>
              <w:rPr>
                <w:rFonts w:ascii="Arial" w:hAnsi="Arial"/>
                <w:color w:val="808080"/>
                <w:sz w:val="20"/>
                <w:szCs w:val="20"/>
              </w:rPr>
            </w:pPr>
            <w:r>
              <w:rPr>
                <w:rFonts w:ascii="Arial" w:hAnsi="Arial"/>
                <w:color w:val="808080"/>
                <w:sz w:val="20"/>
                <w:szCs w:val="20"/>
              </w:rPr>
              <w:t>(</w:t>
            </w:r>
            <w:r>
              <w:rPr>
                <w:rFonts w:ascii="Arial" w:hAnsi="Arial"/>
                <w:i/>
                <w:iCs/>
                <w:color w:val="808080"/>
                <w:sz w:val="20"/>
                <w:szCs w:val="20"/>
              </w:rPr>
              <w:t>mis:</w:t>
            </w:r>
            <w:r>
              <w:rPr>
                <w:rFonts w:ascii="Arial" w:hAnsi="Arial"/>
                <w:color w:val="808080"/>
                <w:sz w:val="20"/>
                <w:szCs w:val="20"/>
              </w:rPr>
              <w:t xml:space="preserve"> 235*)</w:t>
            </w:r>
          </w:p>
        </w:tc>
        <w:tc>
          <w:tcPr>
            <w:tcW w:w="126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720/138</w:t>
            </w:r>
          </w:p>
          <w:p>
            <w:pPr>
              <w:pStyle w:val="TableContents"/>
              <w:jc w:val="both"/>
              <w:rPr>
                <w:rFonts w:ascii="Arial" w:hAnsi="Arial"/>
                <w:color w:val="808080"/>
                <w:sz w:val="20"/>
                <w:szCs w:val="20"/>
              </w:rPr>
            </w:pPr>
            <w:r>
              <w:rPr>
                <w:rFonts w:ascii="Arial" w:hAnsi="Arial"/>
                <w:color w:val="808080"/>
                <w:sz w:val="20"/>
                <w:szCs w:val="20"/>
              </w:rPr>
              <w:t>(</w:t>
            </w:r>
            <w:r>
              <w:rPr>
                <w:rFonts w:ascii="Arial" w:hAnsi="Arial"/>
                <w:i/>
                <w:iCs/>
                <w:color w:val="808080"/>
                <w:sz w:val="20"/>
                <w:szCs w:val="20"/>
              </w:rPr>
              <w:t>mis: 134*</w:t>
            </w:r>
            <w:r>
              <w:rPr>
                <w:rFonts w:ascii="Arial" w:hAnsi="Arial"/>
                <w:color w:val="808080"/>
                <w:sz w:val="20"/>
                <w:szCs w:val="20"/>
              </w:rPr>
              <w:t>)</w:t>
            </w:r>
          </w:p>
        </w:tc>
        <w:tc>
          <w:tcPr>
            <w:tcW w:w="1262"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601/109</w:t>
            </w:r>
          </w:p>
          <w:p>
            <w:pPr>
              <w:pStyle w:val="TableContents"/>
              <w:jc w:val="both"/>
              <w:rPr>
                <w:rFonts w:ascii="Arial" w:hAnsi="Arial"/>
                <w:color w:val="808080"/>
                <w:sz w:val="20"/>
                <w:szCs w:val="20"/>
              </w:rPr>
            </w:pPr>
            <w:r>
              <w:rPr>
                <w:rFonts w:ascii="Arial" w:hAnsi="Arial"/>
                <w:color w:val="808080"/>
                <w:sz w:val="20"/>
                <w:szCs w:val="20"/>
              </w:rPr>
              <w:t>(</w:t>
            </w:r>
            <w:r>
              <w:rPr>
                <w:rFonts w:ascii="Arial" w:hAnsi="Arial"/>
                <w:i/>
                <w:iCs/>
                <w:color w:val="808080"/>
                <w:sz w:val="20"/>
                <w:szCs w:val="20"/>
              </w:rPr>
              <w:t>mis: 101</w:t>
            </w:r>
            <w:r>
              <w:rPr>
                <w:rFonts w:ascii="Arial" w:hAnsi="Arial"/>
                <w:color w:val="808080"/>
                <w:sz w:val="20"/>
                <w:szCs w:val="20"/>
              </w:rPr>
              <w:t>)</w:t>
            </w:r>
          </w:p>
        </w:tc>
        <w:tc>
          <w:tcPr>
            <w:tcW w:w="117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96/26</w:t>
            </w:r>
          </w:p>
          <w:p>
            <w:pPr>
              <w:pStyle w:val="TableContents"/>
              <w:jc w:val="both"/>
              <w:rPr>
                <w:rFonts w:ascii="Arial" w:hAnsi="Arial"/>
                <w:color w:val="808080"/>
                <w:sz w:val="20"/>
                <w:szCs w:val="20"/>
              </w:rPr>
            </w:pPr>
            <w:r>
              <w:rPr>
                <w:rFonts w:ascii="Arial" w:hAnsi="Arial"/>
                <w:color w:val="808080"/>
                <w:sz w:val="20"/>
                <w:szCs w:val="20"/>
              </w:rPr>
              <w:t>(</w:t>
            </w:r>
            <w:r>
              <w:rPr>
                <w:rFonts w:ascii="Arial" w:hAnsi="Arial"/>
                <w:i/>
                <w:iCs/>
                <w:color w:val="808080"/>
                <w:sz w:val="20"/>
                <w:szCs w:val="20"/>
              </w:rPr>
              <w:t>mis: 13</w:t>
            </w:r>
            <w:r>
              <w:rPr>
                <w:rFonts w:ascii="Arial" w:hAnsi="Arial"/>
                <w:color w:val="808080"/>
                <w:sz w:val="20"/>
                <w:szCs w:val="20"/>
              </w:rPr>
              <w:t>)</w:t>
            </w:r>
          </w:p>
        </w:tc>
        <w:tc>
          <w:tcPr>
            <w:tcW w:w="117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54/15</w:t>
            </w:r>
          </w:p>
          <w:p>
            <w:pPr>
              <w:pStyle w:val="TableContents"/>
              <w:jc w:val="both"/>
              <w:rPr>
                <w:rFonts w:ascii="Arial" w:hAnsi="Arial"/>
                <w:color w:val="808080"/>
                <w:sz w:val="20"/>
                <w:szCs w:val="20"/>
              </w:rPr>
            </w:pPr>
            <w:r>
              <w:rPr>
                <w:rFonts w:ascii="Arial" w:hAnsi="Arial"/>
                <w:color w:val="808080"/>
                <w:sz w:val="20"/>
                <w:szCs w:val="20"/>
              </w:rPr>
              <w:t>(</w:t>
            </w:r>
            <w:r>
              <w:rPr>
                <w:rFonts w:ascii="Arial" w:hAnsi="Arial"/>
                <w:i/>
                <w:iCs/>
                <w:color w:val="808080"/>
                <w:sz w:val="20"/>
                <w:szCs w:val="20"/>
              </w:rPr>
              <w:t>mis: 9</w:t>
            </w:r>
            <w:r>
              <w:rPr>
                <w:rFonts w:ascii="Arial" w:hAnsi="Arial"/>
                <w:color w:val="808080"/>
                <w:sz w:val="20"/>
                <w:szCs w:val="20"/>
              </w:rPr>
              <w:t>)</w:t>
            </w:r>
          </w:p>
        </w:tc>
        <w:tc>
          <w:tcPr>
            <w:tcW w:w="1170"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42/11</w:t>
            </w:r>
          </w:p>
          <w:p>
            <w:pPr>
              <w:pStyle w:val="TableContents"/>
              <w:jc w:val="both"/>
              <w:rPr>
                <w:rFonts w:ascii="Arial" w:hAnsi="Arial"/>
                <w:color w:val="808080"/>
                <w:sz w:val="20"/>
                <w:szCs w:val="20"/>
              </w:rPr>
            </w:pPr>
            <w:r>
              <w:rPr>
                <w:rFonts w:ascii="Arial" w:hAnsi="Arial"/>
                <w:color w:val="808080"/>
                <w:sz w:val="20"/>
                <w:szCs w:val="20"/>
              </w:rPr>
              <w:t>(</w:t>
            </w:r>
            <w:r>
              <w:rPr>
                <w:rFonts w:ascii="Arial" w:hAnsi="Arial"/>
                <w:i/>
                <w:iCs/>
                <w:color w:val="808080"/>
                <w:sz w:val="20"/>
                <w:szCs w:val="20"/>
              </w:rPr>
              <w:t>mis: 4)</w:t>
            </w:r>
          </w:p>
        </w:tc>
        <w:tc>
          <w:tcPr>
            <w:tcW w:w="8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both"/>
              <w:rPr>
                <w:rFonts w:ascii="Arial" w:hAnsi="Arial"/>
                <w:sz w:val="22"/>
                <w:szCs w:val="22"/>
              </w:rPr>
            </w:pPr>
            <w:r>
              <w:rPr>
                <w:rFonts w:ascii="Arial" w:hAnsi="Arial"/>
                <w:sz w:val="22"/>
                <w:szCs w:val="22"/>
              </w:rPr>
              <w:t>0.108</w:t>
            </w:r>
          </w:p>
        </w:tc>
      </w:tr>
      <w:tr>
        <w:trPr/>
        <w:tc>
          <w:tcPr>
            <w:tcW w:w="1657"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Low education</w:t>
            </w:r>
          </w:p>
        </w:tc>
        <w:tc>
          <w:tcPr>
            <w:tcW w:w="1133"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1305/263</w:t>
            </w:r>
          </w:p>
          <w:p>
            <w:pPr>
              <w:pStyle w:val="TableContents"/>
              <w:jc w:val="both"/>
              <w:rPr>
                <w:rFonts w:ascii="Arial" w:hAnsi="Arial"/>
                <w:color w:val="808080"/>
                <w:sz w:val="20"/>
                <w:szCs w:val="20"/>
              </w:rPr>
            </w:pPr>
            <w:r>
              <w:rPr>
                <w:rFonts w:ascii="Arial" w:hAnsi="Arial"/>
                <w:color w:val="808080"/>
                <w:sz w:val="20"/>
                <w:szCs w:val="20"/>
              </w:rPr>
              <w:t>(</w:t>
            </w:r>
            <w:r>
              <w:rPr>
                <w:rFonts w:ascii="Arial" w:hAnsi="Arial"/>
                <w:i/>
                <w:iCs/>
                <w:color w:val="808080"/>
                <w:sz w:val="20"/>
                <w:szCs w:val="20"/>
              </w:rPr>
              <w:t>mis:</w:t>
            </w:r>
            <w:r>
              <w:rPr>
                <w:rFonts w:ascii="Arial" w:hAnsi="Arial"/>
                <w:color w:val="808080"/>
                <w:sz w:val="20"/>
                <w:szCs w:val="20"/>
              </w:rPr>
              <w:t xml:space="preserve"> 54)</w:t>
            </w:r>
          </w:p>
        </w:tc>
        <w:tc>
          <w:tcPr>
            <w:tcW w:w="126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710/148</w:t>
            </w:r>
          </w:p>
          <w:p>
            <w:pPr>
              <w:pStyle w:val="TableContents"/>
              <w:jc w:val="both"/>
              <w:rPr>
                <w:rFonts w:ascii="Arial" w:hAnsi="Arial"/>
                <w:color w:val="808080"/>
                <w:sz w:val="20"/>
                <w:szCs w:val="20"/>
              </w:rPr>
            </w:pPr>
            <w:r>
              <w:rPr>
                <w:rFonts w:ascii="Arial" w:hAnsi="Arial"/>
                <w:color w:val="808080"/>
                <w:sz w:val="20"/>
                <w:szCs w:val="20"/>
              </w:rPr>
              <w:t>(</w:t>
            </w:r>
            <w:r>
              <w:rPr>
                <w:rFonts w:ascii="Arial" w:hAnsi="Arial"/>
                <w:i/>
                <w:iCs/>
                <w:color w:val="808080"/>
                <w:sz w:val="20"/>
                <w:szCs w:val="20"/>
              </w:rPr>
              <w:t xml:space="preserve">mis: </w:t>
            </w:r>
            <w:r>
              <w:rPr>
                <w:rFonts w:ascii="Arial" w:hAnsi="Arial"/>
                <w:color w:val="808080"/>
                <w:sz w:val="20"/>
                <w:szCs w:val="20"/>
              </w:rPr>
              <w:t>31)</w:t>
            </w:r>
          </w:p>
        </w:tc>
        <w:tc>
          <w:tcPr>
            <w:tcW w:w="1262"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595/115</w:t>
            </w:r>
          </w:p>
          <w:p>
            <w:pPr>
              <w:pStyle w:val="TableContents"/>
              <w:jc w:val="both"/>
              <w:rPr>
                <w:rFonts w:ascii="Arial" w:hAnsi="Arial"/>
                <w:color w:val="808080"/>
                <w:sz w:val="20"/>
                <w:szCs w:val="20"/>
              </w:rPr>
            </w:pPr>
            <w:r>
              <w:rPr>
                <w:rFonts w:ascii="Arial" w:hAnsi="Arial"/>
                <w:color w:val="808080"/>
                <w:sz w:val="20"/>
                <w:szCs w:val="20"/>
              </w:rPr>
              <w:t>(</w:t>
            </w:r>
            <w:r>
              <w:rPr>
                <w:rFonts w:ascii="Arial" w:hAnsi="Arial"/>
                <w:i/>
                <w:iCs/>
                <w:color w:val="808080"/>
                <w:sz w:val="20"/>
                <w:szCs w:val="20"/>
              </w:rPr>
              <w:t>mis: 23</w:t>
            </w:r>
            <w:r>
              <w:rPr>
                <w:rFonts w:ascii="Arial" w:hAnsi="Arial"/>
                <w:color w:val="808080"/>
                <w:sz w:val="20"/>
                <w:szCs w:val="20"/>
              </w:rPr>
              <w:t>)</w:t>
            </w:r>
          </w:p>
        </w:tc>
        <w:tc>
          <w:tcPr>
            <w:tcW w:w="117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105/17</w:t>
            </w:r>
          </w:p>
          <w:p>
            <w:pPr>
              <w:pStyle w:val="TableContents"/>
              <w:jc w:val="both"/>
              <w:rPr>
                <w:rFonts w:ascii="Arial" w:hAnsi="Arial"/>
                <w:color w:val="808080"/>
                <w:sz w:val="20"/>
                <w:szCs w:val="20"/>
              </w:rPr>
            </w:pPr>
            <w:r>
              <w:rPr>
                <w:rFonts w:ascii="Arial" w:hAnsi="Arial"/>
                <w:color w:val="808080"/>
                <w:sz w:val="20"/>
                <w:szCs w:val="20"/>
              </w:rPr>
              <w:t>(</w:t>
            </w:r>
            <w:r>
              <w:rPr>
                <w:rFonts w:ascii="Arial" w:hAnsi="Arial"/>
                <w:i/>
                <w:iCs/>
                <w:color w:val="808080"/>
                <w:sz w:val="20"/>
                <w:szCs w:val="20"/>
              </w:rPr>
              <w:t>mis: 1</w:t>
            </w:r>
            <w:r>
              <w:rPr>
                <w:rFonts w:ascii="Arial" w:hAnsi="Arial"/>
                <w:color w:val="808080"/>
                <w:sz w:val="20"/>
                <w:szCs w:val="20"/>
              </w:rPr>
              <w:t>)</w:t>
            </w:r>
          </w:p>
        </w:tc>
        <w:tc>
          <w:tcPr>
            <w:tcW w:w="117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59/10</w:t>
            </w:r>
          </w:p>
          <w:p>
            <w:pPr>
              <w:pStyle w:val="TableContents"/>
              <w:jc w:val="both"/>
              <w:rPr>
                <w:rFonts w:ascii="Arial" w:hAnsi="Arial"/>
                <w:color w:val="808080"/>
                <w:sz w:val="20"/>
                <w:szCs w:val="20"/>
              </w:rPr>
            </w:pPr>
            <w:r>
              <w:rPr>
                <w:rFonts w:ascii="Arial" w:hAnsi="Arial"/>
                <w:color w:val="808080"/>
                <w:sz w:val="20"/>
                <w:szCs w:val="20"/>
              </w:rPr>
              <w:t>(</w:t>
            </w:r>
            <w:r>
              <w:rPr>
                <w:rFonts w:ascii="Arial" w:hAnsi="Arial"/>
                <w:i/>
                <w:iCs/>
                <w:color w:val="808080"/>
                <w:sz w:val="20"/>
                <w:szCs w:val="20"/>
              </w:rPr>
              <w:t>mis: 1</w:t>
            </w:r>
            <w:r>
              <w:rPr>
                <w:rFonts w:ascii="Arial" w:hAnsi="Arial"/>
                <w:color w:val="808080"/>
                <w:sz w:val="20"/>
                <w:szCs w:val="20"/>
              </w:rPr>
              <w:t>)</w:t>
            </w:r>
          </w:p>
        </w:tc>
        <w:tc>
          <w:tcPr>
            <w:tcW w:w="1170"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46/7</w:t>
            </w:r>
          </w:p>
        </w:tc>
        <w:tc>
          <w:tcPr>
            <w:tcW w:w="8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both"/>
              <w:rPr>
                <w:rFonts w:ascii="Arial" w:hAnsi="Arial"/>
                <w:sz w:val="22"/>
                <w:szCs w:val="22"/>
              </w:rPr>
            </w:pPr>
            <w:r>
              <w:rPr>
                <w:rFonts w:ascii="Arial" w:hAnsi="Arial"/>
                <w:sz w:val="22"/>
                <w:szCs w:val="22"/>
              </w:rPr>
              <w:t>0.417</w:t>
            </w:r>
          </w:p>
        </w:tc>
      </w:tr>
      <w:tr>
        <w:trPr/>
        <w:tc>
          <w:tcPr>
            <w:tcW w:w="1657"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Violence</w:t>
            </w:r>
          </w:p>
        </w:tc>
        <w:tc>
          <w:tcPr>
            <w:tcW w:w="1133"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1535/33</w:t>
            </w:r>
          </w:p>
          <w:p>
            <w:pPr>
              <w:pStyle w:val="TableContents"/>
              <w:jc w:val="both"/>
              <w:rPr>
                <w:rFonts w:ascii="Arial" w:hAnsi="Arial"/>
                <w:color w:val="808080"/>
                <w:sz w:val="20"/>
                <w:szCs w:val="20"/>
              </w:rPr>
            </w:pPr>
            <w:r>
              <w:rPr>
                <w:rFonts w:ascii="Arial" w:hAnsi="Arial"/>
                <w:color w:val="808080"/>
                <w:sz w:val="20"/>
                <w:szCs w:val="20"/>
              </w:rPr>
              <w:t>(</w:t>
            </w:r>
            <w:r>
              <w:rPr>
                <w:rFonts w:ascii="Arial" w:hAnsi="Arial"/>
                <w:i/>
                <w:iCs/>
                <w:color w:val="808080"/>
                <w:sz w:val="20"/>
                <w:szCs w:val="20"/>
              </w:rPr>
              <w:t>mis:</w:t>
            </w:r>
            <w:r>
              <w:rPr>
                <w:rFonts w:ascii="Arial" w:hAnsi="Arial"/>
                <w:color w:val="808080"/>
                <w:sz w:val="20"/>
                <w:szCs w:val="20"/>
              </w:rPr>
              <w:t xml:space="preserve"> 160)</w:t>
            </w:r>
          </w:p>
        </w:tc>
        <w:tc>
          <w:tcPr>
            <w:tcW w:w="126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840/18</w:t>
            </w:r>
          </w:p>
          <w:p>
            <w:pPr>
              <w:pStyle w:val="TableContents"/>
              <w:jc w:val="both"/>
              <w:rPr>
                <w:rFonts w:ascii="Arial" w:hAnsi="Arial"/>
                <w:color w:val="808080"/>
                <w:sz w:val="20"/>
                <w:szCs w:val="20"/>
              </w:rPr>
            </w:pPr>
            <w:r>
              <w:rPr>
                <w:rFonts w:ascii="Arial" w:hAnsi="Arial"/>
                <w:color w:val="808080"/>
                <w:sz w:val="20"/>
                <w:szCs w:val="20"/>
              </w:rPr>
              <w:t>(</w:t>
            </w:r>
            <w:r>
              <w:rPr>
                <w:rFonts w:ascii="Arial" w:hAnsi="Arial"/>
                <w:i/>
                <w:iCs/>
                <w:color w:val="808080"/>
                <w:sz w:val="20"/>
                <w:szCs w:val="20"/>
              </w:rPr>
              <w:t>mis: 88</w:t>
            </w:r>
            <w:r>
              <w:rPr>
                <w:rFonts w:ascii="Arial" w:hAnsi="Arial"/>
                <w:color w:val="808080"/>
                <w:sz w:val="20"/>
                <w:szCs w:val="20"/>
              </w:rPr>
              <w:t>)</w:t>
            </w:r>
          </w:p>
        </w:tc>
        <w:tc>
          <w:tcPr>
            <w:tcW w:w="1262"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695/15</w:t>
            </w:r>
          </w:p>
          <w:p>
            <w:pPr>
              <w:pStyle w:val="TableContents"/>
              <w:jc w:val="both"/>
              <w:rPr>
                <w:rFonts w:ascii="Arial" w:hAnsi="Arial"/>
                <w:color w:val="808080"/>
                <w:sz w:val="20"/>
                <w:szCs w:val="20"/>
              </w:rPr>
            </w:pPr>
            <w:r>
              <w:rPr>
                <w:rFonts w:ascii="Arial" w:hAnsi="Arial"/>
                <w:color w:val="808080"/>
                <w:sz w:val="20"/>
                <w:szCs w:val="20"/>
              </w:rPr>
              <w:t>(</w:t>
            </w:r>
            <w:r>
              <w:rPr>
                <w:rFonts w:ascii="Arial" w:hAnsi="Arial"/>
                <w:i/>
                <w:iCs/>
                <w:color w:val="808080"/>
                <w:sz w:val="20"/>
                <w:szCs w:val="20"/>
              </w:rPr>
              <w:t>mis: 72</w:t>
            </w:r>
            <w:r>
              <w:rPr>
                <w:rFonts w:ascii="Arial" w:hAnsi="Arial"/>
                <w:color w:val="808080"/>
                <w:sz w:val="20"/>
                <w:szCs w:val="20"/>
              </w:rPr>
              <w:t>)</w:t>
            </w:r>
          </w:p>
        </w:tc>
        <w:tc>
          <w:tcPr>
            <w:tcW w:w="117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121/1</w:t>
            </w:r>
          </w:p>
          <w:p>
            <w:pPr>
              <w:pStyle w:val="TableContents"/>
              <w:jc w:val="both"/>
              <w:rPr>
                <w:rFonts w:ascii="Arial" w:hAnsi="Arial"/>
                <w:color w:val="808080"/>
                <w:sz w:val="20"/>
                <w:szCs w:val="20"/>
              </w:rPr>
            </w:pPr>
            <w:r>
              <w:rPr>
                <w:rFonts w:ascii="Arial" w:hAnsi="Arial"/>
                <w:color w:val="808080"/>
                <w:sz w:val="20"/>
                <w:szCs w:val="20"/>
              </w:rPr>
              <w:t>(</w:t>
            </w:r>
            <w:r>
              <w:rPr>
                <w:rFonts w:ascii="Arial" w:hAnsi="Arial"/>
                <w:i/>
                <w:iCs/>
                <w:color w:val="808080"/>
                <w:sz w:val="20"/>
                <w:szCs w:val="20"/>
              </w:rPr>
              <w:t>mis: 12</w:t>
            </w:r>
            <w:r>
              <w:rPr>
                <w:rFonts w:ascii="Arial" w:hAnsi="Arial"/>
                <w:color w:val="808080"/>
                <w:sz w:val="20"/>
                <w:szCs w:val="20"/>
              </w:rPr>
              <w:t>)</w:t>
            </w:r>
          </w:p>
        </w:tc>
        <w:tc>
          <w:tcPr>
            <w:tcW w:w="117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69/0</w:t>
            </w:r>
          </w:p>
          <w:p>
            <w:pPr>
              <w:pStyle w:val="TableContents"/>
              <w:jc w:val="both"/>
              <w:rPr>
                <w:rFonts w:ascii="Arial" w:hAnsi="Arial"/>
                <w:color w:val="808080"/>
                <w:sz w:val="20"/>
                <w:szCs w:val="20"/>
              </w:rPr>
            </w:pPr>
            <w:r>
              <w:rPr>
                <w:rFonts w:ascii="Arial" w:hAnsi="Arial"/>
                <w:color w:val="808080"/>
                <w:sz w:val="20"/>
                <w:szCs w:val="20"/>
              </w:rPr>
              <w:t>(</w:t>
            </w:r>
            <w:r>
              <w:rPr>
                <w:rFonts w:ascii="Arial" w:hAnsi="Arial"/>
                <w:i/>
                <w:iCs/>
                <w:color w:val="808080"/>
                <w:sz w:val="20"/>
                <w:szCs w:val="20"/>
              </w:rPr>
              <w:t>mis: 7</w:t>
            </w:r>
            <w:r>
              <w:rPr>
                <w:rFonts w:ascii="Arial" w:hAnsi="Arial"/>
                <w:color w:val="808080"/>
                <w:sz w:val="20"/>
                <w:szCs w:val="20"/>
              </w:rPr>
              <w:t>)</w:t>
            </w:r>
          </w:p>
        </w:tc>
        <w:tc>
          <w:tcPr>
            <w:tcW w:w="1170"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52/1</w:t>
            </w:r>
          </w:p>
          <w:p>
            <w:pPr>
              <w:pStyle w:val="TableContents"/>
              <w:jc w:val="both"/>
              <w:rPr>
                <w:rFonts w:ascii="Arial" w:hAnsi="Arial"/>
                <w:color w:val="808080"/>
                <w:sz w:val="20"/>
                <w:szCs w:val="20"/>
              </w:rPr>
            </w:pPr>
            <w:r>
              <w:rPr>
                <w:rFonts w:ascii="Arial" w:hAnsi="Arial"/>
                <w:color w:val="808080"/>
                <w:sz w:val="20"/>
                <w:szCs w:val="20"/>
              </w:rPr>
              <w:t>(</w:t>
            </w:r>
            <w:r>
              <w:rPr>
                <w:rFonts w:ascii="Arial" w:hAnsi="Arial"/>
                <w:i/>
                <w:iCs/>
                <w:color w:val="808080"/>
                <w:sz w:val="20"/>
                <w:szCs w:val="20"/>
              </w:rPr>
              <w:t>mis: 5</w:t>
            </w:r>
            <w:r>
              <w:rPr>
                <w:rFonts w:ascii="Arial" w:hAnsi="Arial"/>
                <w:color w:val="808080"/>
                <w:sz w:val="20"/>
                <w:szCs w:val="20"/>
              </w:rPr>
              <w:t>)</w:t>
            </w:r>
          </w:p>
        </w:tc>
        <w:tc>
          <w:tcPr>
            <w:tcW w:w="8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both"/>
              <w:rPr>
                <w:rFonts w:ascii="Arial" w:hAnsi="Arial"/>
                <w:sz w:val="22"/>
                <w:szCs w:val="22"/>
              </w:rPr>
            </w:pPr>
            <w:r>
              <w:rPr>
                <w:rFonts w:ascii="Arial" w:hAnsi="Arial"/>
                <w:sz w:val="22"/>
                <w:szCs w:val="22"/>
              </w:rPr>
              <w:t>0.330</w:t>
            </w:r>
          </w:p>
        </w:tc>
      </w:tr>
      <w:tr>
        <w:trPr/>
        <w:tc>
          <w:tcPr>
            <w:tcW w:w="1657"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RDAS-pre</w:t>
            </w:r>
          </w:p>
        </w:tc>
        <w:tc>
          <w:tcPr>
            <w:tcW w:w="1133"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1248/320</w:t>
            </w:r>
          </w:p>
          <w:p>
            <w:pPr>
              <w:pStyle w:val="TableContents"/>
              <w:jc w:val="both"/>
              <w:rPr>
                <w:rFonts w:ascii="Arial" w:hAnsi="Arial"/>
                <w:color w:val="808080"/>
                <w:sz w:val="20"/>
                <w:szCs w:val="20"/>
              </w:rPr>
            </w:pPr>
            <w:r>
              <w:rPr>
                <w:rFonts w:ascii="Arial" w:hAnsi="Arial"/>
                <w:color w:val="808080"/>
                <w:sz w:val="20"/>
                <w:szCs w:val="20"/>
              </w:rPr>
              <w:t>(</w:t>
            </w:r>
            <w:r>
              <w:rPr>
                <w:rFonts w:ascii="Arial" w:hAnsi="Arial"/>
                <w:i/>
                <w:iCs/>
                <w:color w:val="808080"/>
                <w:sz w:val="20"/>
                <w:szCs w:val="20"/>
              </w:rPr>
              <w:t>mis:</w:t>
            </w:r>
            <w:r>
              <w:rPr>
                <w:rFonts w:ascii="Arial" w:hAnsi="Arial"/>
                <w:color w:val="808080"/>
                <w:sz w:val="20"/>
                <w:szCs w:val="20"/>
              </w:rPr>
              <w:t xml:space="preserve"> 103)</w:t>
            </w:r>
          </w:p>
        </w:tc>
        <w:tc>
          <w:tcPr>
            <w:tcW w:w="126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683/175</w:t>
            </w:r>
          </w:p>
          <w:p>
            <w:pPr>
              <w:pStyle w:val="TableContents"/>
              <w:jc w:val="both"/>
              <w:rPr>
                <w:rFonts w:ascii="Arial" w:hAnsi="Arial"/>
                <w:color w:val="808080"/>
                <w:sz w:val="20"/>
                <w:szCs w:val="20"/>
              </w:rPr>
            </w:pPr>
            <w:r>
              <w:rPr>
                <w:rFonts w:ascii="Arial" w:hAnsi="Arial"/>
                <w:color w:val="808080"/>
                <w:sz w:val="20"/>
                <w:szCs w:val="20"/>
              </w:rPr>
              <w:t>(</w:t>
            </w:r>
            <w:r>
              <w:rPr>
                <w:rFonts w:ascii="Arial" w:hAnsi="Arial"/>
                <w:i/>
                <w:iCs/>
                <w:color w:val="808080"/>
                <w:sz w:val="20"/>
                <w:szCs w:val="20"/>
              </w:rPr>
              <w:t>mis: 61</w:t>
            </w:r>
            <w:r>
              <w:rPr>
                <w:rFonts w:ascii="Arial" w:hAnsi="Arial"/>
                <w:color w:val="808080"/>
                <w:sz w:val="20"/>
                <w:szCs w:val="20"/>
              </w:rPr>
              <w:t>)</w:t>
            </w:r>
          </w:p>
        </w:tc>
        <w:tc>
          <w:tcPr>
            <w:tcW w:w="1262"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565/145</w:t>
            </w:r>
          </w:p>
          <w:p>
            <w:pPr>
              <w:pStyle w:val="TableContents"/>
              <w:jc w:val="both"/>
              <w:rPr>
                <w:rFonts w:ascii="Arial" w:hAnsi="Arial"/>
                <w:color w:val="808080"/>
                <w:sz w:val="20"/>
                <w:szCs w:val="20"/>
              </w:rPr>
            </w:pPr>
            <w:r>
              <w:rPr>
                <w:rFonts w:ascii="Arial" w:hAnsi="Arial"/>
                <w:color w:val="808080"/>
                <w:sz w:val="20"/>
                <w:szCs w:val="20"/>
              </w:rPr>
              <w:t>(</w:t>
            </w:r>
            <w:r>
              <w:rPr>
                <w:rFonts w:ascii="Arial" w:hAnsi="Arial"/>
                <w:i/>
                <w:iCs/>
                <w:color w:val="808080"/>
                <w:sz w:val="20"/>
                <w:szCs w:val="20"/>
              </w:rPr>
              <w:t>mis: 42</w:t>
            </w:r>
            <w:r>
              <w:rPr>
                <w:rFonts w:ascii="Arial" w:hAnsi="Arial"/>
                <w:color w:val="808080"/>
                <w:sz w:val="20"/>
                <w:szCs w:val="20"/>
              </w:rPr>
              <w:t>)</w:t>
            </w:r>
          </w:p>
        </w:tc>
        <w:tc>
          <w:tcPr>
            <w:tcW w:w="117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86/36</w:t>
            </w:r>
          </w:p>
          <w:p>
            <w:pPr>
              <w:pStyle w:val="TableContents"/>
              <w:jc w:val="both"/>
              <w:rPr>
                <w:rFonts w:ascii="Arial" w:hAnsi="Arial"/>
                <w:color w:val="808080"/>
                <w:sz w:val="20"/>
                <w:szCs w:val="20"/>
              </w:rPr>
            </w:pPr>
            <w:r>
              <w:rPr>
                <w:rFonts w:ascii="Arial" w:hAnsi="Arial"/>
                <w:color w:val="808080"/>
                <w:sz w:val="20"/>
                <w:szCs w:val="20"/>
              </w:rPr>
              <w:t>(</w:t>
            </w:r>
            <w:r>
              <w:rPr>
                <w:rFonts w:ascii="Arial" w:hAnsi="Arial"/>
                <w:i/>
                <w:iCs/>
                <w:color w:val="808080"/>
                <w:sz w:val="20"/>
                <w:szCs w:val="20"/>
              </w:rPr>
              <w:t>mis: 6</w:t>
            </w:r>
            <w:r>
              <w:rPr>
                <w:rFonts w:ascii="Arial" w:hAnsi="Arial"/>
                <w:color w:val="808080"/>
                <w:sz w:val="20"/>
                <w:szCs w:val="20"/>
              </w:rPr>
              <w:t>)</w:t>
            </w:r>
          </w:p>
        </w:tc>
        <w:tc>
          <w:tcPr>
            <w:tcW w:w="117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49/20</w:t>
            </w:r>
          </w:p>
          <w:p>
            <w:pPr>
              <w:pStyle w:val="TableContents"/>
              <w:jc w:val="both"/>
              <w:rPr>
                <w:rFonts w:ascii="Arial" w:hAnsi="Arial"/>
                <w:color w:val="808080"/>
                <w:sz w:val="20"/>
                <w:szCs w:val="20"/>
              </w:rPr>
            </w:pPr>
            <w:r>
              <w:rPr>
                <w:rFonts w:ascii="Arial" w:hAnsi="Arial"/>
                <w:color w:val="808080"/>
                <w:sz w:val="20"/>
                <w:szCs w:val="20"/>
              </w:rPr>
              <w:t>(</w:t>
            </w:r>
            <w:r>
              <w:rPr>
                <w:rFonts w:ascii="Arial" w:hAnsi="Arial"/>
                <w:i/>
                <w:iCs/>
                <w:color w:val="808080"/>
                <w:sz w:val="20"/>
                <w:szCs w:val="20"/>
              </w:rPr>
              <w:t>mis: 3</w:t>
            </w:r>
            <w:r>
              <w:rPr>
                <w:rFonts w:ascii="Arial" w:hAnsi="Arial"/>
                <w:color w:val="808080"/>
                <w:sz w:val="20"/>
                <w:szCs w:val="20"/>
              </w:rPr>
              <w:t>)</w:t>
            </w:r>
          </w:p>
        </w:tc>
        <w:tc>
          <w:tcPr>
            <w:tcW w:w="1170"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37/16</w:t>
            </w:r>
          </w:p>
          <w:p>
            <w:pPr>
              <w:pStyle w:val="TableContents"/>
              <w:jc w:val="both"/>
              <w:rPr>
                <w:rFonts w:ascii="Arial" w:hAnsi="Arial"/>
                <w:color w:val="808080"/>
                <w:sz w:val="20"/>
                <w:szCs w:val="20"/>
              </w:rPr>
            </w:pPr>
            <w:r>
              <w:rPr>
                <w:rFonts w:ascii="Arial" w:hAnsi="Arial"/>
                <w:color w:val="808080"/>
                <w:sz w:val="20"/>
                <w:szCs w:val="20"/>
              </w:rPr>
              <w:t>(</w:t>
            </w:r>
            <w:r>
              <w:rPr>
                <w:rFonts w:ascii="Arial" w:hAnsi="Arial"/>
                <w:i/>
                <w:iCs/>
                <w:color w:val="808080"/>
                <w:sz w:val="20"/>
                <w:szCs w:val="20"/>
              </w:rPr>
              <w:t>mis: 3</w:t>
            </w:r>
            <w:r>
              <w:rPr>
                <w:rFonts w:ascii="Arial" w:hAnsi="Arial"/>
                <w:color w:val="808080"/>
                <w:sz w:val="20"/>
                <w:szCs w:val="20"/>
              </w:rPr>
              <w:t>)</w:t>
            </w:r>
          </w:p>
        </w:tc>
        <w:tc>
          <w:tcPr>
            <w:tcW w:w="8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widowControl w:val="false"/>
              <w:bidi w:val="0"/>
              <w:spacing w:lineRule="auto" w:line="480" w:before="0" w:after="240"/>
              <w:jc w:val="both"/>
              <w:rPr>
                <w:rFonts w:ascii="Arial" w:hAnsi="Arial" w:cs="Arial"/>
                <w:b/>
                <w:b/>
                <w:bCs/>
                <w:sz w:val="22"/>
                <w:szCs w:val="22"/>
              </w:rPr>
            </w:pPr>
            <w:r>
              <w:rPr>
                <w:rStyle w:val="InternetLink"/>
                <w:rFonts w:eastAsia="Arial" w:cs="Arial" w:ascii="Arial" w:hAnsi="Arial"/>
                <w:b w:val="false"/>
                <w:bCs w:val="false"/>
                <w:i w:val="false"/>
                <w:iCs w:val="false"/>
                <w:caps w:val="false"/>
                <w:smallCaps w:val="false"/>
                <w:color w:val="000000"/>
                <w:spacing w:val="0"/>
                <w:sz w:val="24"/>
                <w:szCs w:val="24"/>
                <w:u w:val="none"/>
                <w:lang w:val="en-US"/>
              </w:rPr>
              <w:t>0.018</w:t>
            </w:r>
          </w:p>
        </w:tc>
      </w:tr>
      <w:tr>
        <w:trPr/>
        <w:tc>
          <w:tcPr>
            <w:tcW w:w="1657"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Smoking</w:t>
            </w:r>
          </w:p>
        </w:tc>
        <w:tc>
          <w:tcPr>
            <w:tcW w:w="1133"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1404/164</w:t>
            </w:r>
          </w:p>
          <w:p>
            <w:pPr>
              <w:pStyle w:val="TableContents"/>
              <w:jc w:val="both"/>
              <w:rPr>
                <w:rFonts w:ascii="Arial" w:hAnsi="Arial"/>
                <w:color w:val="808080"/>
                <w:sz w:val="20"/>
                <w:szCs w:val="20"/>
              </w:rPr>
            </w:pPr>
            <w:r>
              <w:rPr>
                <w:rFonts w:ascii="Arial" w:hAnsi="Arial"/>
                <w:color w:val="808080"/>
                <w:sz w:val="20"/>
                <w:szCs w:val="20"/>
              </w:rPr>
              <w:t>(</w:t>
            </w:r>
            <w:r>
              <w:rPr>
                <w:rFonts w:ascii="Arial" w:hAnsi="Arial"/>
                <w:i/>
                <w:iCs/>
                <w:color w:val="808080"/>
                <w:sz w:val="20"/>
                <w:szCs w:val="20"/>
              </w:rPr>
              <w:t>mis:</w:t>
            </w:r>
            <w:r>
              <w:rPr>
                <w:rFonts w:ascii="Arial" w:hAnsi="Arial"/>
                <w:color w:val="808080"/>
                <w:sz w:val="20"/>
                <w:szCs w:val="20"/>
              </w:rPr>
              <w:t xml:space="preserve"> 139)</w:t>
            </w:r>
          </w:p>
        </w:tc>
        <w:tc>
          <w:tcPr>
            <w:tcW w:w="126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765/93</w:t>
            </w:r>
          </w:p>
          <w:p>
            <w:pPr>
              <w:pStyle w:val="TableContents"/>
              <w:jc w:val="both"/>
              <w:rPr>
                <w:rFonts w:ascii="Arial" w:hAnsi="Arial"/>
                <w:color w:val="808080"/>
                <w:sz w:val="20"/>
                <w:szCs w:val="20"/>
              </w:rPr>
            </w:pPr>
            <w:r>
              <w:rPr>
                <w:rFonts w:ascii="Arial" w:hAnsi="Arial"/>
                <w:color w:val="808080"/>
                <w:sz w:val="20"/>
                <w:szCs w:val="20"/>
              </w:rPr>
              <w:t>(</w:t>
            </w:r>
            <w:r>
              <w:rPr>
                <w:rFonts w:ascii="Arial" w:hAnsi="Arial"/>
                <w:i/>
                <w:iCs/>
                <w:color w:val="808080"/>
                <w:sz w:val="20"/>
                <w:szCs w:val="20"/>
              </w:rPr>
              <w:t>mis: 8</w:t>
            </w:r>
            <w:r>
              <w:rPr>
                <w:rFonts w:ascii="Arial" w:hAnsi="Arial"/>
                <w:color w:val="808080"/>
                <w:sz w:val="20"/>
                <w:szCs w:val="20"/>
              </w:rPr>
              <w:t>0)</w:t>
            </w:r>
          </w:p>
        </w:tc>
        <w:tc>
          <w:tcPr>
            <w:tcW w:w="1262"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639/71</w:t>
            </w:r>
          </w:p>
          <w:p>
            <w:pPr>
              <w:pStyle w:val="TableContents"/>
              <w:jc w:val="both"/>
              <w:rPr>
                <w:rFonts w:ascii="Arial" w:hAnsi="Arial"/>
                <w:color w:val="808080"/>
                <w:sz w:val="20"/>
                <w:szCs w:val="20"/>
              </w:rPr>
            </w:pPr>
            <w:r>
              <w:rPr>
                <w:rFonts w:ascii="Arial" w:hAnsi="Arial"/>
                <w:color w:val="808080"/>
                <w:sz w:val="20"/>
                <w:szCs w:val="20"/>
              </w:rPr>
              <w:t>(</w:t>
            </w:r>
            <w:r>
              <w:rPr>
                <w:rFonts w:ascii="Arial" w:hAnsi="Arial"/>
                <w:i/>
                <w:iCs/>
                <w:color w:val="808080"/>
                <w:sz w:val="20"/>
                <w:szCs w:val="20"/>
              </w:rPr>
              <w:t>mis: 59</w:t>
            </w:r>
            <w:r>
              <w:rPr>
                <w:rFonts w:ascii="Arial" w:hAnsi="Arial"/>
                <w:color w:val="808080"/>
                <w:sz w:val="20"/>
                <w:szCs w:val="20"/>
              </w:rPr>
              <w:t>)</w:t>
            </w:r>
          </w:p>
        </w:tc>
        <w:tc>
          <w:tcPr>
            <w:tcW w:w="117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113/9</w:t>
            </w:r>
          </w:p>
          <w:p>
            <w:pPr>
              <w:pStyle w:val="TableContents"/>
              <w:jc w:val="both"/>
              <w:rPr>
                <w:rFonts w:ascii="Arial" w:hAnsi="Arial"/>
                <w:color w:val="808080"/>
                <w:sz w:val="20"/>
                <w:szCs w:val="20"/>
              </w:rPr>
            </w:pPr>
            <w:r>
              <w:rPr>
                <w:rFonts w:ascii="Arial" w:hAnsi="Arial"/>
                <w:color w:val="808080"/>
                <w:sz w:val="20"/>
                <w:szCs w:val="20"/>
              </w:rPr>
              <w:t>(</w:t>
            </w:r>
            <w:r>
              <w:rPr>
                <w:rFonts w:ascii="Arial" w:hAnsi="Arial"/>
                <w:i/>
                <w:iCs/>
                <w:color w:val="808080"/>
                <w:sz w:val="20"/>
                <w:szCs w:val="20"/>
              </w:rPr>
              <w:t>mis: 8)</w:t>
            </w:r>
          </w:p>
        </w:tc>
        <w:tc>
          <w:tcPr>
            <w:tcW w:w="117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64/5</w:t>
            </w:r>
          </w:p>
          <w:p>
            <w:pPr>
              <w:pStyle w:val="TableContents"/>
              <w:jc w:val="both"/>
              <w:rPr>
                <w:rFonts w:ascii="Arial" w:hAnsi="Arial"/>
                <w:color w:val="808080"/>
                <w:sz w:val="20"/>
                <w:szCs w:val="20"/>
              </w:rPr>
            </w:pPr>
            <w:r>
              <w:rPr>
                <w:rFonts w:ascii="Arial" w:hAnsi="Arial"/>
                <w:color w:val="808080"/>
                <w:sz w:val="20"/>
                <w:szCs w:val="20"/>
              </w:rPr>
              <w:t>(</w:t>
            </w:r>
            <w:r>
              <w:rPr>
                <w:rFonts w:ascii="Arial" w:hAnsi="Arial"/>
                <w:i/>
                <w:iCs/>
                <w:color w:val="808080"/>
                <w:sz w:val="20"/>
                <w:szCs w:val="20"/>
              </w:rPr>
              <w:t>mis: 4</w:t>
            </w:r>
            <w:r>
              <w:rPr>
                <w:rFonts w:ascii="Arial" w:hAnsi="Arial"/>
                <w:color w:val="808080"/>
                <w:sz w:val="20"/>
                <w:szCs w:val="20"/>
              </w:rPr>
              <w:t>)</w:t>
            </w:r>
          </w:p>
        </w:tc>
        <w:tc>
          <w:tcPr>
            <w:tcW w:w="1170"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49/4</w:t>
            </w:r>
          </w:p>
          <w:p>
            <w:pPr>
              <w:pStyle w:val="TableContents"/>
              <w:jc w:val="both"/>
              <w:rPr>
                <w:rFonts w:ascii="Arial" w:hAnsi="Arial"/>
                <w:color w:val="808080"/>
                <w:sz w:val="20"/>
                <w:szCs w:val="20"/>
              </w:rPr>
            </w:pPr>
            <w:r>
              <w:rPr>
                <w:rFonts w:ascii="Arial" w:hAnsi="Arial"/>
                <w:color w:val="808080"/>
                <w:sz w:val="20"/>
                <w:szCs w:val="20"/>
              </w:rPr>
              <w:t>(</w:t>
            </w:r>
            <w:r>
              <w:rPr>
                <w:rFonts w:ascii="Arial" w:hAnsi="Arial"/>
                <w:i/>
                <w:iCs/>
                <w:color w:val="808080"/>
                <w:sz w:val="20"/>
                <w:szCs w:val="20"/>
              </w:rPr>
              <w:t>mis: 4</w:t>
            </w:r>
            <w:r>
              <w:rPr>
                <w:rFonts w:ascii="Arial" w:hAnsi="Arial"/>
                <w:color w:val="808080"/>
                <w:sz w:val="20"/>
                <w:szCs w:val="20"/>
              </w:rPr>
              <w:t>)</w:t>
            </w:r>
          </w:p>
        </w:tc>
        <w:tc>
          <w:tcPr>
            <w:tcW w:w="8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both"/>
              <w:rPr>
                <w:rFonts w:ascii="Arial" w:hAnsi="Arial"/>
                <w:sz w:val="22"/>
                <w:szCs w:val="22"/>
              </w:rPr>
            </w:pPr>
            <w:r>
              <w:rPr>
                <w:rFonts w:ascii="Arial" w:hAnsi="Arial"/>
                <w:sz w:val="22"/>
                <w:szCs w:val="22"/>
              </w:rPr>
              <w:t>0.279</w:t>
            </w:r>
          </w:p>
        </w:tc>
      </w:tr>
      <w:tr>
        <w:trPr/>
        <w:tc>
          <w:tcPr>
            <w:tcW w:w="1657"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Prenatal physical disease</w:t>
            </w:r>
          </w:p>
        </w:tc>
        <w:tc>
          <w:tcPr>
            <w:tcW w:w="1133"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920/648</w:t>
            </w:r>
          </w:p>
          <w:p>
            <w:pPr>
              <w:pStyle w:val="TableContents"/>
              <w:jc w:val="both"/>
              <w:rPr>
                <w:rFonts w:ascii="Arial" w:hAnsi="Arial"/>
                <w:color w:val="808080"/>
                <w:sz w:val="20"/>
                <w:szCs w:val="20"/>
              </w:rPr>
            </w:pPr>
            <w:r>
              <w:rPr>
                <w:rFonts w:ascii="Arial" w:hAnsi="Arial"/>
                <w:color w:val="808080"/>
                <w:sz w:val="20"/>
                <w:szCs w:val="20"/>
              </w:rPr>
              <w:t>(</w:t>
            </w:r>
            <w:r>
              <w:rPr>
                <w:rFonts w:ascii="Arial" w:hAnsi="Arial"/>
                <w:i/>
                <w:iCs/>
                <w:color w:val="808080"/>
                <w:sz w:val="20"/>
                <w:szCs w:val="20"/>
              </w:rPr>
              <w:t>mis:</w:t>
            </w:r>
            <w:r>
              <w:rPr>
                <w:rFonts w:ascii="Arial" w:hAnsi="Arial"/>
                <w:color w:val="808080"/>
                <w:sz w:val="20"/>
                <w:szCs w:val="20"/>
              </w:rPr>
              <w:t xml:space="preserve"> 56)</w:t>
            </w:r>
          </w:p>
        </w:tc>
        <w:tc>
          <w:tcPr>
            <w:tcW w:w="126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489/369</w:t>
            </w:r>
          </w:p>
          <w:p>
            <w:pPr>
              <w:pStyle w:val="TableContents"/>
              <w:jc w:val="both"/>
              <w:rPr>
                <w:rFonts w:ascii="Arial" w:hAnsi="Arial"/>
                <w:color w:val="808080"/>
                <w:sz w:val="20"/>
                <w:szCs w:val="20"/>
              </w:rPr>
            </w:pPr>
            <w:r>
              <w:rPr>
                <w:rFonts w:ascii="Arial" w:hAnsi="Arial"/>
                <w:color w:val="808080"/>
                <w:sz w:val="20"/>
                <w:szCs w:val="20"/>
              </w:rPr>
              <w:t>(</w:t>
            </w:r>
            <w:r>
              <w:rPr>
                <w:rFonts w:ascii="Arial" w:hAnsi="Arial"/>
                <w:i/>
                <w:iCs/>
                <w:color w:val="808080"/>
                <w:sz w:val="20"/>
                <w:szCs w:val="20"/>
              </w:rPr>
              <w:t xml:space="preserve">mis: </w:t>
            </w:r>
            <w:r>
              <w:rPr>
                <w:rFonts w:ascii="Arial" w:hAnsi="Arial"/>
                <w:color w:val="808080"/>
                <w:sz w:val="20"/>
                <w:szCs w:val="20"/>
              </w:rPr>
              <w:t>30)</w:t>
            </w:r>
          </w:p>
        </w:tc>
        <w:tc>
          <w:tcPr>
            <w:tcW w:w="1262"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431/279</w:t>
            </w:r>
          </w:p>
          <w:p>
            <w:pPr>
              <w:pStyle w:val="TableContents"/>
              <w:jc w:val="both"/>
              <w:rPr>
                <w:rFonts w:ascii="Arial" w:hAnsi="Arial"/>
                <w:color w:val="808080"/>
                <w:sz w:val="20"/>
                <w:szCs w:val="20"/>
              </w:rPr>
            </w:pPr>
            <w:r>
              <w:rPr>
                <w:rFonts w:ascii="Arial" w:hAnsi="Arial"/>
                <w:color w:val="808080"/>
                <w:sz w:val="20"/>
                <w:szCs w:val="20"/>
              </w:rPr>
              <w:t>(</w:t>
            </w:r>
            <w:r>
              <w:rPr>
                <w:rFonts w:ascii="Arial" w:hAnsi="Arial"/>
                <w:i/>
                <w:iCs/>
                <w:color w:val="808080"/>
                <w:sz w:val="20"/>
                <w:szCs w:val="20"/>
              </w:rPr>
              <w:t>mis: 26</w:t>
            </w:r>
            <w:r>
              <w:rPr>
                <w:rFonts w:ascii="Arial" w:hAnsi="Arial"/>
                <w:color w:val="808080"/>
                <w:sz w:val="20"/>
                <w:szCs w:val="20"/>
              </w:rPr>
              <w:t>)</w:t>
            </w:r>
          </w:p>
        </w:tc>
        <w:tc>
          <w:tcPr>
            <w:tcW w:w="117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84/38</w:t>
            </w:r>
          </w:p>
          <w:p>
            <w:pPr>
              <w:pStyle w:val="TableContents"/>
              <w:jc w:val="both"/>
              <w:rPr>
                <w:rFonts w:ascii="Arial" w:hAnsi="Arial"/>
                <w:color w:val="808080"/>
                <w:sz w:val="20"/>
                <w:szCs w:val="20"/>
              </w:rPr>
            </w:pPr>
            <w:r>
              <w:rPr>
                <w:rFonts w:ascii="Arial" w:hAnsi="Arial"/>
                <w:color w:val="808080"/>
                <w:sz w:val="20"/>
                <w:szCs w:val="20"/>
              </w:rPr>
              <w:t>(</w:t>
            </w:r>
            <w:r>
              <w:rPr>
                <w:rFonts w:ascii="Arial" w:hAnsi="Arial"/>
                <w:i/>
                <w:iCs/>
                <w:color w:val="808080"/>
                <w:sz w:val="20"/>
                <w:szCs w:val="20"/>
              </w:rPr>
              <w:t>mis: 2</w:t>
            </w:r>
            <w:r>
              <w:rPr>
                <w:rFonts w:ascii="Arial" w:hAnsi="Arial"/>
                <w:color w:val="808080"/>
                <w:sz w:val="20"/>
                <w:szCs w:val="20"/>
              </w:rPr>
              <w:t>)</w:t>
            </w:r>
          </w:p>
        </w:tc>
        <w:tc>
          <w:tcPr>
            <w:tcW w:w="117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47/22</w:t>
            </w:r>
          </w:p>
          <w:p>
            <w:pPr>
              <w:pStyle w:val="TableContents"/>
              <w:jc w:val="both"/>
              <w:rPr>
                <w:rFonts w:ascii="Arial" w:hAnsi="Arial"/>
                <w:color w:val="808080"/>
                <w:sz w:val="20"/>
                <w:szCs w:val="20"/>
              </w:rPr>
            </w:pPr>
            <w:r>
              <w:rPr>
                <w:rFonts w:ascii="Arial" w:hAnsi="Arial"/>
                <w:color w:val="808080"/>
                <w:sz w:val="20"/>
                <w:szCs w:val="20"/>
              </w:rPr>
              <w:t>(</w:t>
            </w:r>
            <w:r>
              <w:rPr>
                <w:rFonts w:ascii="Arial" w:hAnsi="Arial"/>
                <w:i/>
                <w:iCs/>
                <w:color w:val="808080"/>
                <w:sz w:val="20"/>
                <w:szCs w:val="20"/>
              </w:rPr>
              <w:t>mis: 1</w:t>
            </w:r>
            <w:r>
              <w:rPr>
                <w:rFonts w:ascii="Arial" w:hAnsi="Arial"/>
                <w:color w:val="808080"/>
                <w:sz w:val="20"/>
                <w:szCs w:val="20"/>
              </w:rPr>
              <w:t>)</w:t>
            </w:r>
          </w:p>
        </w:tc>
        <w:tc>
          <w:tcPr>
            <w:tcW w:w="1170"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37/16</w:t>
            </w:r>
          </w:p>
          <w:p>
            <w:pPr>
              <w:pStyle w:val="TableContents"/>
              <w:jc w:val="both"/>
              <w:rPr>
                <w:rFonts w:ascii="Arial" w:hAnsi="Arial"/>
                <w:color w:val="808080"/>
                <w:sz w:val="20"/>
                <w:szCs w:val="20"/>
              </w:rPr>
            </w:pPr>
            <w:r>
              <w:rPr>
                <w:rFonts w:ascii="Arial" w:hAnsi="Arial"/>
                <w:color w:val="808080"/>
                <w:sz w:val="20"/>
                <w:szCs w:val="20"/>
              </w:rPr>
              <w:t>(</w:t>
            </w:r>
            <w:r>
              <w:rPr>
                <w:rFonts w:ascii="Arial" w:hAnsi="Arial"/>
                <w:i/>
                <w:iCs/>
                <w:color w:val="808080"/>
                <w:sz w:val="20"/>
                <w:szCs w:val="20"/>
              </w:rPr>
              <w:t>mis: 1</w:t>
            </w:r>
            <w:r>
              <w:rPr>
                <w:rFonts w:ascii="Arial" w:hAnsi="Arial"/>
                <w:color w:val="808080"/>
                <w:sz w:val="20"/>
                <w:szCs w:val="20"/>
              </w:rPr>
              <w:t>)</w:t>
            </w:r>
          </w:p>
        </w:tc>
        <w:tc>
          <w:tcPr>
            <w:tcW w:w="8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widowControl w:val="false"/>
              <w:bidi w:val="0"/>
              <w:spacing w:lineRule="auto" w:line="480" w:before="0" w:after="240"/>
              <w:jc w:val="both"/>
              <w:rPr>
                <w:rFonts w:ascii="Arial" w:hAnsi="Arial" w:cs="Arial"/>
                <w:b/>
                <w:b/>
                <w:bCs/>
                <w:sz w:val="22"/>
                <w:szCs w:val="22"/>
              </w:rPr>
            </w:pPr>
            <w:r>
              <w:rPr>
                <w:rStyle w:val="InternetLink"/>
                <w:rFonts w:eastAsia="Arial" w:cs="Arial" w:ascii="Arial" w:hAnsi="Arial"/>
                <w:b w:val="false"/>
                <w:bCs w:val="false"/>
                <w:i w:val="false"/>
                <w:iCs w:val="false"/>
                <w:caps w:val="false"/>
                <w:smallCaps w:val="false"/>
                <w:color w:val="000000"/>
                <w:spacing w:val="0"/>
                <w:sz w:val="24"/>
                <w:szCs w:val="24"/>
                <w:u w:val="none"/>
                <w:lang w:val="en-US"/>
              </w:rPr>
              <w:t>0.027</w:t>
            </w:r>
          </w:p>
        </w:tc>
      </w:tr>
      <w:tr>
        <w:trPr/>
        <w:tc>
          <w:tcPr>
            <w:tcW w:w="1657"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Birth size low/high</w:t>
            </w:r>
          </w:p>
        </w:tc>
        <w:tc>
          <w:tcPr>
            <w:tcW w:w="1133"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1490/78</w:t>
            </w:r>
          </w:p>
          <w:p>
            <w:pPr>
              <w:pStyle w:val="TableContents"/>
              <w:jc w:val="both"/>
              <w:rPr>
                <w:rFonts w:ascii="Arial" w:hAnsi="Arial"/>
                <w:color w:val="808080"/>
                <w:sz w:val="20"/>
                <w:szCs w:val="20"/>
              </w:rPr>
            </w:pPr>
            <w:r>
              <w:rPr>
                <w:rFonts w:ascii="Arial" w:hAnsi="Arial"/>
                <w:color w:val="808080"/>
                <w:sz w:val="20"/>
                <w:szCs w:val="20"/>
              </w:rPr>
              <w:t>(</w:t>
            </w:r>
            <w:r>
              <w:rPr>
                <w:rFonts w:ascii="Arial" w:hAnsi="Arial"/>
                <w:i/>
                <w:iCs/>
                <w:color w:val="808080"/>
                <w:sz w:val="20"/>
                <w:szCs w:val="20"/>
              </w:rPr>
              <w:t>mis:</w:t>
            </w:r>
            <w:r>
              <w:rPr>
                <w:rFonts w:ascii="Arial" w:hAnsi="Arial"/>
                <w:color w:val="808080"/>
                <w:sz w:val="20"/>
                <w:szCs w:val="20"/>
              </w:rPr>
              <w:t xml:space="preserve"> 22)</w:t>
            </w:r>
          </w:p>
        </w:tc>
        <w:tc>
          <w:tcPr>
            <w:tcW w:w="126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814/44</w:t>
            </w:r>
          </w:p>
          <w:p>
            <w:pPr>
              <w:pStyle w:val="TableContents"/>
              <w:jc w:val="both"/>
              <w:rPr>
                <w:rFonts w:ascii="Arial" w:hAnsi="Arial"/>
                <w:color w:val="808080"/>
                <w:sz w:val="20"/>
                <w:szCs w:val="20"/>
              </w:rPr>
            </w:pPr>
            <w:r>
              <w:rPr>
                <w:rFonts w:ascii="Arial" w:hAnsi="Arial"/>
                <w:color w:val="808080"/>
                <w:sz w:val="20"/>
                <w:szCs w:val="20"/>
              </w:rPr>
              <w:t>(</w:t>
            </w:r>
            <w:r>
              <w:rPr>
                <w:rFonts w:ascii="Arial" w:hAnsi="Arial"/>
                <w:i/>
                <w:iCs/>
                <w:color w:val="808080"/>
                <w:sz w:val="20"/>
                <w:szCs w:val="20"/>
              </w:rPr>
              <w:t>mis: 8</w:t>
            </w:r>
            <w:r>
              <w:rPr>
                <w:rFonts w:ascii="Arial" w:hAnsi="Arial"/>
                <w:color w:val="808080"/>
                <w:sz w:val="20"/>
                <w:szCs w:val="20"/>
              </w:rPr>
              <w:t>)</w:t>
            </w:r>
          </w:p>
        </w:tc>
        <w:tc>
          <w:tcPr>
            <w:tcW w:w="1262"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676/34</w:t>
            </w:r>
          </w:p>
          <w:p>
            <w:pPr>
              <w:pStyle w:val="TableContents"/>
              <w:jc w:val="both"/>
              <w:rPr>
                <w:rFonts w:ascii="Arial" w:hAnsi="Arial"/>
                <w:color w:val="808080"/>
                <w:sz w:val="20"/>
                <w:szCs w:val="20"/>
              </w:rPr>
            </w:pPr>
            <w:r>
              <w:rPr>
                <w:rFonts w:ascii="Arial" w:hAnsi="Arial"/>
                <w:color w:val="808080"/>
                <w:sz w:val="20"/>
                <w:szCs w:val="20"/>
              </w:rPr>
              <w:t>(</w:t>
            </w:r>
            <w:r>
              <w:rPr>
                <w:rFonts w:ascii="Arial" w:hAnsi="Arial"/>
                <w:i/>
                <w:iCs/>
                <w:color w:val="808080"/>
                <w:sz w:val="20"/>
                <w:szCs w:val="20"/>
              </w:rPr>
              <w:t>mis: 14</w:t>
            </w:r>
            <w:r>
              <w:rPr>
                <w:rFonts w:ascii="Arial" w:hAnsi="Arial"/>
                <w:color w:val="808080"/>
                <w:sz w:val="20"/>
                <w:szCs w:val="20"/>
              </w:rPr>
              <w:t>)</w:t>
            </w:r>
          </w:p>
        </w:tc>
        <w:tc>
          <w:tcPr>
            <w:tcW w:w="117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121/1</w:t>
            </w:r>
          </w:p>
          <w:p>
            <w:pPr>
              <w:pStyle w:val="TableContents"/>
              <w:jc w:val="both"/>
              <w:rPr>
                <w:rFonts w:ascii="Arial" w:hAnsi="Arial"/>
                <w:color w:val="808080"/>
                <w:sz w:val="20"/>
                <w:szCs w:val="20"/>
              </w:rPr>
            </w:pPr>
            <w:r>
              <w:rPr>
                <w:rFonts w:ascii="Arial" w:hAnsi="Arial"/>
                <w:color w:val="808080"/>
                <w:sz w:val="20"/>
                <w:szCs w:val="20"/>
              </w:rPr>
              <w:t>(</w:t>
            </w:r>
            <w:r>
              <w:rPr>
                <w:rFonts w:ascii="Arial" w:hAnsi="Arial"/>
                <w:i/>
                <w:iCs/>
                <w:color w:val="808080"/>
                <w:sz w:val="20"/>
                <w:szCs w:val="20"/>
              </w:rPr>
              <w:t>mis: 2</w:t>
            </w:r>
            <w:r>
              <w:rPr>
                <w:rFonts w:ascii="Arial" w:hAnsi="Arial"/>
                <w:color w:val="808080"/>
                <w:sz w:val="20"/>
                <w:szCs w:val="20"/>
              </w:rPr>
              <w:t>)</w:t>
            </w:r>
          </w:p>
        </w:tc>
        <w:tc>
          <w:tcPr>
            <w:tcW w:w="117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69/0</w:t>
            </w:r>
          </w:p>
          <w:p>
            <w:pPr>
              <w:pStyle w:val="TableContents"/>
              <w:jc w:val="both"/>
              <w:rPr>
                <w:rFonts w:ascii="Arial" w:hAnsi="Arial"/>
                <w:color w:val="808080"/>
                <w:sz w:val="20"/>
                <w:szCs w:val="20"/>
              </w:rPr>
            </w:pPr>
            <w:r>
              <w:rPr>
                <w:rFonts w:ascii="Arial" w:hAnsi="Arial"/>
                <w:color w:val="808080"/>
                <w:sz w:val="20"/>
                <w:szCs w:val="20"/>
              </w:rPr>
              <w:t>(</w:t>
            </w:r>
            <w:r>
              <w:rPr>
                <w:rFonts w:ascii="Arial" w:hAnsi="Arial"/>
                <w:i/>
                <w:iCs/>
                <w:color w:val="808080"/>
                <w:sz w:val="20"/>
                <w:szCs w:val="20"/>
              </w:rPr>
              <w:t>mis: 1</w:t>
            </w:r>
            <w:r>
              <w:rPr>
                <w:rFonts w:ascii="Arial" w:hAnsi="Arial"/>
                <w:color w:val="808080"/>
                <w:sz w:val="20"/>
                <w:szCs w:val="20"/>
              </w:rPr>
              <w:t>)</w:t>
            </w:r>
          </w:p>
        </w:tc>
        <w:tc>
          <w:tcPr>
            <w:tcW w:w="1170"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52/1</w:t>
            </w:r>
          </w:p>
          <w:p>
            <w:pPr>
              <w:pStyle w:val="TableContents"/>
              <w:jc w:val="both"/>
              <w:rPr>
                <w:rFonts w:ascii="Arial" w:hAnsi="Arial"/>
                <w:color w:val="808080"/>
                <w:sz w:val="20"/>
                <w:szCs w:val="20"/>
              </w:rPr>
            </w:pPr>
            <w:r>
              <w:rPr>
                <w:rFonts w:ascii="Arial" w:hAnsi="Arial"/>
                <w:color w:val="808080"/>
                <w:sz w:val="20"/>
                <w:szCs w:val="20"/>
              </w:rPr>
              <w:t>(</w:t>
            </w:r>
            <w:r>
              <w:rPr>
                <w:rFonts w:ascii="Arial" w:hAnsi="Arial"/>
                <w:i/>
                <w:iCs/>
                <w:color w:val="808080"/>
                <w:sz w:val="20"/>
                <w:szCs w:val="20"/>
              </w:rPr>
              <w:t>mis: 1</w:t>
            </w:r>
            <w:r>
              <w:rPr>
                <w:rFonts w:ascii="Arial" w:hAnsi="Arial"/>
                <w:color w:val="808080"/>
                <w:sz w:val="20"/>
                <w:szCs w:val="20"/>
              </w:rPr>
              <w:t>)</w:t>
            </w:r>
          </w:p>
        </w:tc>
        <w:tc>
          <w:tcPr>
            <w:tcW w:w="8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widowControl w:val="false"/>
              <w:bidi w:val="0"/>
              <w:spacing w:lineRule="auto" w:line="480" w:before="0" w:after="240"/>
              <w:jc w:val="both"/>
              <w:rPr>
                <w:rFonts w:ascii="Arial" w:hAnsi="Arial" w:cs="Arial"/>
                <w:b/>
                <w:b/>
                <w:bCs/>
                <w:sz w:val="22"/>
                <w:szCs w:val="22"/>
              </w:rPr>
            </w:pPr>
            <w:r>
              <w:rPr>
                <w:rStyle w:val="InternetLink"/>
                <w:rFonts w:eastAsia="Arial" w:cs="Arial" w:ascii="Arial" w:hAnsi="Arial"/>
                <w:b w:val="false"/>
                <w:bCs w:val="false"/>
                <w:i w:val="false"/>
                <w:iCs w:val="false"/>
                <w:caps w:val="false"/>
                <w:smallCaps w:val="false"/>
                <w:color w:val="000000"/>
                <w:spacing w:val="0"/>
                <w:sz w:val="24"/>
                <w:szCs w:val="24"/>
                <w:u w:val="none"/>
                <w:lang w:val="en-US"/>
              </w:rPr>
              <w:t>0.036</w:t>
            </w:r>
          </w:p>
        </w:tc>
      </w:tr>
      <w:tr>
        <w:trPr/>
        <w:tc>
          <w:tcPr>
            <w:tcW w:w="1657"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 xml:space="preserve">GWK </w:t>
            </w:r>
            <w:r>
              <w:rPr>
                <w:rFonts w:eastAsia="Arial" w:cs="Arial" w:ascii="Arial" w:hAnsi="Arial"/>
                <w:sz w:val="22"/>
                <w:szCs w:val="22"/>
              </w:rPr>
              <w:t>≤</w:t>
            </w:r>
            <w:r>
              <w:rPr>
                <w:rFonts w:eastAsia="SimSun" w:cs="Lucida Sans" w:ascii="Arial" w:hAnsi="Arial"/>
                <w:sz w:val="22"/>
                <w:szCs w:val="22"/>
              </w:rPr>
              <w:t>37</w:t>
            </w:r>
          </w:p>
        </w:tc>
        <w:tc>
          <w:tcPr>
            <w:tcW w:w="1133"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1493/75</w:t>
            </w:r>
          </w:p>
        </w:tc>
        <w:tc>
          <w:tcPr>
            <w:tcW w:w="126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808/50</w:t>
            </w:r>
          </w:p>
        </w:tc>
        <w:tc>
          <w:tcPr>
            <w:tcW w:w="1262"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685/25</w:t>
            </w:r>
          </w:p>
        </w:tc>
        <w:tc>
          <w:tcPr>
            <w:tcW w:w="117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121/1</w:t>
            </w:r>
          </w:p>
        </w:tc>
        <w:tc>
          <w:tcPr>
            <w:tcW w:w="117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69/0</w:t>
            </w:r>
          </w:p>
        </w:tc>
        <w:tc>
          <w:tcPr>
            <w:tcW w:w="1170"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52/1</w:t>
            </w:r>
          </w:p>
        </w:tc>
        <w:tc>
          <w:tcPr>
            <w:tcW w:w="8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widowControl w:val="false"/>
              <w:bidi w:val="0"/>
              <w:spacing w:lineRule="auto" w:line="480" w:before="0" w:after="240"/>
              <w:jc w:val="both"/>
              <w:rPr>
                <w:rFonts w:ascii="Arial" w:hAnsi="Arial" w:cs="Arial"/>
                <w:b/>
                <w:b/>
                <w:bCs/>
                <w:sz w:val="22"/>
                <w:szCs w:val="22"/>
              </w:rPr>
            </w:pPr>
            <w:r>
              <w:rPr>
                <w:rStyle w:val="InternetLink"/>
                <w:rFonts w:eastAsia="Arial" w:cs="Arial" w:ascii="Arial" w:hAnsi="Arial"/>
                <w:b w:val="false"/>
                <w:bCs w:val="false"/>
                <w:i w:val="false"/>
                <w:iCs w:val="false"/>
                <w:caps w:val="false"/>
                <w:smallCaps w:val="false"/>
                <w:color w:val="000000"/>
                <w:spacing w:val="0"/>
                <w:sz w:val="24"/>
                <w:szCs w:val="24"/>
                <w:u w:val="none"/>
                <w:lang w:val="en-US"/>
              </w:rPr>
              <w:t>0.042</w:t>
            </w:r>
          </w:p>
        </w:tc>
      </w:tr>
      <w:tr>
        <w:trPr/>
        <w:tc>
          <w:tcPr>
            <w:tcW w:w="1657"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Birth weight [g]</w:t>
            </w:r>
            <w:r>
              <w:rPr>
                <w:rStyle w:val="InternetLink"/>
                <w:rFonts w:eastAsia="Arial" w:cs="Arial" w:ascii="Arial" w:hAnsi="Arial"/>
                <w:b w:val="false"/>
                <w:bCs w:val="false"/>
                <w:i w:val="false"/>
                <w:iCs w:val="false"/>
                <w:caps w:val="false"/>
                <w:smallCaps w:val="false"/>
                <w:color w:val="000000"/>
                <w:spacing w:val="0"/>
                <w:sz w:val="20"/>
                <w:szCs w:val="20"/>
                <w:u w:val="none"/>
                <w:lang w:val="en-US"/>
              </w:rPr>
              <w:t xml:space="preserve"> </w:t>
            </w:r>
          </w:p>
        </w:tc>
        <w:tc>
          <w:tcPr>
            <w:tcW w:w="1133"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3552±513</w:t>
            </w:r>
          </w:p>
          <w:p>
            <w:pPr>
              <w:pStyle w:val="TableContents"/>
              <w:jc w:val="both"/>
              <w:rPr>
                <w:rFonts w:ascii="Arial" w:hAnsi="Arial"/>
                <w:sz w:val="22"/>
                <w:szCs w:val="22"/>
              </w:rPr>
            </w:pPr>
            <w:r>
              <w:rPr>
                <w:rFonts w:ascii="Arial" w:hAnsi="Arial"/>
                <w:sz w:val="22"/>
                <w:szCs w:val="22"/>
              </w:rPr>
              <w:t>(940-5470)</w:t>
            </w:r>
          </w:p>
          <w:p>
            <w:pPr>
              <w:pStyle w:val="TableContents"/>
              <w:jc w:val="both"/>
              <w:rPr>
                <w:rFonts w:ascii="Arial" w:hAnsi="Arial"/>
                <w:i/>
                <w:i/>
                <w:iCs/>
                <w:color w:val="808080"/>
                <w:sz w:val="20"/>
                <w:szCs w:val="20"/>
              </w:rPr>
            </w:pPr>
            <w:r>
              <w:rPr>
                <w:rFonts w:ascii="Arial" w:hAnsi="Arial"/>
                <w:i/>
                <w:iCs/>
                <w:color w:val="808080"/>
                <w:sz w:val="20"/>
                <w:szCs w:val="20"/>
              </w:rPr>
              <w:t>(mis: 21)</w:t>
            </w:r>
          </w:p>
        </w:tc>
        <w:tc>
          <w:tcPr>
            <w:tcW w:w="126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3596±541 (940-5470)</w:t>
            </w:r>
          </w:p>
          <w:p>
            <w:pPr>
              <w:pStyle w:val="TableContents"/>
              <w:jc w:val="both"/>
              <w:rPr>
                <w:rFonts w:ascii="Arial" w:hAnsi="Arial"/>
                <w:i/>
                <w:i/>
                <w:iCs/>
                <w:color w:val="808080"/>
                <w:sz w:val="20"/>
                <w:szCs w:val="20"/>
              </w:rPr>
            </w:pPr>
            <w:r>
              <w:rPr>
                <w:rFonts w:ascii="Arial" w:hAnsi="Arial"/>
                <w:i/>
                <w:iCs/>
                <w:color w:val="808080"/>
                <w:sz w:val="20"/>
                <w:szCs w:val="20"/>
              </w:rPr>
              <w:t>(mis: 7)</w:t>
            </w:r>
          </w:p>
        </w:tc>
        <w:tc>
          <w:tcPr>
            <w:tcW w:w="1262"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3500±472</w:t>
            </w:r>
          </w:p>
          <w:p>
            <w:pPr>
              <w:pStyle w:val="TableContents"/>
              <w:jc w:val="both"/>
              <w:rPr>
                <w:rFonts w:ascii="Arial" w:hAnsi="Arial"/>
                <w:sz w:val="22"/>
                <w:szCs w:val="22"/>
              </w:rPr>
            </w:pPr>
            <w:r>
              <w:rPr>
                <w:rFonts w:ascii="Arial" w:hAnsi="Arial"/>
                <w:sz w:val="22"/>
                <w:szCs w:val="22"/>
              </w:rPr>
              <w:t>(1410-4975)</w:t>
            </w:r>
          </w:p>
          <w:p>
            <w:pPr>
              <w:pStyle w:val="TableContents"/>
              <w:jc w:val="both"/>
              <w:rPr>
                <w:rFonts w:ascii="Arial" w:hAnsi="Arial"/>
                <w:i/>
                <w:i/>
                <w:iCs/>
                <w:color w:val="808080"/>
                <w:sz w:val="20"/>
                <w:szCs w:val="20"/>
              </w:rPr>
            </w:pPr>
            <w:r>
              <w:rPr>
                <w:rFonts w:ascii="Arial" w:hAnsi="Arial"/>
                <w:i/>
                <w:iCs/>
                <w:color w:val="808080"/>
                <w:sz w:val="20"/>
                <w:szCs w:val="20"/>
              </w:rPr>
              <w:t>(mis: 14)</w:t>
            </w:r>
          </w:p>
        </w:tc>
        <w:tc>
          <w:tcPr>
            <w:tcW w:w="117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3484±430</w:t>
            </w:r>
          </w:p>
          <w:p>
            <w:pPr>
              <w:pStyle w:val="TableContents"/>
              <w:jc w:val="both"/>
              <w:rPr>
                <w:rFonts w:ascii="Arial" w:hAnsi="Arial"/>
                <w:sz w:val="22"/>
                <w:szCs w:val="22"/>
              </w:rPr>
            </w:pPr>
            <w:r>
              <w:rPr>
                <w:rFonts w:ascii="Arial" w:hAnsi="Arial"/>
                <w:sz w:val="22"/>
                <w:szCs w:val="22"/>
              </w:rPr>
              <w:t>(2530-4700)</w:t>
            </w:r>
          </w:p>
          <w:p>
            <w:pPr>
              <w:pStyle w:val="TableContents"/>
              <w:jc w:val="both"/>
              <w:rPr>
                <w:rFonts w:ascii="Arial" w:hAnsi="Arial"/>
                <w:i/>
                <w:i/>
                <w:iCs/>
                <w:color w:val="808080"/>
                <w:sz w:val="20"/>
                <w:szCs w:val="20"/>
              </w:rPr>
            </w:pPr>
            <w:r>
              <w:rPr>
                <w:rFonts w:ascii="Arial" w:hAnsi="Arial"/>
                <w:i/>
                <w:iCs/>
                <w:color w:val="808080"/>
                <w:sz w:val="20"/>
                <w:szCs w:val="20"/>
              </w:rPr>
              <w:t>(mis: 1)</w:t>
            </w:r>
          </w:p>
        </w:tc>
        <w:tc>
          <w:tcPr>
            <w:tcW w:w="117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3565±452</w:t>
            </w:r>
          </w:p>
          <w:p>
            <w:pPr>
              <w:pStyle w:val="TableContents"/>
              <w:jc w:val="both"/>
              <w:rPr>
                <w:rFonts w:ascii="Arial" w:hAnsi="Arial"/>
                <w:sz w:val="22"/>
                <w:szCs w:val="22"/>
              </w:rPr>
            </w:pPr>
            <w:r>
              <w:rPr>
                <w:rFonts w:ascii="Arial" w:hAnsi="Arial"/>
                <w:sz w:val="22"/>
                <w:szCs w:val="22"/>
              </w:rPr>
              <w:t>(2720-4700)</w:t>
            </w:r>
          </w:p>
        </w:tc>
        <w:tc>
          <w:tcPr>
            <w:tcW w:w="1170"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3379±380 (2530-4340)</w:t>
            </w:r>
          </w:p>
          <w:p>
            <w:pPr>
              <w:pStyle w:val="TableContents"/>
              <w:jc w:val="both"/>
              <w:rPr>
                <w:rFonts w:ascii="Arial" w:hAnsi="Arial"/>
                <w:i/>
                <w:i/>
                <w:iCs/>
                <w:color w:val="808080"/>
                <w:sz w:val="20"/>
                <w:szCs w:val="20"/>
              </w:rPr>
            </w:pPr>
            <w:r>
              <w:rPr>
                <w:rFonts w:ascii="Arial" w:hAnsi="Arial"/>
                <w:i/>
                <w:iCs/>
                <w:color w:val="808080"/>
                <w:sz w:val="20"/>
                <w:szCs w:val="20"/>
              </w:rPr>
              <w:t>(mis: 1)</w:t>
            </w:r>
          </w:p>
        </w:tc>
        <w:tc>
          <w:tcPr>
            <w:tcW w:w="8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both"/>
              <w:rPr>
                <w:rFonts w:ascii="Arial" w:hAnsi="Arial"/>
                <w:sz w:val="22"/>
                <w:szCs w:val="22"/>
              </w:rPr>
            </w:pPr>
            <w:r>
              <w:rPr>
                <w:rFonts w:ascii="Arial" w:hAnsi="Arial"/>
                <w:sz w:val="22"/>
                <w:szCs w:val="22"/>
              </w:rPr>
              <w:t>0.155</w:t>
            </w:r>
          </w:p>
        </w:tc>
      </w:tr>
      <w:tr>
        <w:trPr/>
        <w:tc>
          <w:tcPr>
            <w:tcW w:w="1657"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Apgar 5 min</w:t>
            </w:r>
          </w:p>
        </w:tc>
        <w:tc>
          <w:tcPr>
            <w:tcW w:w="1133"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9.06±0.80</w:t>
            </w:r>
          </w:p>
          <w:p>
            <w:pPr>
              <w:pStyle w:val="TableContents"/>
              <w:jc w:val="both"/>
              <w:rPr>
                <w:rFonts w:ascii="Arial" w:hAnsi="Arial"/>
                <w:sz w:val="22"/>
                <w:szCs w:val="22"/>
              </w:rPr>
            </w:pPr>
            <w:r>
              <w:rPr>
                <w:rFonts w:ascii="Arial" w:hAnsi="Arial"/>
                <w:sz w:val="22"/>
                <w:szCs w:val="22"/>
              </w:rPr>
              <w:t>(3-10)</w:t>
            </w:r>
          </w:p>
          <w:p>
            <w:pPr>
              <w:pStyle w:val="TableContents"/>
              <w:jc w:val="both"/>
              <w:rPr>
                <w:rFonts w:ascii="Arial" w:hAnsi="Arial"/>
                <w:i/>
                <w:i/>
                <w:iCs/>
                <w:color w:val="808080"/>
                <w:sz w:val="20"/>
                <w:szCs w:val="20"/>
              </w:rPr>
            </w:pPr>
            <w:r>
              <w:rPr>
                <w:rFonts w:ascii="Arial" w:hAnsi="Arial"/>
                <w:i/>
                <w:iCs/>
                <w:color w:val="808080"/>
                <w:sz w:val="20"/>
                <w:szCs w:val="20"/>
              </w:rPr>
              <w:t>(mis: 27)</w:t>
            </w:r>
          </w:p>
        </w:tc>
        <w:tc>
          <w:tcPr>
            <w:tcW w:w="126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9.06±0.77 (3-10)</w:t>
            </w:r>
          </w:p>
          <w:p>
            <w:pPr>
              <w:pStyle w:val="TableContents"/>
              <w:jc w:val="both"/>
              <w:rPr>
                <w:rFonts w:ascii="Arial" w:hAnsi="Arial"/>
                <w:i/>
                <w:i/>
                <w:iCs/>
                <w:color w:val="808080"/>
                <w:sz w:val="20"/>
                <w:szCs w:val="20"/>
              </w:rPr>
            </w:pPr>
            <w:r>
              <w:rPr>
                <w:rFonts w:ascii="Arial" w:hAnsi="Arial"/>
                <w:i/>
                <w:iCs/>
                <w:color w:val="808080"/>
                <w:sz w:val="20"/>
                <w:szCs w:val="20"/>
              </w:rPr>
              <w:t>(mis: 12)</w:t>
            </w:r>
          </w:p>
        </w:tc>
        <w:tc>
          <w:tcPr>
            <w:tcW w:w="1262"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9.06±0.84</w:t>
            </w:r>
          </w:p>
          <w:p>
            <w:pPr>
              <w:pStyle w:val="TableContents"/>
              <w:jc w:val="both"/>
              <w:rPr>
                <w:rFonts w:ascii="Arial" w:hAnsi="Arial"/>
                <w:sz w:val="22"/>
                <w:szCs w:val="22"/>
              </w:rPr>
            </w:pPr>
            <w:r>
              <w:rPr>
                <w:rFonts w:ascii="Arial" w:hAnsi="Arial"/>
                <w:sz w:val="22"/>
                <w:szCs w:val="22"/>
              </w:rPr>
              <w:t>(3-10)</w:t>
            </w:r>
          </w:p>
          <w:p>
            <w:pPr>
              <w:pStyle w:val="TableContents"/>
              <w:jc w:val="both"/>
              <w:rPr>
                <w:rFonts w:ascii="Arial" w:hAnsi="Arial"/>
                <w:i/>
                <w:i/>
                <w:iCs/>
                <w:color w:val="808080"/>
                <w:sz w:val="20"/>
                <w:szCs w:val="20"/>
              </w:rPr>
            </w:pPr>
            <w:r>
              <w:rPr>
                <w:rFonts w:ascii="Arial" w:hAnsi="Arial"/>
                <w:i/>
                <w:iCs/>
                <w:color w:val="808080"/>
                <w:sz w:val="20"/>
                <w:szCs w:val="20"/>
              </w:rPr>
              <w:t>(mis: 15)</w:t>
            </w:r>
          </w:p>
        </w:tc>
        <w:tc>
          <w:tcPr>
            <w:tcW w:w="117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8.98±0.90</w:t>
            </w:r>
          </w:p>
          <w:p>
            <w:pPr>
              <w:pStyle w:val="TableContents"/>
              <w:jc w:val="both"/>
              <w:rPr>
                <w:rFonts w:ascii="Arial" w:hAnsi="Arial"/>
                <w:sz w:val="22"/>
                <w:szCs w:val="22"/>
              </w:rPr>
            </w:pPr>
            <w:r>
              <w:rPr>
                <w:rFonts w:ascii="Arial" w:hAnsi="Arial"/>
                <w:sz w:val="22"/>
                <w:szCs w:val="22"/>
              </w:rPr>
              <w:t xml:space="preserve">(4-10) </w:t>
            </w:r>
            <w:r>
              <w:rPr>
                <w:rFonts w:ascii="Arial" w:hAnsi="Arial"/>
                <w:i/>
                <w:iCs/>
                <w:color w:val="808080"/>
                <w:sz w:val="20"/>
                <w:szCs w:val="20"/>
              </w:rPr>
              <w:t>(mis: 1)</w:t>
            </w:r>
          </w:p>
        </w:tc>
        <w:tc>
          <w:tcPr>
            <w:tcW w:w="117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8.81±1.08 (4-10)</w:t>
            </w:r>
          </w:p>
        </w:tc>
        <w:tc>
          <w:tcPr>
            <w:tcW w:w="1170"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 xml:space="preserve">9.21±0.53 (8-10) </w:t>
            </w:r>
          </w:p>
          <w:p>
            <w:pPr>
              <w:pStyle w:val="TableContents"/>
              <w:jc w:val="both"/>
              <w:rPr>
                <w:rFonts w:ascii="Arial" w:hAnsi="Arial"/>
                <w:sz w:val="22"/>
                <w:szCs w:val="22"/>
              </w:rPr>
            </w:pPr>
            <w:r>
              <w:rPr>
                <w:rFonts w:ascii="Arial" w:hAnsi="Arial"/>
                <w:i/>
                <w:iCs/>
                <w:color w:val="808080"/>
                <w:sz w:val="20"/>
                <w:szCs w:val="20"/>
              </w:rPr>
              <w:t>(mis: 1)</w:t>
            </w:r>
          </w:p>
        </w:tc>
        <w:tc>
          <w:tcPr>
            <w:tcW w:w="8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both"/>
              <w:rPr>
                <w:rFonts w:ascii="Arial" w:hAnsi="Arial"/>
                <w:sz w:val="22"/>
                <w:szCs w:val="22"/>
              </w:rPr>
            </w:pPr>
            <w:r>
              <w:rPr>
                <w:rFonts w:ascii="Arial" w:hAnsi="Arial"/>
                <w:sz w:val="22"/>
                <w:szCs w:val="22"/>
              </w:rPr>
              <w:t>0.348</w:t>
            </w:r>
          </w:p>
        </w:tc>
      </w:tr>
      <w:tr>
        <w:trPr/>
        <w:tc>
          <w:tcPr>
            <w:tcW w:w="1657"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POST-DS</w:t>
            </w:r>
          </w:p>
        </w:tc>
        <w:tc>
          <w:tcPr>
            <w:tcW w:w="1133"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1.65±1.89</w:t>
            </w:r>
          </w:p>
          <w:p>
            <w:pPr>
              <w:pStyle w:val="TableContents"/>
              <w:jc w:val="both"/>
              <w:rPr>
                <w:rFonts w:ascii="Arial" w:hAnsi="Arial"/>
                <w:sz w:val="22"/>
                <w:szCs w:val="22"/>
              </w:rPr>
            </w:pPr>
            <w:r>
              <w:rPr>
                <w:rFonts w:ascii="Arial" w:hAnsi="Arial"/>
                <w:sz w:val="22"/>
                <w:szCs w:val="22"/>
              </w:rPr>
              <w:t>(0-10)</w:t>
            </w:r>
          </w:p>
        </w:tc>
        <w:tc>
          <w:tcPr>
            <w:tcW w:w="126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1.71±1.94 (0-10)</w:t>
            </w:r>
          </w:p>
        </w:tc>
        <w:tc>
          <w:tcPr>
            <w:tcW w:w="1262"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1.57±1.81 (0-9)</w:t>
            </w:r>
          </w:p>
        </w:tc>
        <w:tc>
          <w:tcPr>
            <w:tcW w:w="117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color w:val="000000"/>
                <w:sz w:val="22"/>
                <w:szCs w:val="22"/>
              </w:rPr>
            </w:pPr>
            <w:r>
              <w:rPr>
                <w:rFonts w:ascii="Arial" w:hAnsi="Arial"/>
                <w:color w:val="000000"/>
                <w:sz w:val="22"/>
                <w:szCs w:val="22"/>
              </w:rPr>
              <w:t>2.10±2.45 (0-10)</w:t>
            </w:r>
          </w:p>
        </w:tc>
        <w:tc>
          <w:tcPr>
            <w:tcW w:w="117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2.26±2.52</w:t>
            </w:r>
          </w:p>
          <w:p>
            <w:pPr>
              <w:pStyle w:val="TableContents"/>
              <w:jc w:val="both"/>
              <w:rPr>
                <w:rFonts w:ascii="Arial" w:hAnsi="Arial"/>
                <w:sz w:val="22"/>
                <w:szCs w:val="22"/>
              </w:rPr>
            </w:pPr>
            <w:r>
              <w:rPr>
                <w:rFonts w:ascii="Arial" w:hAnsi="Arial"/>
                <w:sz w:val="22"/>
                <w:szCs w:val="22"/>
              </w:rPr>
              <w:t>(0-10)</w:t>
            </w:r>
          </w:p>
        </w:tc>
        <w:tc>
          <w:tcPr>
            <w:tcW w:w="1170"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1.89±2.37</w:t>
            </w:r>
          </w:p>
          <w:p>
            <w:pPr>
              <w:pStyle w:val="TableContents"/>
              <w:jc w:val="both"/>
              <w:rPr>
                <w:rFonts w:ascii="Arial" w:hAnsi="Arial"/>
                <w:sz w:val="22"/>
                <w:szCs w:val="22"/>
              </w:rPr>
            </w:pPr>
            <w:r>
              <w:rPr>
                <w:rFonts w:ascii="Arial" w:hAnsi="Arial"/>
                <w:sz w:val="22"/>
                <w:szCs w:val="22"/>
              </w:rPr>
              <w:t>(0-9)</w:t>
            </w:r>
          </w:p>
        </w:tc>
        <w:tc>
          <w:tcPr>
            <w:tcW w:w="8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widowControl w:val="false"/>
              <w:bidi w:val="0"/>
              <w:spacing w:lineRule="auto" w:line="480" w:before="0" w:after="240"/>
              <w:jc w:val="both"/>
              <w:rPr>
                <w:rFonts w:ascii="Arial" w:hAnsi="Arial" w:cs="Arial"/>
                <w:b/>
                <w:b/>
                <w:bCs/>
                <w:sz w:val="22"/>
                <w:szCs w:val="22"/>
              </w:rPr>
            </w:pPr>
            <w:r>
              <w:rPr>
                <w:rStyle w:val="InternetLink"/>
                <w:rFonts w:eastAsia="Arial" w:cs="Arial" w:ascii="Arial" w:hAnsi="Arial"/>
                <w:b w:val="false"/>
                <w:bCs w:val="false"/>
                <w:i w:val="false"/>
                <w:iCs w:val="false"/>
                <w:caps w:val="false"/>
                <w:smallCaps w:val="false"/>
                <w:color w:val="000000"/>
                <w:spacing w:val="0"/>
                <w:sz w:val="24"/>
                <w:szCs w:val="24"/>
                <w:u w:val="none"/>
                <w:lang w:val="en-US"/>
              </w:rPr>
              <w:t>0.013</w:t>
            </w:r>
          </w:p>
        </w:tc>
      </w:tr>
      <w:tr>
        <w:trPr/>
        <w:tc>
          <w:tcPr>
            <w:tcW w:w="1657"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SCL-post</w:t>
            </w:r>
          </w:p>
        </w:tc>
        <w:tc>
          <w:tcPr>
            <w:tcW w:w="1133"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0.21±0.59</w:t>
            </w:r>
          </w:p>
          <w:p>
            <w:pPr>
              <w:pStyle w:val="TableContents"/>
              <w:jc w:val="both"/>
              <w:rPr>
                <w:rFonts w:ascii="Arial" w:hAnsi="Arial"/>
                <w:sz w:val="22"/>
                <w:szCs w:val="22"/>
              </w:rPr>
            </w:pPr>
            <w:r>
              <w:rPr>
                <w:rFonts w:ascii="Arial" w:hAnsi="Arial"/>
                <w:sz w:val="22"/>
                <w:szCs w:val="22"/>
              </w:rPr>
              <w:t>(0-3)</w:t>
            </w:r>
          </w:p>
          <w:p>
            <w:pPr>
              <w:pStyle w:val="TableContents"/>
              <w:jc w:val="both"/>
              <w:rPr>
                <w:rFonts w:ascii="Arial" w:hAnsi="Arial"/>
                <w:color w:val="808080"/>
                <w:sz w:val="20"/>
                <w:szCs w:val="20"/>
              </w:rPr>
            </w:pPr>
            <w:r>
              <w:rPr>
                <w:rFonts w:ascii="Arial" w:hAnsi="Arial"/>
                <w:color w:val="808080"/>
                <w:sz w:val="20"/>
                <w:szCs w:val="20"/>
              </w:rPr>
              <w:t>(</w:t>
            </w:r>
            <w:r>
              <w:rPr>
                <w:rFonts w:ascii="Arial" w:hAnsi="Arial"/>
                <w:i/>
                <w:iCs/>
                <w:color w:val="808080"/>
                <w:sz w:val="20"/>
                <w:szCs w:val="20"/>
              </w:rPr>
              <w:t>mis:</w:t>
            </w:r>
            <w:r>
              <w:rPr>
                <w:rFonts w:ascii="Arial" w:hAnsi="Arial"/>
                <w:color w:val="808080"/>
                <w:sz w:val="20"/>
                <w:szCs w:val="20"/>
              </w:rPr>
              <w:t xml:space="preserve"> 743*)</w:t>
            </w:r>
          </w:p>
        </w:tc>
        <w:tc>
          <w:tcPr>
            <w:tcW w:w="126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0.25±0.64 (0-3)</w:t>
            </w:r>
          </w:p>
          <w:p>
            <w:pPr>
              <w:pStyle w:val="TableContents"/>
              <w:jc w:val="both"/>
              <w:rPr>
                <w:rFonts w:ascii="Arial" w:hAnsi="Arial"/>
                <w:color w:val="808080"/>
                <w:sz w:val="20"/>
                <w:szCs w:val="20"/>
              </w:rPr>
            </w:pPr>
            <w:r>
              <w:rPr>
                <w:rFonts w:ascii="Arial" w:hAnsi="Arial"/>
                <w:color w:val="808080"/>
                <w:sz w:val="20"/>
                <w:szCs w:val="20"/>
              </w:rPr>
              <w:t>(</w:t>
            </w:r>
            <w:r>
              <w:rPr>
                <w:rFonts w:ascii="Arial" w:hAnsi="Arial"/>
                <w:i/>
                <w:iCs/>
                <w:color w:val="808080"/>
                <w:sz w:val="20"/>
                <w:szCs w:val="20"/>
              </w:rPr>
              <w:t>mis:</w:t>
            </w:r>
            <w:r>
              <w:rPr>
                <w:rFonts w:ascii="Arial" w:hAnsi="Arial"/>
                <w:color w:val="808080"/>
                <w:sz w:val="20"/>
                <w:szCs w:val="20"/>
              </w:rPr>
              <w:t xml:space="preserve"> 400*)</w:t>
            </w:r>
          </w:p>
        </w:tc>
        <w:tc>
          <w:tcPr>
            <w:tcW w:w="1262"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0.18±0.52 (0-3)</w:t>
            </w:r>
          </w:p>
          <w:p>
            <w:pPr>
              <w:pStyle w:val="TableContents"/>
              <w:jc w:val="both"/>
              <w:rPr>
                <w:rFonts w:ascii="Arial" w:hAnsi="Arial"/>
                <w:color w:val="808080"/>
                <w:sz w:val="20"/>
                <w:szCs w:val="20"/>
              </w:rPr>
            </w:pPr>
            <w:r>
              <w:rPr>
                <w:rFonts w:ascii="Arial" w:hAnsi="Arial"/>
                <w:color w:val="808080"/>
                <w:sz w:val="20"/>
                <w:szCs w:val="20"/>
              </w:rPr>
              <w:t>(</w:t>
            </w:r>
            <w:r>
              <w:rPr>
                <w:rFonts w:ascii="Arial" w:hAnsi="Arial"/>
                <w:i/>
                <w:iCs/>
                <w:color w:val="808080"/>
                <w:sz w:val="20"/>
                <w:szCs w:val="20"/>
              </w:rPr>
              <w:t>mis:</w:t>
            </w:r>
            <w:r>
              <w:rPr>
                <w:rFonts w:ascii="Arial" w:hAnsi="Arial"/>
                <w:color w:val="808080"/>
                <w:sz w:val="20"/>
                <w:szCs w:val="20"/>
              </w:rPr>
              <w:t xml:space="preserve"> 343*)</w:t>
            </w:r>
          </w:p>
        </w:tc>
        <w:tc>
          <w:tcPr>
            <w:tcW w:w="117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0.35±0.86 (0-3)</w:t>
            </w:r>
          </w:p>
          <w:p>
            <w:pPr>
              <w:pStyle w:val="TableContents"/>
              <w:jc w:val="both"/>
              <w:rPr>
                <w:rFonts w:ascii="Arial" w:hAnsi="Arial"/>
                <w:color w:val="808080"/>
                <w:sz w:val="20"/>
                <w:szCs w:val="20"/>
              </w:rPr>
            </w:pPr>
            <w:r>
              <w:rPr>
                <w:rFonts w:ascii="Arial" w:hAnsi="Arial"/>
                <w:color w:val="808080"/>
                <w:sz w:val="20"/>
                <w:szCs w:val="20"/>
              </w:rPr>
              <w:t>(</w:t>
            </w:r>
            <w:r>
              <w:rPr>
                <w:rFonts w:ascii="Arial" w:hAnsi="Arial"/>
                <w:i/>
                <w:iCs/>
                <w:color w:val="808080"/>
                <w:sz w:val="20"/>
                <w:szCs w:val="20"/>
              </w:rPr>
              <w:t>mis:</w:t>
            </w:r>
            <w:r>
              <w:rPr>
                <w:rFonts w:ascii="Arial" w:hAnsi="Arial"/>
                <w:color w:val="808080"/>
                <w:sz w:val="20"/>
                <w:szCs w:val="20"/>
              </w:rPr>
              <w:t xml:space="preserve"> 75)</w:t>
            </w:r>
          </w:p>
        </w:tc>
        <w:tc>
          <w:tcPr>
            <w:tcW w:w="117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0.42±0.93 (0-3)</w:t>
            </w:r>
          </w:p>
          <w:p>
            <w:pPr>
              <w:pStyle w:val="TableContents"/>
              <w:jc w:val="both"/>
              <w:rPr>
                <w:rFonts w:ascii="Arial" w:hAnsi="Arial"/>
                <w:color w:val="808080"/>
                <w:sz w:val="20"/>
                <w:szCs w:val="20"/>
              </w:rPr>
            </w:pPr>
            <w:r>
              <w:rPr>
                <w:rFonts w:ascii="Arial" w:hAnsi="Arial"/>
                <w:color w:val="808080"/>
                <w:sz w:val="20"/>
                <w:szCs w:val="20"/>
              </w:rPr>
              <w:t>(</w:t>
            </w:r>
            <w:r>
              <w:rPr>
                <w:rFonts w:ascii="Arial" w:hAnsi="Arial"/>
                <w:i/>
                <w:iCs/>
                <w:color w:val="808080"/>
                <w:sz w:val="20"/>
                <w:szCs w:val="20"/>
              </w:rPr>
              <w:t>mis: 47</w:t>
            </w:r>
            <w:r>
              <w:rPr>
                <w:rFonts w:ascii="Arial" w:hAnsi="Arial"/>
                <w:color w:val="808080"/>
                <w:sz w:val="20"/>
                <w:szCs w:val="20"/>
              </w:rPr>
              <w:t>)</w:t>
            </w:r>
          </w:p>
        </w:tc>
        <w:tc>
          <w:tcPr>
            <w:tcW w:w="1170"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0.26±0.76</w:t>
            </w:r>
          </w:p>
          <w:p>
            <w:pPr>
              <w:pStyle w:val="TableContents"/>
              <w:jc w:val="both"/>
              <w:rPr>
                <w:rFonts w:ascii="Arial" w:hAnsi="Arial"/>
                <w:sz w:val="22"/>
                <w:szCs w:val="22"/>
              </w:rPr>
            </w:pPr>
            <w:r>
              <w:rPr>
                <w:rFonts w:ascii="Arial" w:hAnsi="Arial"/>
                <w:sz w:val="22"/>
                <w:szCs w:val="22"/>
              </w:rPr>
              <w:t>(0-3)</w:t>
            </w:r>
          </w:p>
          <w:p>
            <w:pPr>
              <w:pStyle w:val="TableContents"/>
              <w:jc w:val="both"/>
              <w:rPr>
                <w:rFonts w:ascii="Arial" w:hAnsi="Arial"/>
                <w:color w:val="808080"/>
                <w:sz w:val="20"/>
                <w:szCs w:val="20"/>
              </w:rPr>
            </w:pPr>
            <w:r>
              <w:rPr>
                <w:rFonts w:ascii="Arial" w:hAnsi="Arial"/>
                <w:color w:val="808080"/>
                <w:sz w:val="20"/>
                <w:szCs w:val="20"/>
              </w:rPr>
              <w:t>(</w:t>
            </w:r>
            <w:r>
              <w:rPr>
                <w:rFonts w:ascii="Arial" w:hAnsi="Arial"/>
                <w:i/>
                <w:iCs/>
                <w:color w:val="808080"/>
                <w:sz w:val="20"/>
                <w:szCs w:val="20"/>
              </w:rPr>
              <w:t>mis: 28</w:t>
            </w:r>
            <w:r>
              <w:rPr>
                <w:rFonts w:ascii="Arial" w:hAnsi="Arial"/>
                <w:color w:val="808080"/>
                <w:sz w:val="20"/>
                <w:szCs w:val="20"/>
              </w:rPr>
              <w:t>)</w:t>
            </w:r>
          </w:p>
        </w:tc>
        <w:tc>
          <w:tcPr>
            <w:tcW w:w="8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both"/>
              <w:rPr>
                <w:rFonts w:ascii="Arial" w:hAnsi="Arial"/>
                <w:sz w:val="22"/>
                <w:szCs w:val="22"/>
              </w:rPr>
            </w:pPr>
            <w:r>
              <w:rPr>
                <w:rFonts w:ascii="Arial" w:hAnsi="Arial"/>
                <w:sz w:val="22"/>
                <w:szCs w:val="22"/>
              </w:rPr>
              <w:t>0.017</w:t>
            </w:r>
          </w:p>
        </w:tc>
      </w:tr>
      <w:tr>
        <w:trPr/>
        <w:tc>
          <w:tcPr>
            <w:tcW w:w="1657"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EPDS-post</w:t>
            </w:r>
          </w:p>
        </w:tc>
        <w:tc>
          <w:tcPr>
            <w:tcW w:w="1133"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0.24±0.58</w:t>
            </w:r>
          </w:p>
          <w:p>
            <w:pPr>
              <w:pStyle w:val="TableContents"/>
              <w:jc w:val="both"/>
              <w:rPr>
                <w:rFonts w:ascii="Arial" w:hAnsi="Arial"/>
                <w:sz w:val="22"/>
                <w:szCs w:val="22"/>
              </w:rPr>
            </w:pPr>
            <w:r>
              <w:rPr>
                <w:rFonts w:ascii="Arial" w:hAnsi="Arial"/>
                <w:sz w:val="22"/>
                <w:szCs w:val="22"/>
              </w:rPr>
              <w:t>(0-3)</w:t>
            </w:r>
          </w:p>
          <w:p>
            <w:pPr>
              <w:pStyle w:val="TableContents"/>
              <w:jc w:val="both"/>
              <w:rPr>
                <w:rFonts w:ascii="Arial" w:hAnsi="Arial"/>
                <w:color w:val="808080"/>
                <w:sz w:val="20"/>
                <w:szCs w:val="20"/>
              </w:rPr>
            </w:pPr>
            <w:r>
              <w:rPr>
                <w:rFonts w:ascii="Arial" w:hAnsi="Arial"/>
                <w:color w:val="808080"/>
                <w:sz w:val="20"/>
                <w:szCs w:val="20"/>
              </w:rPr>
              <w:t>(</w:t>
            </w:r>
            <w:r>
              <w:rPr>
                <w:rFonts w:ascii="Arial" w:hAnsi="Arial"/>
                <w:i/>
                <w:iCs/>
                <w:color w:val="808080"/>
                <w:sz w:val="20"/>
                <w:szCs w:val="20"/>
              </w:rPr>
              <w:t>mis:</w:t>
            </w:r>
            <w:r>
              <w:rPr>
                <w:rFonts w:ascii="Arial" w:hAnsi="Arial"/>
                <w:color w:val="808080"/>
                <w:sz w:val="20"/>
                <w:szCs w:val="20"/>
              </w:rPr>
              <w:t xml:space="preserve"> 796*)</w:t>
            </w:r>
          </w:p>
        </w:tc>
        <w:tc>
          <w:tcPr>
            <w:tcW w:w="126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0.25±0.61 (0-3)</w:t>
            </w:r>
          </w:p>
          <w:p>
            <w:pPr>
              <w:pStyle w:val="TableContents"/>
              <w:jc w:val="both"/>
              <w:rPr>
                <w:rFonts w:ascii="Arial" w:hAnsi="Arial"/>
                <w:color w:val="808080"/>
                <w:sz w:val="20"/>
                <w:szCs w:val="20"/>
              </w:rPr>
            </w:pPr>
            <w:r>
              <w:rPr>
                <w:rFonts w:ascii="Arial" w:hAnsi="Arial"/>
                <w:color w:val="808080"/>
                <w:sz w:val="20"/>
                <w:szCs w:val="20"/>
              </w:rPr>
              <w:t>(</w:t>
            </w:r>
            <w:r>
              <w:rPr>
                <w:rFonts w:ascii="Arial" w:hAnsi="Arial"/>
                <w:i/>
                <w:iCs/>
                <w:color w:val="808080"/>
                <w:sz w:val="20"/>
                <w:szCs w:val="20"/>
              </w:rPr>
              <w:t>mis:</w:t>
            </w:r>
            <w:r>
              <w:rPr>
                <w:rFonts w:ascii="Arial" w:hAnsi="Arial"/>
                <w:color w:val="808080"/>
                <w:sz w:val="20"/>
                <w:szCs w:val="20"/>
              </w:rPr>
              <w:t xml:space="preserve"> 429*)</w:t>
            </w:r>
          </w:p>
        </w:tc>
        <w:tc>
          <w:tcPr>
            <w:tcW w:w="1262"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0.22±0.53 (0-3)</w:t>
            </w:r>
          </w:p>
          <w:p>
            <w:pPr>
              <w:pStyle w:val="TableContents"/>
              <w:jc w:val="both"/>
              <w:rPr>
                <w:rFonts w:ascii="Arial" w:hAnsi="Arial"/>
                <w:color w:val="808080"/>
                <w:sz w:val="20"/>
                <w:szCs w:val="20"/>
              </w:rPr>
            </w:pPr>
            <w:r>
              <w:rPr>
                <w:rFonts w:ascii="Arial" w:hAnsi="Arial"/>
                <w:color w:val="808080"/>
                <w:sz w:val="20"/>
                <w:szCs w:val="20"/>
              </w:rPr>
              <w:t>(</w:t>
            </w:r>
            <w:r>
              <w:rPr>
                <w:rFonts w:ascii="Arial" w:hAnsi="Arial"/>
                <w:i/>
                <w:iCs/>
                <w:color w:val="808080"/>
                <w:sz w:val="20"/>
                <w:szCs w:val="20"/>
              </w:rPr>
              <w:t>mis:</w:t>
            </w:r>
            <w:r>
              <w:rPr>
                <w:rFonts w:ascii="Arial" w:hAnsi="Arial"/>
                <w:color w:val="808080"/>
                <w:sz w:val="20"/>
                <w:szCs w:val="20"/>
              </w:rPr>
              <w:t xml:space="preserve"> 367*)</w:t>
            </w:r>
          </w:p>
        </w:tc>
        <w:tc>
          <w:tcPr>
            <w:tcW w:w="117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0.35±0.73 (0-3)</w:t>
            </w:r>
          </w:p>
          <w:p>
            <w:pPr>
              <w:pStyle w:val="TableContents"/>
              <w:jc w:val="both"/>
              <w:rPr>
                <w:rFonts w:ascii="Arial" w:hAnsi="Arial"/>
                <w:color w:val="808080"/>
                <w:sz w:val="20"/>
                <w:szCs w:val="20"/>
              </w:rPr>
            </w:pPr>
            <w:r>
              <w:rPr>
                <w:rFonts w:ascii="Arial" w:hAnsi="Arial"/>
                <w:color w:val="808080"/>
                <w:sz w:val="20"/>
                <w:szCs w:val="20"/>
              </w:rPr>
              <w:t>(</w:t>
            </w:r>
            <w:r>
              <w:rPr>
                <w:rFonts w:ascii="Arial" w:hAnsi="Arial"/>
                <w:i/>
                <w:iCs/>
                <w:color w:val="808080"/>
                <w:sz w:val="20"/>
                <w:szCs w:val="20"/>
              </w:rPr>
              <w:t>mis:</w:t>
            </w:r>
            <w:r>
              <w:rPr>
                <w:rFonts w:ascii="Arial" w:hAnsi="Arial"/>
                <w:color w:val="808080"/>
                <w:sz w:val="20"/>
                <w:szCs w:val="20"/>
              </w:rPr>
              <w:t xml:space="preserve"> 78)</w:t>
            </w:r>
          </w:p>
        </w:tc>
        <w:tc>
          <w:tcPr>
            <w:tcW w:w="117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0.41±0.73</w:t>
            </w:r>
          </w:p>
          <w:p>
            <w:pPr>
              <w:pStyle w:val="TableContents"/>
              <w:jc w:val="both"/>
              <w:rPr>
                <w:rFonts w:ascii="Arial" w:hAnsi="Arial"/>
                <w:sz w:val="22"/>
                <w:szCs w:val="22"/>
              </w:rPr>
            </w:pPr>
            <w:r>
              <w:rPr>
                <w:rFonts w:ascii="Arial" w:hAnsi="Arial"/>
                <w:sz w:val="22"/>
                <w:szCs w:val="22"/>
              </w:rPr>
              <w:t>(0-3)</w:t>
            </w:r>
          </w:p>
          <w:p>
            <w:pPr>
              <w:pStyle w:val="TableContents"/>
              <w:jc w:val="both"/>
              <w:rPr>
                <w:rFonts w:ascii="Arial" w:hAnsi="Arial"/>
                <w:color w:val="808080"/>
                <w:sz w:val="20"/>
                <w:szCs w:val="20"/>
              </w:rPr>
            </w:pPr>
            <w:r>
              <w:rPr>
                <w:rFonts w:ascii="Arial" w:hAnsi="Arial"/>
                <w:color w:val="808080"/>
                <w:sz w:val="20"/>
                <w:szCs w:val="20"/>
              </w:rPr>
              <w:t>(</w:t>
            </w:r>
            <w:r>
              <w:rPr>
                <w:rFonts w:ascii="Arial" w:hAnsi="Arial"/>
                <w:i/>
                <w:iCs/>
                <w:color w:val="808080"/>
                <w:sz w:val="20"/>
                <w:szCs w:val="20"/>
              </w:rPr>
              <w:t>mis: 49</w:t>
            </w:r>
            <w:r>
              <w:rPr>
                <w:rFonts w:ascii="Arial" w:hAnsi="Arial"/>
                <w:color w:val="808080"/>
                <w:sz w:val="20"/>
                <w:szCs w:val="20"/>
              </w:rPr>
              <w:t>)</w:t>
            </w:r>
          </w:p>
        </w:tc>
        <w:tc>
          <w:tcPr>
            <w:tcW w:w="1170"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0.28±0.72</w:t>
            </w:r>
          </w:p>
          <w:p>
            <w:pPr>
              <w:pStyle w:val="TableContents"/>
              <w:jc w:val="both"/>
              <w:rPr>
                <w:rFonts w:ascii="Arial" w:hAnsi="Arial"/>
                <w:sz w:val="22"/>
                <w:szCs w:val="22"/>
              </w:rPr>
            </w:pPr>
            <w:r>
              <w:rPr>
                <w:rFonts w:ascii="Arial" w:hAnsi="Arial"/>
                <w:sz w:val="22"/>
                <w:szCs w:val="22"/>
              </w:rPr>
              <w:t>(0-3)</w:t>
            </w:r>
          </w:p>
          <w:p>
            <w:pPr>
              <w:pStyle w:val="TableContents"/>
              <w:jc w:val="both"/>
              <w:rPr>
                <w:rFonts w:ascii="Arial" w:hAnsi="Arial"/>
                <w:color w:val="808080"/>
                <w:sz w:val="20"/>
                <w:szCs w:val="20"/>
              </w:rPr>
            </w:pPr>
            <w:r>
              <w:rPr>
                <w:rFonts w:ascii="Arial" w:hAnsi="Arial"/>
                <w:color w:val="808080"/>
                <w:sz w:val="20"/>
                <w:szCs w:val="20"/>
              </w:rPr>
              <w:t>(</w:t>
            </w:r>
            <w:r>
              <w:rPr>
                <w:rFonts w:ascii="Arial" w:hAnsi="Arial"/>
                <w:i/>
                <w:iCs/>
                <w:color w:val="808080"/>
                <w:sz w:val="20"/>
                <w:szCs w:val="20"/>
              </w:rPr>
              <w:t>mis: 29</w:t>
            </w:r>
            <w:r>
              <w:rPr>
                <w:rFonts w:ascii="Arial" w:hAnsi="Arial"/>
                <w:color w:val="808080"/>
                <w:sz w:val="20"/>
                <w:szCs w:val="20"/>
              </w:rPr>
              <w:t>)</w:t>
            </w:r>
          </w:p>
        </w:tc>
        <w:tc>
          <w:tcPr>
            <w:tcW w:w="8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both"/>
              <w:rPr>
                <w:rFonts w:ascii="Arial" w:hAnsi="Arial"/>
                <w:sz w:val="22"/>
                <w:szCs w:val="22"/>
              </w:rPr>
            </w:pPr>
            <w:r>
              <w:rPr>
                <w:rFonts w:ascii="Arial" w:hAnsi="Arial"/>
                <w:sz w:val="22"/>
                <w:szCs w:val="22"/>
              </w:rPr>
              <w:t>0.035</w:t>
            </w:r>
          </w:p>
        </w:tc>
      </w:tr>
      <w:tr>
        <w:trPr/>
        <w:tc>
          <w:tcPr>
            <w:tcW w:w="1657"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RDAS-post</w:t>
            </w:r>
          </w:p>
        </w:tc>
        <w:tc>
          <w:tcPr>
            <w:tcW w:w="1133"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1.03±1.25</w:t>
            </w:r>
          </w:p>
          <w:p>
            <w:pPr>
              <w:pStyle w:val="TableContents"/>
              <w:jc w:val="both"/>
              <w:rPr>
                <w:rFonts w:ascii="Arial" w:hAnsi="Arial"/>
                <w:sz w:val="22"/>
                <w:szCs w:val="22"/>
              </w:rPr>
            </w:pPr>
            <w:r>
              <w:rPr>
                <w:rFonts w:ascii="Arial" w:hAnsi="Arial"/>
                <w:sz w:val="22"/>
                <w:szCs w:val="22"/>
              </w:rPr>
              <w:t>(0-3)</w:t>
            </w:r>
          </w:p>
          <w:p>
            <w:pPr>
              <w:pStyle w:val="TableContents"/>
              <w:jc w:val="both"/>
              <w:rPr>
                <w:rFonts w:ascii="Arial" w:hAnsi="Arial"/>
                <w:color w:val="808080"/>
                <w:sz w:val="20"/>
                <w:szCs w:val="20"/>
              </w:rPr>
            </w:pPr>
            <w:r>
              <w:rPr>
                <w:rFonts w:ascii="Arial" w:hAnsi="Arial"/>
                <w:color w:val="808080"/>
                <w:sz w:val="20"/>
                <w:szCs w:val="20"/>
              </w:rPr>
              <w:t>(</w:t>
            </w:r>
            <w:r>
              <w:rPr>
                <w:rFonts w:ascii="Arial" w:hAnsi="Arial"/>
                <w:i/>
                <w:iCs/>
                <w:color w:val="808080"/>
                <w:sz w:val="20"/>
                <w:szCs w:val="20"/>
              </w:rPr>
              <w:t>mis:</w:t>
            </w:r>
            <w:r>
              <w:rPr>
                <w:rFonts w:ascii="Arial" w:hAnsi="Arial"/>
                <w:color w:val="808080"/>
                <w:sz w:val="20"/>
                <w:szCs w:val="20"/>
              </w:rPr>
              <w:t xml:space="preserve"> 836*)</w:t>
            </w:r>
          </w:p>
        </w:tc>
        <w:tc>
          <w:tcPr>
            <w:tcW w:w="126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1.04±1.25 (0-3)</w:t>
            </w:r>
          </w:p>
          <w:p>
            <w:pPr>
              <w:pStyle w:val="TableContents"/>
              <w:jc w:val="both"/>
              <w:rPr>
                <w:rFonts w:ascii="Arial" w:hAnsi="Arial"/>
                <w:color w:val="808080"/>
                <w:sz w:val="20"/>
                <w:szCs w:val="20"/>
              </w:rPr>
            </w:pPr>
            <w:r>
              <w:rPr>
                <w:rFonts w:ascii="Arial" w:hAnsi="Arial"/>
                <w:color w:val="808080"/>
                <w:sz w:val="20"/>
                <w:szCs w:val="20"/>
              </w:rPr>
              <w:t>(</w:t>
            </w:r>
            <w:r>
              <w:rPr>
                <w:rFonts w:ascii="Arial" w:hAnsi="Arial"/>
                <w:i/>
                <w:iCs/>
                <w:color w:val="808080"/>
                <w:sz w:val="20"/>
                <w:szCs w:val="20"/>
              </w:rPr>
              <w:t>mis:</w:t>
            </w:r>
            <w:r>
              <w:rPr>
                <w:rFonts w:ascii="Arial" w:hAnsi="Arial"/>
                <w:color w:val="808080"/>
                <w:sz w:val="20"/>
                <w:szCs w:val="20"/>
              </w:rPr>
              <w:t xml:space="preserve"> 451*)</w:t>
            </w:r>
          </w:p>
        </w:tc>
        <w:tc>
          <w:tcPr>
            <w:tcW w:w="1262"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1.02±1.25 (0-3)</w:t>
            </w:r>
          </w:p>
          <w:p>
            <w:pPr>
              <w:pStyle w:val="TableContents"/>
              <w:jc w:val="both"/>
              <w:rPr>
                <w:rFonts w:ascii="Arial" w:hAnsi="Arial"/>
                <w:color w:val="808080"/>
                <w:sz w:val="20"/>
                <w:szCs w:val="20"/>
              </w:rPr>
            </w:pPr>
            <w:r>
              <w:rPr>
                <w:rFonts w:ascii="Arial" w:hAnsi="Arial"/>
                <w:color w:val="808080"/>
                <w:sz w:val="20"/>
                <w:szCs w:val="20"/>
              </w:rPr>
              <w:t>(</w:t>
            </w:r>
            <w:r>
              <w:rPr>
                <w:rFonts w:ascii="Arial" w:hAnsi="Arial"/>
                <w:i/>
                <w:iCs/>
                <w:color w:val="808080"/>
                <w:sz w:val="20"/>
                <w:szCs w:val="20"/>
              </w:rPr>
              <w:t>mis:</w:t>
            </w:r>
            <w:r>
              <w:rPr>
                <w:rFonts w:ascii="Arial" w:hAnsi="Arial"/>
                <w:color w:val="808080"/>
                <w:sz w:val="20"/>
                <w:szCs w:val="20"/>
              </w:rPr>
              <w:t xml:space="preserve"> 385*)</w:t>
            </w:r>
          </w:p>
        </w:tc>
        <w:tc>
          <w:tcPr>
            <w:tcW w:w="117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1.25±1.33 (0-3)</w:t>
            </w:r>
          </w:p>
          <w:p>
            <w:pPr>
              <w:pStyle w:val="TableContents"/>
              <w:jc w:val="both"/>
              <w:rPr>
                <w:rFonts w:ascii="Arial" w:hAnsi="Arial"/>
                <w:color w:val="808080"/>
                <w:sz w:val="20"/>
                <w:szCs w:val="20"/>
              </w:rPr>
            </w:pPr>
            <w:r>
              <w:rPr>
                <w:rFonts w:ascii="Arial" w:hAnsi="Arial"/>
                <w:color w:val="808080"/>
                <w:sz w:val="20"/>
                <w:szCs w:val="20"/>
              </w:rPr>
              <w:t>(</w:t>
            </w:r>
            <w:r>
              <w:rPr>
                <w:rFonts w:ascii="Arial" w:hAnsi="Arial"/>
                <w:i/>
                <w:iCs/>
                <w:color w:val="808080"/>
                <w:sz w:val="20"/>
                <w:szCs w:val="20"/>
              </w:rPr>
              <w:t>mis:</w:t>
            </w:r>
            <w:r>
              <w:rPr>
                <w:rFonts w:ascii="Arial" w:hAnsi="Arial"/>
                <w:color w:val="808080"/>
                <w:sz w:val="20"/>
                <w:szCs w:val="20"/>
              </w:rPr>
              <w:t xml:space="preserve"> 83)</w:t>
            </w:r>
          </w:p>
        </w:tc>
        <w:tc>
          <w:tcPr>
            <w:tcW w:w="117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1.29±1.35</w:t>
            </w:r>
          </w:p>
          <w:p>
            <w:pPr>
              <w:pStyle w:val="TableContents"/>
              <w:jc w:val="both"/>
              <w:rPr>
                <w:rFonts w:ascii="Arial" w:hAnsi="Arial"/>
                <w:sz w:val="22"/>
                <w:szCs w:val="22"/>
              </w:rPr>
            </w:pPr>
            <w:r>
              <w:rPr>
                <w:rFonts w:ascii="Arial" w:hAnsi="Arial"/>
                <w:sz w:val="22"/>
                <w:szCs w:val="22"/>
              </w:rPr>
              <w:t>(0-3)</w:t>
            </w:r>
          </w:p>
          <w:p>
            <w:pPr>
              <w:pStyle w:val="TableContents"/>
              <w:jc w:val="both"/>
              <w:rPr>
                <w:rFonts w:ascii="Arial" w:hAnsi="Arial"/>
                <w:color w:val="808080"/>
                <w:sz w:val="20"/>
                <w:szCs w:val="20"/>
              </w:rPr>
            </w:pPr>
            <w:r>
              <w:rPr>
                <w:rFonts w:ascii="Arial" w:hAnsi="Arial"/>
                <w:color w:val="808080"/>
                <w:sz w:val="20"/>
                <w:szCs w:val="20"/>
              </w:rPr>
              <w:t>(</w:t>
            </w:r>
            <w:r>
              <w:rPr>
                <w:rFonts w:ascii="Arial" w:hAnsi="Arial"/>
                <w:i/>
                <w:iCs/>
                <w:color w:val="808080"/>
                <w:sz w:val="20"/>
                <w:szCs w:val="20"/>
              </w:rPr>
              <w:t>mis: 53</w:t>
            </w:r>
            <w:r>
              <w:rPr>
                <w:rFonts w:ascii="Arial" w:hAnsi="Arial"/>
                <w:color w:val="808080"/>
                <w:sz w:val="20"/>
                <w:szCs w:val="20"/>
              </w:rPr>
              <w:t>)</w:t>
            </w:r>
          </w:p>
        </w:tc>
        <w:tc>
          <w:tcPr>
            <w:tcW w:w="1170"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1.21±1.32</w:t>
            </w:r>
          </w:p>
          <w:p>
            <w:pPr>
              <w:pStyle w:val="TableContents"/>
              <w:jc w:val="both"/>
              <w:rPr>
                <w:rFonts w:ascii="Arial" w:hAnsi="Arial"/>
                <w:sz w:val="22"/>
                <w:szCs w:val="22"/>
              </w:rPr>
            </w:pPr>
            <w:r>
              <w:rPr>
                <w:rFonts w:ascii="Arial" w:hAnsi="Arial"/>
                <w:sz w:val="22"/>
                <w:szCs w:val="22"/>
              </w:rPr>
              <w:t>(0-3)</w:t>
            </w:r>
          </w:p>
          <w:p>
            <w:pPr>
              <w:pStyle w:val="TableContents"/>
              <w:jc w:val="both"/>
              <w:rPr>
                <w:rFonts w:ascii="Arial" w:hAnsi="Arial"/>
                <w:color w:val="808080"/>
                <w:sz w:val="20"/>
                <w:szCs w:val="20"/>
              </w:rPr>
            </w:pPr>
            <w:r>
              <w:rPr>
                <w:rFonts w:ascii="Arial" w:hAnsi="Arial"/>
                <w:color w:val="808080"/>
                <w:sz w:val="20"/>
                <w:szCs w:val="20"/>
              </w:rPr>
              <w:t>(</w:t>
            </w:r>
            <w:r>
              <w:rPr>
                <w:rFonts w:ascii="Arial" w:hAnsi="Arial"/>
                <w:i/>
                <w:iCs/>
                <w:color w:val="808080"/>
                <w:sz w:val="20"/>
                <w:szCs w:val="20"/>
              </w:rPr>
              <w:t>mis: 30)</w:t>
            </w:r>
          </w:p>
        </w:tc>
        <w:tc>
          <w:tcPr>
            <w:tcW w:w="8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both"/>
              <w:rPr>
                <w:rFonts w:ascii="Arial" w:hAnsi="Arial"/>
                <w:sz w:val="22"/>
                <w:szCs w:val="22"/>
              </w:rPr>
            </w:pPr>
            <w:r>
              <w:rPr>
                <w:rFonts w:ascii="Arial" w:hAnsi="Arial"/>
                <w:sz w:val="22"/>
                <w:szCs w:val="22"/>
              </w:rPr>
              <w:t>0.054</w:t>
            </w:r>
          </w:p>
        </w:tc>
      </w:tr>
      <w:tr>
        <w:trPr/>
        <w:tc>
          <w:tcPr>
            <w:tcW w:w="1657"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Mother’s age at birth</w:t>
            </w:r>
          </w:p>
        </w:tc>
        <w:tc>
          <w:tcPr>
            <w:tcW w:w="1133"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30.9±4.4</w:t>
            </w:r>
          </w:p>
          <w:p>
            <w:pPr>
              <w:pStyle w:val="TableContents"/>
              <w:jc w:val="both"/>
              <w:rPr>
                <w:rFonts w:ascii="Arial" w:hAnsi="Arial"/>
                <w:sz w:val="22"/>
                <w:szCs w:val="22"/>
              </w:rPr>
            </w:pPr>
            <w:r>
              <w:rPr>
                <w:rFonts w:ascii="Arial" w:hAnsi="Arial"/>
                <w:sz w:val="22"/>
                <w:szCs w:val="22"/>
              </w:rPr>
              <w:t>(18-45)</w:t>
            </w:r>
          </w:p>
        </w:tc>
        <w:tc>
          <w:tcPr>
            <w:tcW w:w="126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30.9±4.3</w:t>
            </w:r>
          </w:p>
          <w:p>
            <w:pPr>
              <w:pStyle w:val="TableContents"/>
              <w:jc w:val="both"/>
              <w:rPr>
                <w:rFonts w:ascii="Arial" w:hAnsi="Arial"/>
                <w:sz w:val="22"/>
                <w:szCs w:val="22"/>
              </w:rPr>
            </w:pPr>
            <w:r>
              <w:rPr>
                <w:rFonts w:ascii="Arial" w:hAnsi="Arial"/>
                <w:sz w:val="22"/>
                <w:szCs w:val="22"/>
              </w:rPr>
              <w:t>(19-44)</w:t>
            </w:r>
          </w:p>
        </w:tc>
        <w:tc>
          <w:tcPr>
            <w:tcW w:w="1262"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31.0±4.4 (18-45)</w:t>
            </w:r>
          </w:p>
        </w:tc>
        <w:tc>
          <w:tcPr>
            <w:tcW w:w="117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29.8±4.4 (19-41)</w:t>
            </w:r>
          </w:p>
        </w:tc>
        <w:tc>
          <w:tcPr>
            <w:tcW w:w="117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30.0±4.58</w:t>
            </w:r>
          </w:p>
          <w:p>
            <w:pPr>
              <w:pStyle w:val="TableContents"/>
              <w:jc w:val="both"/>
              <w:rPr>
                <w:rFonts w:ascii="Arial" w:hAnsi="Arial"/>
                <w:sz w:val="22"/>
                <w:szCs w:val="22"/>
              </w:rPr>
            </w:pPr>
            <w:r>
              <w:rPr>
                <w:rFonts w:ascii="Arial" w:hAnsi="Arial"/>
                <w:sz w:val="22"/>
                <w:szCs w:val="22"/>
              </w:rPr>
              <w:t>(19-41)</w:t>
            </w:r>
          </w:p>
        </w:tc>
        <w:tc>
          <w:tcPr>
            <w:tcW w:w="1170"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29.4±4.3</w:t>
            </w:r>
          </w:p>
          <w:p>
            <w:pPr>
              <w:pStyle w:val="TableContents"/>
              <w:jc w:val="both"/>
              <w:rPr>
                <w:rFonts w:ascii="Arial" w:hAnsi="Arial"/>
                <w:sz w:val="22"/>
                <w:szCs w:val="22"/>
              </w:rPr>
            </w:pPr>
            <w:r>
              <w:rPr>
                <w:rFonts w:ascii="Arial" w:hAnsi="Arial"/>
                <w:sz w:val="22"/>
                <w:szCs w:val="22"/>
              </w:rPr>
              <w:t>(21-41)</w:t>
            </w:r>
          </w:p>
        </w:tc>
        <w:tc>
          <w:tcPr>
            <w:tcW w:w="8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widowControl w:val="false"/>
              <w:bidi w:val="0"/>
              <w:spacing w:lineRule="auto" w:line="480" w:before="0" w:after="240"/>
              <w:jc w:val="both"/>
              <w:rPr>
                <w:rFonts w:ascii="Arial" w:hAnsi="Arial" w:cs="Arial"/>
                <w:b/>
                <w:b/>
                <w:bCs/>
                <w:sz w:val="22"/>
                <w:szCs w:val="22"/>
              </w:rPr>
            </w:pPr>
            <w:r>
              <w:rPr>
                <w:rStyle w:val="InternetLink"/>
                <w:rFonts w:eastAsia="Arial" w:cs="Arial" w:ascii="Arial" w:hAnsi="Arial"/>
                <w:b w:val="false"/>
                <w:bCs w:val="false"/>
                <w:i w:val="false"/>
                <w:iCs w:val="false"/>
                <w:caps w:val="false"/>
                <w:smallCaps w:val="false"/>
                <w:color w:val="000000"/>
                <w:spacing w:val="0"/>
                <w:sz w:val="24"/>
                <w:szCs w:val="24"/>
                <w:u w:val="none"/>
                <w:lang w:val="en-US"/>
              </w:rPr>
              <w:t>0.004</w:t>
            </w:r>
          </w:p>
        </w:tc>
      </w:tr>
      <w:tr>
        <w:trPr/>
        <w:tc>
          <w:tcPr>
            <w:tcW w:w="1657"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Maternal medication (CNS affecting)</w:t>
            </w:r>
          </w:p>
        </w:tc>
        <w:tc>
          <w:tcPr>
            <w:tcW w:w="1133"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color w:val="000000"/>
                <w:sz w:val="22"/>
                <w:szCs w:val="22"/>
              </w:rPr>
            </w:pPr>
            <w:r>
              <w:rPr>
                <w:rFonts w:ascii="Arial" w:hAnsi="Arial"/>
                <w:color w:val="000000"/>
                <w:sz w:val="22"/>
                <w:szCs w:val="22"/>
              </w:rPr>
              <w:t>1496/72</w:t>
            </w:r>
          </w:p>
          <w:p>
            <w:pPr>
              <w:pStyle w:val="TableContents"/>
              <w:jc w:val="both"/>
              <w:rPr>
                <w:rFonts w:ascii="Arial" w:hAnsi="Arial"/>
                <w:color w:val="808080"/>
                <w:sz w:val="20"/>
                <w:szCs w:val="20"/>
              </w:rPr>
            </w:pPr>
            <w:r>
              <w:rPr>
                <w:rFonts w:ascii="Arial" w:hAnsi="Arial"/>
                <w:color w:val="808080"/>
                <w:sz w:val="20"/>
                <w:szCs w:val="20"/>
              </w:rPr>
              <w:t>(</w:t>
            </w:r>
            <w:r>
              <w:rPr>
                <w:rFonts w:ascii="Arial" w:hAnsi="Arial"/>
                <w:i/>
                <w:iCs/>
                <w:color w:val="808080"/>
                <w:sz w:val="20"/>
                <w:szCs w:val="20"/>
              </w:rPr>
              <w:t>mis:</w:t>
            </w:r>
            <w:r>
              <w:rPr>
                <w:rFonts w:ascii="Arial" w:hAnsi="Arial"/>
                <w:color w:val="808080"/>
                <w:sz w:val="20"/>
                <w:szCs w:val="20"/>
              </w:rPr>
              <w:t xml:space="preserve"> 153)</w:t>
            </w:r>
          </w:p>
        </w:tc>
        <w:tc>
          <w:tcPr>
            <w:tcW w:w="126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819/39</w:t>
            </w:r>
          </w:p>
          <w:p>
            <w:pPr>
              <w:pStyle w:val="TableContents"/>
              <w:jc w:val="both"/>
              <w:rPr>
                <w:rFonts w:ascii="Arial" w:hAnsi="Arial"/>
                <w:color w:val="808080"/>
                <w:sz w:val="20"/>
                <w:szCs w:val="20"/>
              </w:rPr>
            </w:pPr>
            <w:r>
              <w:rPr>
                <w:rFonts w:ascii="Arial" w:hAnsi="Arial"/>
                <w:color w:val="808080"/>
                <w:sz w:val="20"/>
                <w:szCs w:val="20"/>
              </w:rPr>
              <w:t>(</w:t>
            </w:r>
            <w:r>
              <w:rPr>
                <w:rFonts w:ascii="Arial" w:hAnsi="Arial"/>
                <w:i/>
                <w:iCs/>
                <w:color w:val="808080"/>
                <w:sz w:val="20"/>
                <w:szCs w:val="20"/>
              </w:rPr>
              <w:t>mis:</w:t>
            </w:r>
            <w:r>
              <w:rPr>
                <w:rFonts w:ascii="Arial" w:hAnsi="Arial"/>
                <w:color w:val="808080"/>
                <w:sz w:val="20"/>
                <w:szCs w:val="20"/>
              </w:rPr>
              <w:t xml:space="preserve"> 89)</w:t>
            </w:r>
          </w:p>
        </w:tc>
        <w:tc>
          <w:tcPr>
            <w:tcW w:w="1262"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677/33</w:t>
            </w:r>
          </w:p>
          <w:p>
            <w:pPr>
              <w:pStyle w:val="TableContents"/>
              <w:jc w:val="both"/>
              <w:rPr>
                <w:rFonts w:ascii="Arial" w:hAnsi="Arial"/>
                <w:color w:val="808080"/>
                <w:sz w:val="20"/>
                <w:szCs w:val="20"/>
              </w:rPr>
            </w:pPr>
            <w:r>
              <w:rPr>
                <w:rFonts w:ascii="Arial" w:hAnsi="Arial"/>
                <w:color w:val="808080"/>
                <w:sz w:val="20"/>
                <w:szCs w:val="20"/>
              </w:rPr>
              <w:t>(</w:t>
            </w:r>
            <w:r>
              <w:rPr>
                <w:rFonts w:ascii="Arial" w:hAnsi="Arial"/>
                <w:i/>
                <w:iCs/>
                <w:color w:val="808080"/>
                <w:sz w:val="20"/>
                <w:szCs w:val="20"/>
              </w:rPr>
              <w:t>mis:</w:t>
            </w:r>
            <w:r>
              <w:rPr>
                <w:rFonts w:ascii="Arial" w:hAnsi="Arial"/>
                <w:color w:val="808080"/>
                <w:sz w:val="20"/>
                <w:szCs w:val="20"/>
              </w:rPr>
              <w:t xml:space="preserve"> 64)</w:t>
            </w:r>
          </w:p>
        </w:tc>
        <w:tc>
          <w:tcPr>
            <w:tcW w:w="117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110/12</w:t>
            </w:r>
          </w:p>
          <w:p>
            <w:pPr>
              <w:pStyle w:val="TableContents"/>
              <w:jc w:val="both"/>
              <w:rPr>
                <w:rFonts w:ascii="Arial" w:hAnsi="Arial"/>
                <w:color w:val="808080"/>
                <w:sz w:val="20"/>
                <w:szCs w:val="20"/>
              </w:rPr>
            </w:pPr>
            <w:r>
              <w:rPr>
                <w:rFonts w:ascii="Arial" w:hAnsi="Arial"/>
                <w:color w:val="808080"/>
                <w:sz w:val="20"/>
                <w:szCs w:val="20"/>
              </w:rPr>
              <w:t>(</w:t>
            </w:r>
            <w:r>
              <w:rPr>
                <w:rFonts w:ascii="Arial" w:hAnsi="Arial"/>
                <w:i/>
                <w:iCs/>
                <w:color w:val="808080"/>
                <w:sz w:val="20"/>
                <w:szCs w:val="20"/>
              </w:rPr>
              <w:t>mis:</w:t>
            </w:r>
            <w:r>
              <w:rPr>
                <w:rFonts w:ascii="Arial" w:hAnsi="Arial"/>
                <w:color w:val="808080"/>
                <w:sz w:val="20"/>
                <w:szCs w:val="20"/>
              </w:rPr>
              <w:t xml:space="preserve"> 6)</w:t>
            </w:r>
          </w:p>
        </w:tc>
        <w:tc>
          <w:tcPr>
            <w:tcW w:w="117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61/8</w:t>
            </w:r>
          </w:p>
          <w:p>
            <w:pPr>
              <w:pStyle w:val="TableContents"/>
              <w:jc w:val="both"/>
              <w:rPr>
                <w:rFonts w:ascii="Arial" w:hAnsi="Arial"/>
                <w:color w:val="808080"/>
                <w:sz w:val="20"/>
                <w:szCs w:val="20"/>
              </w:rPr>
            </w:pPr>
            <w:r>
              <w:rPr>
                <w:rFonts w:ascii="Arial" w:hAnsi="Arial"/>
                <w:color w:val="808080"/>
                <w:sz w:val="20"/>
                <w:szCs w:val="20"/>
              </w:rPr>
              <w:t>(</w:t>
            </w:r>
            <w:r>
              <w:rPr>
                <w:rFonts w:ascii="Arial" w:hAnsi="Arial"/>
                <w:i/>
                <w:iCs/>
                <w:color w:val="808080"/>
                <w:sz w:val="20"/>
                <w:szCs w:val="20"/>
              </w:rPr>
              <w:t>mis: 3</w:t>
            </w:r>
            <w:r>
              <w:rPr>
                <w:rFonts w:ascii="Arial" w:hAnsi="Arial"/>
                <w:color w:val="808080"/>
                <w:sz w:val="20"/>
                <w:szCs w:val="20"/>
              </w:rPr>
              <w:t>)</w:t>
            </w:r>
          </w:p>
        </w:tc>
        <w:tc>
          <w:tcPr>
            <w:tcW w:w="1170"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49/4</w:t>
            </w:r>
          </w:p>
          <w:p>
            <w:pPr>
              <w:pStyle w:val="TableContents"/>
              <w:jc w:val="both"/>
              <w:rPr>
                <w:rFonts w:ascii="Arial" w:hAnsi="Arial"/>
                <w:color w:val="808080"/>
                <w:sz w:val="20"/>
                <w:szCs w:val="20"/>
              </w:rPr>
            </w:pPr>
            <w:r>
              <w:rPr>
                <w:rFonts w:ascii="Arial" w:hAnsi="Arial"/>
                <w:color w:val="808080"/>
                <w:sz w:val="20"/>
                <w:szCs w:val="20"/>
              </w:rPr>
              <w:t>(</w:t>
            </w:r>
            <w:r>
              <w:rPr>
                <w:rFonts w:ascii="Arial" w:hAnsi="Arial"/>
                <w:i/>
                <w:iCs/>
                <w:color w:val="808080"/>
                <w:sz w:val="20"/>
                <w:szCs w:val="20"/>
              </w:rPr>
              <w:t>mis: 3</w:t>
            </w:r>
            <w:r>
              <w:rPr>
                <w:rFonts w:ascii="Arial" w:hAnsi="Arial"/>
                <w:color w:val="808080"/>
                <w:sz w:val="20"/>
                <w:szCs w:val="20"/>
              </w:rPr>
              <w:t>)</w:t>
            </w:r>
          </w:p>
        </w:tc>
        <w:tc>
          <w:tcPr>
            <w:tcW w:w="8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widowControl w:val="false"/>
              <w:bidi w:val="0"/>
              <w:spacing w:lineRule="auto" w:line="480" w:before="0" w:after="240"/>
              <w:jc w:val="both"/>
              <w:rPr>
                <w:rFonts w:ascii="Arial" w:hAnsi="Arial" w:cs="Arial"/>
                <w:b/>
                <w:b/>
                <w:bCs/>
                <w:sz w:val="22"/>
                <w:szCs w:val="22"/>
              </w:rPr>
            </w:pPr>
            <w:r>
              <w:rPr>
                <w:rStyle w:val="InternetLink"/>
                <w:rFonts w:eastAsia="Arial" w:cs="Arial" w:ascii="Arial" w:hAnsi="Arial"/>
                <w:b w:val="false"/>
                <w:bCs w:val="false"/>
                <w:i w:val="false"/>
                <w:iCs w:val="false"/>
                <w:caps w:val="false"/>
                <w:smallCaps w:val="false"/>
                <w:color w:val="000000"/>
                <w:spacing w:val="0"/>
                <w:sz w:val="24"/>
                <w:szCs w:val="24"/>
                <w:u w:val="none"/>
                <w:lang w:val="en-US"/>
              </w:rPr>
              <w:t>0.010</w:t>
            </w:r>
          </w:p>
        </w:tc>
      </w:tr>
      <w:tr>
        <w:trPr/>
        <w:tc>
          <w:tcPr>
            <w:tcW w:w="1657"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Maternal alcohol and/or illicit drug consumption</w:t>
            </w:r>
          </w:p>
        </w:tc>
        <w:tc>
          <w:tcPr>
            <w:tcW w:w="1133"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color w:val="000000"/>
                <w:sz w:val="22"/>
                <w:szCs w:val="22"/>
              </w:rPr>
            </w:pPr>
            <w:r>
              <w:rPr>
                <w:rFonts w:ascii="Arial" w:hAnsi="Arial"/>
                <w:color w:val="000000"/>
                <w:sz w:val="22"/>
                <w:szCs w:val="22"/>
              </w:rPr>
              <w:t>1166/402</w:t>
            </w:r>
          </w:p>
          <w:p>
            <w:pPr>
              <w:pStyle w:val="TableContents"/>
              <w:jc w:val="both"/>
              <w:rPr>
                <w:rFonts w:ascii="Arial" w:hAnsi="Arial"/>
                <w:color w:val="808080"/>
                <w:sz w:val="20"/>
                <w:szCs w:val="20"/>
              </w:rPr>
            </w:pPr>
            <w:r>
              <w:rPr>
                <w:rFonts w:ascii="Arial" w:hAnsi="Arial"/>
                <w:color w:val="808080"/>
                <w:sz w:val="20"/>
                <w:szCs w:val="20"/>
              </w:rPr>
              <w:t>(</w:t>
            </w:r>
            <w:r>
              <w:rPr>
                <w:rFonts w:ascii="Arial" w:hAnsi="Arial"/>
                <w:i/>
                <w:iCs/>
                <w:color w:val="808080"/>
                <w:sz w:val="20"/>
                <w:szCs w:val="20"/>
              </w:rPr>
              <w:t>mis:</w:t>
            </w:r>
            <w:r>
              <w:rPr>
                <w:rFonts w:ascii="Arial" w:hAnsi="Arial"/>
                <w:color w:val="808080"/>
                <w:sz w:val="20"/>
                <w:szCs w:val="20"/>
              </w:rPr>
              <w:t xml:space="preserve"> 137)</w:t>
            </w:r>
          </w:p>
        </w:tc>
        <w:tc>
          <w:tcPr>
            <w:tcW w:w="126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626/232</w:t>
            </w:r>
          </w:p>
          <w:p>
            <w:pPr>
              <w:pStyle w:val="TableContents"/>
              <w:jc w:val="both"/>
              <w:rPr>
                <w:rFonts w:ascii="Arial" w:hAnsi="Arial"/>
                <w:color w:val="808080"/>
                <w:sz w:val="20"/>
                <w:szCs w:val="20"/>
              </w:rPr>
            </w:pPr>
            <w:r>
              <w:rPr>
                <w:rFonts w:ascii="Arial" w:hAnsi="Arial"/>
                <w:color w:val="808080"/>
                <w:sz w:val="20"/>
                <w:szCs w:val="20"/>
              </w:rPr>
              <w:t>(</w:t>
            </w:r>
            <w:r>
              <w:rPr>
                <w:rFonts w:ascii="Arial" w:hAnsi="Arial"/>
                <w:i/>
                <w:iCs/>
                <w:color w:val="808080"/>
                <w:sz w:val="20"/>
                <w:szCs w:val="20"/>
              </w:rPr>
              <w:t>mis:</w:t>
            </w:r>
            <w:r>
              <w:rPr>
                <w:rFonts w:ascii="Arial" w:hAnsi="Arial"/>
                <w:color w:val="808080"/>
                <w:sz w:val="20"/>
                <w:szCs w:val="20"/>
              </w:rPr>
              <w:t xml:space="preserve"> 79)</w:t>
            </w:r>
          </w:p>
        </w:tc>
        <w:tc>
          <w:tcPr>
            <w:tcW w:w="1262"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540/170</w:t>
            </w:r>
          </w:p>
          <w:p>
            <w:pPr>
              <w:pStyle w:val="TableContents"/>
              <w:jc w:val="both"/>
              <w:rPr>
                <w:rFonts w:ascii="Arial" w:hAnsi="Arial"/>
                <w:color w:val="808080"/>
                <w:sz w:val="20"/>
                <w:szCs w:val="20"/>
              </w:rPr>
            </w:pPr>
            <w:r>
              <w:rPr>
                <w:rFonts w:ascii="Arial" w:hAnsi="Arial"/>
                <w:color w:val="808080"/>
                <w:sz w:val="20"/>
                <w:szCs w:val="20"/>
              </w:rPr>
              <w:t>(</w:t>
            </w:r>
            <w:r>
              <w:rPr>
                <w:rFonts w:ascii="Arial" w:hAnsi="Arial"/>
                <w:i/>
                <w:iCs/>
                <w:color w:val="808080"/>
                <w:sz w:val="20"/>
                <w:szCs w:val="20"/>
              </w:rPr>
              <w:t>mis:</w:t>
            </w:r>
            <w:r>
              <w:rPr>
                <w:rFonts w:ascii="Arial" w:hAnsi="Arial"/>
                <w:color w:val="808080"/>
                <w:sz w:val="20"/>
                <w:szCs w:val="20"/>
              </w:rPr>
              <w:t xml:space="preserve"> 58)</w:t>
            </w:r>
          </w:p>
        </w:tc>
        <w:tc>
          <w:tcPr>
            <w:tcW w:w="117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92/30</w:t>
            </w:r>
          </w:p>
          <w:p>
            <w:pPr>
              <w:pStyle w:val="TableContents"/>
              <w:jc w:val="both"/>
              <w:rPr>
                <w:rFonts w:ascii="Arial" w:hAnsi="Arial"/>
                <w:color w:val="808080"/>
                <w:sz w:val="20"/>
                <w:szCs w:val="20"/>
              </w:rPr>
            </w:pPr>
            <w:r>
              <w:rPr>
                <w:rFonts w:ascii="Arial" w:hAnsi="Arial"/>
                <w:color w:val="808080"/>
                <w:sz w:val="20"/>
                <w:szCs w:val="20"/>
              </w:rPr>
              <w:t>(</w:t>
            </w:r>
            <w:r>
              <w:rPr>
                <w:rFonts w:ascii="Arial" w:hAnsi="Arial"/>
                <w:i/>
                <w:iCs/>
                <w:color w:val="808080"/>
                <w:sz w:val="20"/>
                <w:szCs w:val="20"/>
              </w:rPr>
              <w:t>mis:</w:t>
            </w:r>
            <w:r>
              <w:rPr>
                <w:rFonts w:ascii="Arial" w:hAnsi="Arial"/>
                <w:color w:val="808080"/>
                <w:sz w:val="20"/>
                <w:szCs w:val="20"/>
              </w:rPr>
              <w:t xml:space="preserve"> 9)</w:t>
            </w:r>
          </w:p>
        </w:tc>
        <w:tc>
          <w:tcPr>
            <w:tcW w:w="117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48/21</w:t>
            </w:r>
          </w:p>
          <w:p>
            <w:pPr>
              <w:pStyle w:val="TableContents"/>
              <w:jc w:val="both"/>
              <w:rPr>
                <w:rFonts w:ascii="Arial" w:hAnsi="Arial"/>
                <w:color w:val="808080"/>
                <w:sz w:val="20"/>
                <w:szCs w:val="20"/>
              </w:rPr>
            </w:pPr>
            <w:r>
              <w:rPr>
                <w:rFonts w:ascii="Arial" w:hAnsi="Arial"/>
                <w:color w:val="808080"/>
                <w:sz w:val="20"/>
                <w:szCs w:val="20"/>
              </w:rPr>
              <w:t>(</w:t>
            </w:r>
            <w:r>
              <w:rPr>
                <w:rFonts w:ascii="Arial" w:hAnsi="Arial"/>
                <w:i/>
                <w:iCs/>
                <w:color w:val="808080"/>
                <w:sz w:val="20"/>
                <w:szCs w:val="20"/>
              </w:rPr>
              <w:t>mis: 5</w:t>
            </w:r>
            <w:r>
              <w:rPr>
                <w:rFonts w:ascii="Arial" w:hAnsi="Arial"/>
                <w:color w:val="808080"/>
                <w:sz w:val="20"/>
                <w:szCs w:val="20"/>
              </w:rPr>
              <w:t>)</w:t>
            </w:r>
          </w:p>
        </w:tc>
        <w:tc>
          <w:tcPr>
            <w:tcW w:w="1170"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44/9</w:t>
            </w:r>
          </w:p>
          <w:p>
            <w:pPr>
              <w:pStyle w:val="TableContents"/>
              <w:jc w:val="both"/>
              <w:rPr>
                <w:rFonts w:ascii="Arial" w:hAnsi="Arial"/>
                <w:color w:val="808080"/>
                <w:sz w:val="20"/>
                <w:szCs w:val="20"/>
              </w:rPr>
            </w:pPr>
            <w:r>
              <w:rPr>
                <w:rFonts w:ascii="Arial" w:hAnsi="Arial"/>
                <w:color w:val="808080"/>
                <w:sz w:val="20"/>
                <w:szCs w:val="20"/>
              </w:rPr>
              <w:t>(</w:t>
            </w:r>
            <w:r>
              <w:rPr>
                <w:rFonts w:ascii="Arial" w:hAnsi="Arial"/>
                <w:i/>
                <w:iCs/>
                <w:color w:val="808080"/>
                <w:sz w:val="20"/>
                <w:szCs w:val="20"/>
              </w:rPr>
              <w:t>mis: 4</w:t>
            </w:r>
            <w:r>
              <w:rPr>
                <w:rFonts w:ascii="Arial" w:hAnsi="Arial"/>
                <w:color w:val="808080"/>
                <w:sz w:val="20"/>
                <w:szCs w:val="20"/>
              </w:rPr>
              <w:t>)</w:t>
            </w:r>
          </w:p>
        </w:tc>
        <w:tc>
          <w:tcPr>
            <w:tcW w:w="8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both"/>
              <w:rPr>
                <w:rFonts w:ascii="Arial" w:hAnsi="Arial"/>
                <w:sz w:val="22"/>
                <w:szCs w:val="22"/>
              </w:rPr>
            </w:pPr>
            <w:r>
              <w:rPr>
                <w:rFonts w:ascii="Arial" w:hAnsi="Arial"/>
                <w:sz w:val="22"/>
                <w:szCs w:val="22"/>
              </w:rPr>
              <w:t>0.798</w:t>
            </w:r>
          </w:p>
        </w:tc>
      </w:tr>
      <w:tr>
        <w:trPr/>
        <w:tc>
          <w:tcPr>
            <w:tcW w:w="1657"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Infant asphyxia</w:t>
            </w:r>
          </w:p>
        </w:tc>
        <w:tc>
          <w:tcPr>
            <w:tcW w:w="1133"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color w:val="000000"/>
                <w:sz w:val="22"/>
                <w:szCs w:val="22"/>
              </w:rPr>
            </w:pPr>
            <w:r>
              <w:rPr>
                <w:rFonts w:ascii="Arial" w:hAnsi="Arial"/>
                <w:color w:val="000000"/>
                <w:sz w:val="22"/>
                <w:szCs w:val="22"/>
              </w:rPr>
              <w:t>1425/143</w:t>
            </w:r>
          </w:p>
          <w:p>
            <w:pPr>
              <w:pStyle w:val="TableContents"/>
              <w:jc w:val="both"/>
              <w:rPr>
                <w:rFonts w:ascii="Arial" w:hAnsi="Arial"/>
                <w:color w:val="808080"/>
                <w:sz w:val="20"/>
                <w:szCs w:val="20"/>
              </w:rPr>
            </w:pPr>
            <w:r>
              <w:rPr>
                <w:rFonts w:ascii="Arial" w:hAnsi="Arial"/>
                <w:color w:val="808080"/>
                <w:sz w:val="20"/>
                <w:szCs w:val="20"/>
              </w:rPr>
              <w:t>(</w:t>
            </w:r>
            <w:r>
              <w:rPr>
                <w:rFonts w:ascii="Arial" w:hAnsi="Arial"/>
                <w:i/>
                <w:iCs/>
                <w:color w:val="808080"/>
                <w:sz w:val="20"/>
                <w:szCs w:val="20"/>
              </w:rPr>
              <w:t>mis:</w:t>
            </w:r>
            <w:r>
              <w:rPr>
                <w:rFonts w:ascii="Arial" w:hAnsi="Arial"/>
                <w:color w:val="808080"/>
                <w:sz w:val="20"/>
                <w:szCs w:val="20"/>
              </w:rPr>
              <w:t xml:space="preserve"> 22)</w:t>
            </w:r>
          </w:p>
        </w:tc>
        <w:tc>
          <w:tcPr>
            <w:tcW w:w="126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775/83</w:t>
            </w:r>
          </w:p>
          <w:p>
            <w:pPr>
              <w:pStyle w:val="TableContents"/>
              <w:jc w:val="both"/>
              <w:rPr>
                <w:rFonts w:ascii="Arial" w:hAnsi="Arial"/>
                <w:color w:val="808080"/>
                <w:sz w:val="20"/>
                <w:szCs w:val="20"/>
              </w:rPr>
            </w:pPr>
            <w:r>
              <w:rPr>
                <w:rFonts w:ascii="Arial" w:hAnsi="Arial"/>
                <w:color w:val="808080"/>
                <w:sz w:val="20"/>
                <w:szCs w:val="20"/>
              </w:rPr>
              <w:t>(</w:t>
            </w:r>
            <w:r>
              <w:rPr>
                <w:rFonts w:ascii="Arial" w:hAnsi="Arial"/>
                <w:i/>
                <w:iCs/>
                <w:color w:val="808080"/>
                <w:sz w:val="20"/>
                <w:szCs w:val="20"/>
              </w:rPr>
              <w:t>mis:</w:t>
            </w:r>
            <w:r>
              <w:rPr>
                <w:rFonts w:ascii="Arial" w:hAnsi="Arial"/>
                <w:color w:val="808080"/>
                <w:sz w:val="20"/>
                <w:szCs w:val="20"/>
              </w:rPr>
              <w:t xml:space="preserve"> 8)</w:t>
            </w:r>
          </w:p>
        </w:tc>
        <w:tc>
          <w:tcPr>
            <w:tcW w:w="1262"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650/60</w:t>
            </w:r>
          </w:p>
          <w:p>
            <w:pPr>
              <w:pStyle w:val="TableContents"/>
              <w:jc w:val="both"/>
              <w:rPr>
                <w:rFonts w:ascii="Arial" w:hAnsi="Arial"/>
                <w:color w:val="808080"/>
                <w:sz w:val="20"/>
                <w:szCs w:val="20"/>
              </w:rPr>
            </w:pPr>
            <w:r>
              <w:rPr>
                <w:rFonts w:ascii="Arial" w:hAnsi="Arial"/>
                <w:color w:val="808080"/>
                <w:sz w:val="20"/>
                <w:szCs w:val="20"/>
              </w:rPr>
              <w:t>(</w:t>
            </w:r>
            <w:r>
              <w:rPr>
                <w:rFonts w:ascii="Arial" w:hAnsi="Arial"/>
                <w:i/>
                <w:iCs/>
                <w:color w:val="808080"/>
                <w:sz w:val="20"/>
                <w:szCs w:val="20"/>
              </w:rPr>
              <w:t>mis:</w:t>
            </w:r>
            <w:r>
              <w:rPr>
                <w:rFonts w:ascii="Arial" w:hAnsi="Arial"/>
                <w:color w:val="808080"/>
                <w:sz w:val="20"/>
                <w:szCs w:val="20"/>
              </w:rPr>
              <w:t xml:space="preserve"> 14)</w:t>
            </w:r>
          </w:p>
        </w:tc>
        <w:tc>
          <w:tcPr>
            <w:tcW w:w="117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109/13</w:t>
            </w:r>
          </w:p>
          <w:p>
            <w:pPr>
              <w:pStyle w:val="TableContents"/>
              <w:jc w:val="both"/>
              <w:rPr>
                <w:rFonts w:ascii="Arial" w:hAnsi="Arial"/>
                <w:color w:val="808080"/>
                <w:sz w:val="20"/>
                <w:szCs w:val="20"/>
              </w:rPr>
            </w:pPr>
            <w:r>
              <w:rPr>
                <w:rFonts w:ascii="Arial" w:hAnsi="Arial"/>
                <w:color w:val="808080"/>
                <w:sz w:val="20"/>
                <w:szCs w:val="20"/>
              </w:rPr>
              <w:t>(</w:t>
            </w:r>
            <w:r>
              <w:rPr>
                <w:rFonts w:ascii="Arial" w:hAnsi="Arial"/>
                <w:i/>
                <w:iCs/>
                <w:color w:val="808080"/>
                <w:sz w:val="20"/>
                <w:szCs w:val="20"/>
              </w:rPr>
              <w:t>mis:</w:t>
            </w:r>
            <w:r>
              <w:rPr>
                <w:rFonts w:ascii="Arial" w:hAnsi="Arial"/>
                <w:color w:val="808080"/>
                <w:sz w:val="20"/>
                <w:szCs w:val="20"/>
              </w:rPr>
              <w:t xml:space="preserve"> 2)</w:t>
            </w:r>
          </w:p>
        </w:tc>
        <w:tc>
          <w:tcPr>
            <w:tcW w:w="117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63/6</w:t>
            </w:r>
          </w:p>
          <w:p>
            <w:pPr>
              <w:pStyle w:val="TableContents"/>
              <w:jc w:val="both"/>
              <w:rPr>
                <w:rFonts w:ascii="Arial" w:hAnsi="Arial"/>
                <w:color w:val="808080"/>
                <w:sz w:val="20"/>
                <w:szCs w:val="20"/>
              </w:rPr>
            </w:pPr>
            <w:r>
              <w:rPr>
                <w:rFonts w:ascii="Arial" w:hAnsi="Arial"/>
                <w:color w:val="808080"/>
                <w:sz w:val="20"/>
                <w:szCs w:val="20"/>
              </w:rPr>
              <w:t>(</w:t>
            </w:r>
            <w:r>
              <w:rPr>
                <w:rFonts w:ascii="Arial" w:hAnsi="Arial"/>
                <w:i/>
                <w:iCs/>
                <w:color w:val="808080"/>
                <w:sz w:val="20"/>
                <w:szCs w:val="20"/>
              </w:rPr>
              <w:t>mis:</w:t>
            </w:r>
            <w:r>
              <w:rPr>
                <w:rFonts w:ascii="Arial" w:hAnsi="Arial"/>
                <w:color w:val="808080"/>
                <w:sz w:val="20"/>
                <w:szCs w:val="20"/>
              </w:rPr>
              <w:t xml:space="preserve"> 1)</w:t>
            </w:r>
          </w:p>
        </w:tc>
        <w:tc>
          <w:tcPr>
            <w:tcW w:w="1170"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46/7</w:t>
            </w:r>
          </w:p>
          <w:p>
            <w:pPr>
              <w:pStyle w:val="TableContents"/>
              <w:jc w:val="both"/>
              <w:rPr>
                <w:rFonts w:ascii="Arial" w:hAnsi="Arial"/>
                <w:color w:val="808080"/>
                <w:sz w:val="20"/>
                <w:szCs w:val="20"/>
              </w:rPr>
            </w:pPr>
            <w:r>
              <w:rPr>
                <w:rFonts w:ascii="Arial" w:hAnsi="Arial"/>
                <w:color w:val="808080"/>
                <w:sz w:val="20"/>
                <w:szCs w:val="20"/>
              </w:rPr>
              <w:t>(</w:t>
            </w:r>
            <w:r>
              <w:rPr>
                <w:rFonts w:ascii="Arial" w:hAnsi="Arial"/>
                <w:i/>
                <w:iCs/>
                <w:color w:val="808080"/>
                <w:sz w:val="20"/>
                <w:szCs w:val="20"/>
              </w:rPr>
              <w:t>mis:</w:t>
            </w:r>
            <w:r>
              <w:rPr>
                <w:rFonts w:ascii="Arial" w:hAnsi="Arial"/>
                <w:color w:val="808080"/>
                <w:sz w:val="20"/>
                <w:szCs w:val="20"/>
              </w:rPr>
              <w:t xml:space="preserve"> 1)</w:t>
            </w:r>
          </w:p>
        </w:tc>
        <w:tc>
          <w:tcPr>
            <w:tcW w:w="8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both"/>
              <w:rPr>
                <w:rFonts w:ascii="Arial" w:hAnsi="Arial"/>
                <w:sz w:val="22"/>
                <w:szCs w:val="22"/>
              </w:rPr>
            </w:pPr>
            <w:r>
              <w:rPr>
                <w:rFonts w:ascii="Arial" w:hAnsi="Arial"/>
                <w:sz w:val="22"/>
                <w:szCs w:val="22"/>
              </w:rPr>
              <w:t>0.572</w:t>
            </w:r>
          </w:p>
        </w:tc>
      </w:tr>
    </w:tbl>
    <w:p>
      <w:pPr>
        <w:pStyle w:val="Normal"/>
        <w:widowControl w:val="false"/>
        <w:bidi w:val="0"/>
        <w:spacing w:lineRule="auto" w:line="480" w:before="0" w:after="240"/>
        <w:jc w:val="both"/>
        <w:rPr>
          <w:rFonts w:ascii="Arial" w:hAnsi="Arial" w:cs="Arial"/>
          <w:b/>
          <w:b/>
          <w:bCs/>
        </w:rPr>
      </w:pPr>
      <w:r>
        <w:rPr>
          <w:rStyle w:val="InternetLink"/>
          <w:rFonts w:eastAsia="Arial" w:cs="Arial" w:ascii="Arial" w:hAnsi="Arial"/>
          <w:b w:val="false"/>
          <w:bCs w:val="false"/>
          <w:i w:val="false"/>
          <w:iCs w:val="false"/>
          <w:caps w:val="false"/>
          <w:smallCaps w:val="false"/>
          <w:color w:val="000000"/>
          <w:spacing w:val="0"/>
          <w:sz w:val="20"/>
          <w:szCs w:val="20"/>
          <w:u w:val="none"/>
          <w:lang w:val="en-US"/>
        </w:rPr>
        <w:t>* missing value of at least one time point, PRE-AS= prenatal adversity sum score, POST-DS= postnatal distress sum score, pre= prenatal, post= postnatal, SCL= anxiety symptoms, EPDS= depressive symptoms, PRAQ= pregnancy-related anxiety</w:t>
      </w:r>
    </w:p>
    <w:p>
      <w:pPr>
        <w:pStyle w:val="Normal"/>
        <w:widowControl w:val="false"/>
        <w:bidi w:val="0"/>
        <w:spacing w:lineRule="auto" w:line="360" w:before="0" w:after="240"/>
        <w:jc w:val="both"/>
        <w:rPr>
          <w:rStyle w:val="InternetLink"/>
          <w:rFonts w:ascii="Arial" w:hAnsi="Arial" w:eastAsia="Arial" w:cs="Arial"/>
          <w:b w:val="false"/>
          <w:b w:val="false"/>
          <w:bCs w:val="false"/>
          <w:i w:val="false"/>
          <w:i w:val="false"/>
          <w:iCs w:val="false"/>
          <w:caps w:val="false"/>
          <w:smallCaps w:val="false"/>
          <w:spacing w:val="0"/>
          <w:sz w:val="24"/>
          <w:szCs w:val="24"/>
          <w:lang w:val="en-US"/>
        </w:rPr>
      </w:pPr>
      <w:r>
        <w:rPr/>
      </w:r>
      <w:r>
        <w:br w:type="page"/>
      </w:r>
    </w:p>
    <w:p>
      <w:pPr>
        <w:pStyle w:val="Normal"/>
        <w:widowControl w:val="false"/>
        <w:bidi w:val="0"/>
        <w:spacing w:lineRule="auto" w:line="360" w:before="0" w:after="240"/>
        <w:jc w:val="both"/>
        <w:rPr/>
      </w:pPr>
      <w:r>
        <w:rPr>
          <w:rStyle w:val="InternetLink"/>
          <w:rFonts w:eastAsia="Arial" w:cs="Arial" w:ascii="Arial" w:hAnsi="Arial"/>
          <w:b/>
          <w:bCs/>
          <w:i w:val="false"/>
          <w:iCs w:val="false"/>
          <w:caps w:val="false"/>
          <w:smallCaps w:val="false"/>
          <w:color w:val="000000"/>
          <w:spacing w:val="0"/>
          <w:sz w:val="24"/>
          <w:szCs w:val="24"/>
          <w:u w:val="none"/>
          <w:lang w:val="en-US"/>
        </w:rPr>
        <w:t>Table S</w:t>
      </w:r>
      <w:r>
        <w:rPr>
          <w:rStyle w:val="InternetLink"/>
          <w:rFonts w:eastAsia="Arial" w:cs="Arial" w:ascii="Arial" w:hAnsi="Arial"/>
          <w:b/>
          <w:bCs/>
          <w:i w:val="false"/>
          <w:iCs w:val="false"/>
          <w:caps w:val="false"/>
          <w:smallCaps w:val="false"/>
          <w:color w:val="000000"/>
          <w:spacing w:val="0"/>
          <w:sz w:val="24"/>
          <w:szCs w:val="24"/>
          <w:u w:val="none"/>
          <w:lang w:val="en-US"/>
        </w:rPr>
        <w:t>I-</w:t>
      </w:r>
      <w:r>
        <w:rPr>
          <w:rStyle w:val="InternetLink"/>
          <w:rFonts w:eastAsia="Arial" w:cs="Arial" w:ascii="Arial" w:hAnsi="Arial"/>
          <w:b/>
          <w:bCs/>
          <w:i w:val="false"/>
          <w:iCs w:val="false"/>
          <w:caps w:val="false"/>
          <w:smallCaps w:val="false"/>
          <w:color w:val="000000"/>
          <w:spacing w:val="0"/>
          <w:sz w:val="24"/>
          <w:szCs w:val="24"/>
          <w:u w:val="none"/>
          <w:lang w:val="en-US"/>
        </w:rPr>
        <w:t>2: Association between PRE-AS and SDQ - nonimputed data.</w:t>
      </w:r>
      <w:r>
        <w:rPr>
          <w:rStyle w:val="InternetLink"/>
          <w:rFonts w:eastAsia="Arial" w:cs="Arial" w:ascii="Arial" w:hAnsi="Arial"/>
          <w:b w:val="false"/>
          <w:bCs w:val="false"/>
          <w:i w:val="false"/>
          <w:iCs w:val="false"/>
          <w:caps w:val="false"/>
          <w:smallCaps w:val="false"/>
          <w:color w:val="000000"/>
          <w:spacing w:val="0"/>
          <w:sz w:val="24"/>
          <w:szCs w:val="24"/>
          <w:u w:val="none"/>
          <w:lang w:val="en-US"/>
        </w:rPr>
        <w:t xml:space="preserve"> Results that are no longer significant compared with the imputed data (Table 2) are marked blue.</w:t>
      </w:r>
    </w:p>
    <w:tbl>
      <w:tblPr>
        <w:tblW w:w="9645"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Pr>
      <w:tblGrid>
        <w:gridCol w:w="1086"/>
        <w:gridCol w:w="1256"/>
        <w:gridCol w:w="1441"/>
        <w:gridCol w:w="1341"/>
        <w:gridCol w:w="1"/>
        <w:gridCol w:w="1530"/>
        <w:gridCol w:w="814"/>
        <w:gridCol w:w="1"/>
        <w:gridCol w:w="1528"/>
        <w:gridCol w:w="645"/>
      </w:tblGrid>
      <w:tr>
        <w:trPr/>
        <w:tc>
          <w:tcPr>
            <w:tcW w:w="1086"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r>
          </w:p>
        </w:tc>
        <w:tc>
          <w:tcPr>
            <w:tcW w:w="4039" w:type="dxa"/>
            <w:gridSpan w:val="4"/>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sz w:val="22"/>
                <w:szCs w:val="22"/>
              </w:rPr>
            </w:pPr>
            <w:r>
              <w:rPr>
                <w:rFonts w:ascii="Arial" w:hAnsi="Arial"/>
                <w:sz w:val="22"/>
                <w:szCs w:val="22"/>
              </w:rPr>
              <w:t>M±SD</w:t>
            </w:r>
          </w:p>
          <w:p>
            <w:pPr>
              <w:pStyle w:val="TableContents"/>
              <w:jc w:val="center"/>
              <w:rPr>
                <w:rFonts w:ascii="Arial" w:hAnsi="Arial"/>
                <w:sz w:val="22"/>
                <w:szCs w:val="22"/>
              </w:rPr>
            </w:pPr>
            <w:r>
              <w:rPr>
                <w:rFonts w:ascii="Arial" w:hAnsi="Arial"/>
                <w:sz w:val="22"/>
                <w:szCs w:val="22"/>
              </w:rPr>
              <w:t>(range, N)</w:t>
            </w:r>
          </w:p>
        </w:tc>
        <w:tc>
          <w:tcPr>
            <w:tcW w:w="2345" w:type="dxa"/>
            <w:gridSpan w:val="3"/>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sz w:val="22"/>
                <w:szCs w:val="22"/>
              </w:rPr>
            </w:pPr>
            <w:r>
              <w:rPr>
                <w:rFonts w:ascii="Arial" w:hAnsi="Arial"/>
                <w:sz w:val="22"/>
                <w:szCs w:val="22"/>
              </w:rPr>
              <w:t>Association with PRE-AS</w:t>
            </w:r>
          </w:p>
        </w:tc>
        <w:tc>
          <w:tcPr>
            <w:tcW w:w="2173"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center"/>
              <w:rPr>
                <w:rFonts w:ascii="Arial" w:hAnsi="Arial"/>
                <w:sz w:val="22"/>
                <w:szCs w:val="22"/>
              </w:rPr>
            </w:pPr>
            <w:r>
              <w:rPr>
                <w:rFonts w:ascii="Arial" w:hAnsi="Arial"/>
                <w:sz w:val="22"/>
                <w:szCs w:val="22"/>
              </w:rPr>
              <w:t>Sex-specific association with PRE-AS</w:t>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r>
          </w:p>
        </w:tc>
        <w:tc>
          <w:tcPr>
            <w:tcW w:w="1256"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Whole sample</w:t>
            </w:r>
          </w:p>
          <w:p>
            <w:pPr>
              <w:pStyle w:val="TableContents"/>
              <w:jc w:val="both"/>
              <w:rPr>
                <w:rFonts w:ascii="Arial" w:hAnsi="Arial"/>
                <w:sz w:val="22"/>
                <w:szCs w:val="22"/>
              </w:rPr>
            </w:pPr>
            <w:r>
              <w:rPr>
                <w:rFonts w:ascii="Arial" w:hAnsi="Arial"/>
                <w:sz w:val="22"/>
                <w:szCs w:val="22"/>
              </w:rPr>
              <w:t>(range, N)</w:t>
            </w:r>
          </w:p>
        </w:tc>
        <w:tc>
          <w:tcPr>
            <w:tcW w:w="1441"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Boys</w:t>
            </w:r>
          </w:p>
          <w:p>
            <w:pPr>
              <w:pStyle w:val="TableContents"/>
              <w:jc w:val="both"/>
              <w:rPr>
                <w:rFonts w:ascii="Arial" w:hAnsi="Arial"/>
                <w:sz w:val="22"/>
                <w:szCs w:val="22"/>
              </w:rPr>
            </w:pPr>
            <w:r>
              <w:rPr>
                <w:rFonts w:ascii="Arial" w:hAnsi="Arial"/>
                <w:sz w:val="22"/>
                <w:szCs w:val="22"/>
              </w:rPr>
              <w:t>(range, N)</w:t>
            </w:r>
          </w:p>
        </w:tc>
        <w:tc>
          <w:tcPr>
            <w:tcW w:w="1341"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Girls</w:t>
            </w:r>
          </w:p>
          <w:p>
            <w:pPr>
              <w:pStyle w:val="TableContents"/>
              <w:jc w:val="both"/>
              <w:rPr>
                <w:rFonts w:ascii="Arial" w:hAnsi="Arial"/>
                <w:sz w:val="22"/>
                <w:szCs w:val="22"/>
              </w:rPr>
            </w:pPr>
            <w:r>
              <w:rPr>
                <w:rFonts w:ascii="Arial" w:hAnsi="Arial"/>
                <w:sz w:val="22"/>
                <w:szCs w:val="22"/>
              </w:rPr>
              <w:t>(range, N)</w:t>
            </w:r>
          </w:p>
        </w:tc>
        <w:tc>
          <w:tcPr>
            <w:tcW w:w="1531"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eastAsia="SimSun" w:cs="Lucida Sans" w:ascii="Arial" w:hAnsi="Arial"/>
                <w:sz w:val="22"/>
                <w:szCs w:val="22"/>
              </w:rPr>
              <w:t>β</w:t>
            </w:r>
            <w:r>
              <w:rPr>
                <w:rFonts w:ascii="Arial" w:hAnsi="Arial"/>
                <w:sz w:val="22"/>
                <w:szCs w:val="22"/>
              </w:rPr>
              <w:t>-values ± SE</w:t>
            </w:r>
          </w:p>
          <w:p>
            <w:pPr>
              <w:pStyle w:val="TableContents"/>
              <w:jc w:val="both"/>
              <w:rPr>
                <w:rFonts w:ascii="Arial" w:hAnsi="Arial"/>
                <w:sz w:val="20"/>
                <w:szCs w:val="20"/>
              </w:rPr>
            </w:pPr>
            <w:r>
              <w:rPr>
                <w:rFonts w:ascii="Arial" w:hAnsi="Arial"/>
                <w:sz w:val="20"/>
                <w:szCs w:val="20"/>
              </w:rPr>
            </w:r>
          </w:p>
        </w:tc>
        <w:tc>
          <w:tcPr>
            <w:tcW w:w="814" w:type="dxa"/>
            <w:tcBorders>
              <w:top w:val="single" w:sz="2" w:space="0" w:color="000001"/>
              <w:left w:val="single" w:sz="2" w:space="0" w:color="000001"/>
              <w:bottom w:val="single" w:sz="2" w:space="0" w:color="000001"/>
              <w:insideH w:val="single" w:sz="2" w:space="0" w:color="000001"/>
            </w:tcBorders>
            <w:shd w:fill="auto" w:val="clear"/>
          </w:tcPr>
          <w:p>
            <w:pPr>
              <w:pStyle w:val="Normal"/>
              <w:rPr>
                <w:rFonts w:ascii="Arial" w:hAnsi="Arial"/>
                <w:sz w:val="22"/>
                <w:szCs w:val="22"/>
              </w:rPr>
            </w:pPr>
            <w:r>
              <w:rPr>
                <w:rFonts w:ascii="Arial" w:hAnsi="Arial"/>
                <w:sz w:val="22"/>
                <w:szCs w:val="22"/>
              </w:rPr>
              <w:t>p</w:t>
            </w:r>
          </w:p>
        </w:tc>
        <w:tc>
          <w:tcPr>
            <w:tcW w:w="1529"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eastAsia="SimSun" w:cs="Lucida Sans" w:ascii="Arial" w:hAnsi="Arial"/>
                <w:sz w:val="22"/>
                <w:szCs w:val="22"/>
              </w:rPr>
              <w:t>β</w:t>
            </w:r>
            <w:r>
              <w:rPr>
                <w:rFonts w:ascii="Arial" w:hAnsi="Arial"/>
                <w:sz w:val="22"/>
                <w:szCs w:val="22"/>
              </w:rPr>
              <w:t>-values ± SE</w:t>
            </w:r>
          </w:p>
          <w:p>
            <w:pPr>
              <w:pStyle w:val="TableContents"/>
              <w:jc w:val="both"/>
              <w:rPr>
                <w:rFonts w:ascii="Arial" w:hAnsi="Arial"/>
                <w:sz w:val="20"/>
                <w:szCs w:val="20"/>
              </w:rPr>
            </w:pPr>
            <w:r>
              <w:rPr>
                <w:rFonts w:ascii="Arial" w:hAnsi="Arial"/>
                <w:sz w:val="20"/>
                <w:szCs w:val="20"/>
              </w:rPr>
            </w:r>
          </w:p>
        </w:tc>
        <w:tc>
          <w:tcPr>
            <w:tcW w:w="6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rPr>
                <w:rFonts w:ascii="Arial" w:hAnsi="Arial"/>
                <w:sz w:val="22"/>
                <w:szCs w:val="22"/>
              </w:rPr>
            </w:pPr>
            <w:r>
              <w:rPr>
                <w:rFonts w:ascii="Arial" w:hAnsi="Arial"/>
                <w:sz w:val="22"/>
                <w:szCs w:val="22"/>
              </w:rPr>
              <w:t>P</w:t>
            </w:r>
          </w:p>
        </w:tc>
      </w:tr>
      <w:tr>
        <w:trPr/>
        <w:tc>
          <w:tcPr>
            <w:tcW w:w="9643" w:type="dxa"/>
            <w:gridSpan w:val="10"/>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both"/>
              <w:rPr>
                <w:rFonts w:ascii="Arial" w:hAnsi="Arial"/>
                <w:sz w:val="22"/>
                <w:szCs w:val="22"/>
              </w:rPr>
            </w:pPr>
            <w:r>
              <w:rPr>
                <w:rFonts w:ascii="Arial" w:hAnsi="Arial"/>
                <w:sz w:val="22"/>
                <w:szCs w:val="22"/>
              </w:rPr>
              <w:t>4 years</w:t>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SDQ F1</w:t>
            </w:r>
          </w:p>
        </w:tc>
        <w:tc>
          <w:tcPr>
            <w:tcW w:w="1256"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1.06±1.19</w:t>
            </w:r>
          </w:p>
          <w:p>
            <w:pPr>
              <w:pStyle w:val="TableContents"/>
              <w:jc w:val="both"/>
              <w:rPr>
                <w:rFonts w:ascii="Arial" w:hAnsi="Arial"/>
                <w:sz w:val="20"/>
                <w:szCs w:val="20"/>
              </w:rPr>
            </w:pPr>
            <w:r>
              <w:rPr>
                <w:rFonts w:ascii="Arial" w:hAnsi="Arial"/>
                <w:sz w:val="20"/>
                <w:szCs w:val="20"/>
              </w:rPr>
              <w:t>(0-9, 861)</w:t>
            </w:r>
          </w:p>
        </w:tc>
        <w:tc>
          <w:tcPr>
            <w:tcW w:w="1441"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1.03±1.21</w:t>
            </w:r>
          </w:p>
          <w:p>
            <w:pPr>
              <w:pStyle w:val="TableContents"/>
              <w:jc w:val="both"/>
              <w:rPr>
                <w:rFonts w:ascii="Arial" w:hAnsi="Arial"/>
                <w:sz w:val="20"/>
                <w:szCs w:val="20"/>
              </w:rPr>
            </w:pPr>
            <w:r>
              <w:rPr>
                <w:rFonts w:ascii="Arial" w:hAnsi="Arial"/>
                <w:sz w:val="20"/>
                <w:szCs w:val="20"/>
              </w:rPr>
              <w:t>(0-9, 470)</w:t>
            </w:r>
          </w:p>
        </w:tc>
        <w:tc>
          <w:tcPr>
            <w:tcW w:w="1341"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1.10±1.17</w:t>
            </w:r>
          </w:p>
          <w:p>
            <w:pPr>
              <w:pStyle w:val="TableContents"/>
              <w:jc w:val="both"/>
              <w:rPr>
                <w:rFonts w:ascii="Arial" w:hAnsi="Arial"/>
                <w:sz w:val="20"/>
                <w:szCs w:val="20"/>
              </w:rPr>
            </w:pPr>
            <w:r>
              <w:rPr>
                <w:rFonts w:ascii="Arial" w:hAnsi="Arial"/>
                <w:sz w:val="20"/>
                <w:szCs w:val="20"/>
              </w:rPr>
              <w:t>(0-6, 391)</w:t>
            </w:r>
          </w:p>
        </w:tc>
        <w:tc>
          <w:tcPr>
            <w:tcW w:w="1531"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0.097±0.029</w:t>
            </w:r>
          </w:p>
        </w:tc>
        <w:tc>
          <w:tcPr>
            <w:tcW w:w="814"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&lt;0.001</w:t>
            </w:r>
          </w:p>
          <w:p>
            <w:pPr>
              <w:pStyle w:val="TableContents"/>
              <w:jc w:val="both"/>
              <w:rPr>
                <w:rFonts w:ascii="Arial" w:hAnsi="Arial"/>
                <w:sz w:val="20"/>
                <w:szCs w:val="20"/>
              </w:rPr>
            </w:pPr>
            <w:r>
              <w:rPr>
                <w:rFonts w:ascii="Arial" w:hAnsi="Arial"/>
                <w:sz w:val="20"/>
                <w:szCs w:val="20"/>
              </w:rPr>
            </w:r>
          </w:p>
        </w:tc>
        <w:tc>
          <w:tcPr>
            <w:tcW w:w="1529"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0.145±0.058</w:t>
            </w:r>
          </w:p>
        </w:tc>
        <w:tc>
          <w:tcPr>
            <w:tcW w:w="6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both"/>
              <w:rPr>
                <w:rFonts w:ascii="Arial" w:hAnsi="Arial"/>
                <w:sz w:val="20"/>
                <w:szCs w:val="20"/>
              </w:rPr>
            </w:pPr>
            <w:r>
              <w:rPr>
                <w:rFonts w:ascii="Arial" w:hAnsi="Arial"/>
                <w:sz w:val="20"/>
                <w:szCs w:val="20"/>
              </w:rPr>
              <w:t>0.012</w:t>
            </w:r>
          </w:p>
          <w:p>
            <w:pPr>
              <w:pStyle w:val="TableContents"/>
              <w:jc w:val="both"/>
              <w:rPr>
                <w:rFonts w:ascii="Arial" w:hAnsi="Arial"/>
                <w:sz w:val="20"/>
                <w:szCs w:val="20"/>
              </w:rPr>
            </w:pPr>
            <w:r>
              <w:rPr>
                <w:rFonts w:ascii="Arial" w:hAnsi="Arial"/>
                <w:sz w:val="20"/>
                <w:szCs w:val="20"/>
              </w:rPr>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SDQ F2</w:t>
            </w:r>
          </w:p>
        </w:tc>
        <w:tc>
          <w:tcPr>
            <w:tcW w:w="1256"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2.99±1.87</w:t>
            </w:r>
          </w:p>
          <w:p>
            <w:pPr>
              <w:pStyle w:val="TableContents"/>
              <w:jc w:val="both"/>
              <w:rPr>
                <w:rFonts w:ascii="Arial" w:hAnsi="Arial"/>
                <w:sz w:val="20"/>
                <w:szCs w:val="20"/>
              </w:rPr>
            </w:pPr>
            <w:r>
              <w:rPr>
                <w:rFonts w:ascii="Arial" w:hAnsi="Arial"/>
                <w:sz w:val="20"/>
                <w:szCs w:val="20"/>
              </w:rPr>
              <w:t>(0-9, 861)</w:t>
            </w:r>
          </w:p>
        </w:tc>
        <w:tc>
          <w:tcPr>
            <w:tcW w:w="1441"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3.12±1.92</w:t>
            </w:r>
          </w:p>
          <w:p>
            <w:pPr>
              <w:pStyle w:val="TableContents"/>
              <w:jc w:val="both"/>
              <w:rPr>
                <w:rFonts w:ascii="Arial" w:hAnsi="Arial"/>
                <w:sz w:val="20"/>
                <w:szCs w:val="20"/>
              </w:rPr>
            </w:pPr>
            <w:r>
              <w:rPr>
                <w:rFonts w:ascii="Arial" w:hAnsi="Arial"/>
                <w:sz w:val="20"/>
                <w:szCs w:val="20"/>
              </w:rPr>
              <w:t>(0-9, 470)</w:t>
            </w:r>
          </w:p>
        </w:tc>
        <w:tc>
          <w:tcPr>
            <w:tcW w:w="1341"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2.84±1.80</w:t>
            </w:r>
          </w:p>
          <w:p>
            <w:pPr>
              <w:pStyle w:val="TableContents"/>
              <w:jc w:val="both"/>
              <w:rPr>
                <w:rFonts w:ascii="Arial" w:hAnsi="Arial"/>
                <w:sz w:val="20"/>
                <w:szCs w:val="20"/>
              </w:rPr>
            </w:pPr>
            <w:r>
              <w:rPr>
                <w:rFonts w:ascii="Arial" w:hAnsi="Arial"/>
                <w:sz w:val="20"/>
                <w:szCs w:val="20"/>
              </w:rPr>
              <w:t>(0-8, 391)</w:t>
            </w:r>
          </w:p>
        </w:tc>
        <w:tc>
          <w:tcPr>
            <w:tcW w:w="1531"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0.188±0.045</w:t>
            </w:r>
          </w:p>
        </w:tc>
        <w:tc>
          <w:tcPr>
            <w:tcW w:w="814"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&lt;0.001</w:t>
            </w:r>
          </w:p>
          <w:p>
            <w:pPr>
              <w:pStyle w:val="TableContents"/>
              <w:jc w:val="both"/>
              <w:rPr>
                <w:rFonts w:ascii="Arial" w:hAnsi="Arial"/>
                <w:sz w:val="20"/>
                <w:szCs w:val="20"/>
              </w:rPr>
            </w:pPr>
            <w:r>
              <w:rPr>
                <w:rFonts w:ascii="Arial" w:hAnsi="Arial"/>
                <w:sz w:val="20"/>
                <w:szCs w:val="20"/>
              </w:rPr>
            </w:r>
          </w:p>
        </w:tc>
        <w:tc>
          <w:tcPr>
            <w:tcW w:w="1529"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0.133±0.090</w:t>
            </w:r>
          </w:p>
        </w:tc>
        <w:tc>
          <w:tcPr>
            <w:tcW w:w="6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both"/>
              <w:rPr>
                <w:rFonts w:ascii="Arial" w:hAnsi="Arial"/>
                <w:sz w:val="20"/>
                <w:szCs w:val="20"/>
              </w:rPr>
            </w:pPr>
            <w:r>
              <w:rPr>
                <w:rFonts w:ascii="Arial" w:hAnsi="Arial"/>
                <w:sz w:val="20"/>
                <w:szCs w:val="20"/>
              </w:rPr>
              <w:t>0.140</w:t>
            </w:r>
          </w:p>
          <w:p>
            <w:pPr>
              <w:pStyle w:val="TableContents"/>
              <w:jc w:val="both"/>
              <w:rPr>
                <w:rFonts w:ascii="Arial" w:hAnsi="Arial"/>
                <w:sz w:val="20"/>
                <w:szCs w:val="20"/>
              </w:rPr>
            </w:pPr>
            <w:r>
              <w:rPr>
                <w:rFonts w:ascii="Arial" w:hAnsi="Arial"/>
                <w:sz w:val="20"/>
                <w:szCs w:val="20"/>
              </w:rPr>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SDQ F3</w:t>
            </w:r>
          </w:p>
        </w:tc>
        <w:tc>
          <w:tcPr>
            <w:tcW w:w="1256"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3.06±2.11</w:t>
            </w:r>
          </w:p>
          <w:p>
            <w:pPr>
              <w:pStyle w:val="TableContents"/>
              <w:jc w:val="both"/>
              <w:rPr>
                <w:rFonts w:ascii="Arial" w:hAnsi="Arial"/>
                <w:sz w:val="20"/>
                <w:szCs w:val="20"/>
              </w:rPr>
            </w:pPr>
            <w:r>
              <w:rPr>
                <w:rFonts w:ascii="Arial" w:hAnsi="Arial"/>
                <w:sz w:val="20"/>
                <w:szCs w:val="20"/>
              </w:rPr>
              <w:t>(0-10, 861)</w:t>
            </w:r>
          </w:p>
        </w:tc>
        <w:tc>
          <w:tcPr>
            <w:tcW w:w="1441"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3.45±2.15</w:t>
            </w:r>
          </w:p>
          <w:p>
            <w:pPr>
              <w:pStyle w:val="TableContents"/>
              <w:jc w:val="both"/>
              <w:rPr>
                <w:rFonts w:ascii="Arial" w:hAnsi="Arial"/>
                <w:sz w:val="20"/>
                <w:szCs w:val="20"/>
              </w:rPr>
            </w:pPr>
            <w:r>
              <w:rPr>
                <w:rFonts w:ascii="Arial" w:hAnsi="Arial"/>
                <w:sz w:val="20"/>
                <w:szCs w:val="20"/>
              </w:rPr>
              <w:t>(0-10, 470)</w:t>
            </w:r>
          </w:p>
        </w:tc>
        <w:tc>
          <w:tcPr>
            <w:tcW w:w="1341"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2.58±1.96</w:t>
            </w:r>
          </w:p>
          <w:p>
            <w:pPr>
              <w:pStyle w:val="TableContents"/>
              <w:jc w:val="both"/>
              <w:rPr>
                <w:rFonts w:ascii="Arial" w:hAnsi="Arial"/>
                <w:sz w:val="20"/>
                <w:szCs w:val="20"/>
              </w:rPr>
            </w:pPr>
            <w:r>
              <w:rPr>
                <w:rFonts w:ascii="Arial" w:hAnsi="Arial"/>
                <w:sz w:val="20"/>
                <w:szCs w:val="20"/>
              </w:rPr>
              <w:t>(0-9, 391)</w:t>
            </w:r>
          </w:p>
        </w:tc>
        <w:tc>
          <w:tcPr>
            <w:tcW w:w="1531"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0.263±0.049</w:t>
            </w:r>
          </w:p>
        </w:tc>
        <w:tc>
          <w:tcPr>
            <w:tcW w:w="814"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&lt;0.001</w:t>
            </w:r>
          </w:p>
          <w:p>
            <w:pPr>
              <w:pStyle w:val="TableContents"/>
              <w:jc w:val="both"/>
              <w:rPr>
                <w:rFonts w:ascii="Arial" w:hAnsi="Arial"/>
                <w:sz w:val="20"/>
                <w:szCs w:val="20"/>
              </w:rPr>
            </w:pPr>
            <w:r>
              <w:rPr>
                <w:rFonts w:ascii="Arial" w:hAnsi="Arial"/>
                <w:sz w:val="20"/>
                <w:szCs w:val="20"/>
              </w:rPr>
            </w:r>
          </w:p>
        </w:tc>
        <w:tc>
          <w:tcPr>
            <w:tcW w:w="1529"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0.013±0.099</w:t>
            </w:r>
          </w:p>
        </w:tc>
        <w:tc>
          <w:tcPr>
            <w:tcW w:w="6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both"/>
              <w:rPr>
                <w:rFonts w:ascii="Arial" w:hAnsi="Arial"/>
                <w:sz w:val="20"/>
                <w:szCs w:val="20"/>
              </w:rPr>
            </w:pPr>
            <w:r>
              <w:rPr>
                <w:rFonts w:ascii="Arial" w:hAnsi="Arial"/>
                <w:sz w:val="20"/>
                <w:szCs w:val="20"/>
              </w:rPr>
              <w:t>0.896</w:t>
            </w:r>
          </w:p>
          <w:p>
            <w:pPr>
              <w:pStyle w:val="TableContents"/>
              <w:jc w:val="both"/>
              <w:rPr>
                <w:rFonts w:ascii="Arial" w:hAnsi="Arial"/>
                <w:sz w:val="20"/>
                <w:szCs w:val="20"/>
              </w:rPr>
            </w:pPr>
            <w:r>
              <w:rPr>
                <w:rFonts w:ascii="Arial" w:hAnsi="Arial"/>
                <w:sz w:val="20"/>
                <w:szCs w:val="20"/>
              </w:rPr>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SDQ F4</w:t>
            </w:r>
          </w:p>
        </w:tc>
        <w:tc>
          <w:tcPr>
            <w:tcW w:w="1256"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1.83±1.51</w:t>
            </w:r>
          </w:p>
          <w:p>
            <w:pPr>
              <w:pStyle w:val="TableContents"/>
              <w:jc w:val="both"/>
              <w:rPr>
                <w:rFonts w:ascii="Arial" w:hAnsi="Arial"/>
                <w:sz w:val="20"/>
                <w:szCs w:val="20"/>
              </w:rPr>
            </w:pPr>
            <w:r>
              <w:rPr>
                <w:rFonts w:ascii="Arial" w:hAnsi="Arial"/>
                <w:sz w:val="20"/>
                <w:szCs w:val="20"/>
              </w:rPr>
              <w:t>(0-9, 861)</w:t>
            </w:r>
          </w:p>
        </w:tc>
        <w:tc>
          <w:tcPr>
            <w:tcW w:w="1441"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2.00±1.66</w:t>
            </w:r>
          </w:p>
          <w:p>
            <w:pPr>
              <w:pStyle w:val="TableContents"/>
              <w:jc w:val="both"/>
              <w:rPr>
                <w:rFonts w:ascii="Arial" w:hAnsi="Arial"/>
                <w:sz w:val="20"/>
                <w:szCs w:val="20"/>
              </w:rPr>
            </w:pPr>
            <w:r>
              <w:rPr>
                <w:rFonts w:ascii="Arial" w:hAnsi="Arial"/>
                <w:sz w:val="20"/>
                <w:szCs w:val="20"/>
              </w:rPr>
              <w:t>(0-9, 470)</w:t>
            </w:r>
          </w:p>
        </w:tc>
        <w:tc>
          <w:tcPr>
            <w:tcW w:w="1341"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1.63±1.28</w:t>
            </w:r>
          </w:p>
          <w:p>
            <w:pPr>
              <w:pStyle w:val="TableContents"/>
              <w:jc w:val="both"/>
              <w:rPr>
                <w:rFonts w:ascii="Arial" w:hAnsi="Arial"/>
                <w:sz w:val="20"/>
                <w:szCs w:val="20"/>
              </w:rPr>
            </w:pPr>
            <w:r>
              <w:rPr>
                <w:rFonts w:ascii="Arial" w:hAnsi="Arial"/>
                <w:sz w:val="20"/>
                <w:szCs w:val="20"/>
              </w:rPr>
              <w:t>(0-7, 391)</w:t>
            </w:r>
          </w:p>
        </w:tc>
        <w:tc>
          <w:tcPr>
            <w:tcW w:w="1531"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0.079±0.036</w:t>
            </w:r>
          </w:p>
        </w:tc>
        <w:tc>
          <w:tcPr>
            <w:tcW w:w="814"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0.029</w:t>
            </w:r>
          </w:p>
          <w:p>
            <w:pPr>
              <w:pStyle w:val="TableContents"/>
              <w:jc w:val="both"/>
              <w:rPr>
                <w:rFonts w:ascii="Arial" w:hAnsi="Arial"/>
                <w:sz w:val="20"/>
                <w:szCs w:val="20"/>
              </w:rPr>
            </w:pPr>
            <w:r>
              <w:rPr>
                <w:rFonts w:ascii="Arial" w:hAnsi="Arial"/>
                <w:sz w:val="20"/>
                <w:szCs w:val="20"/>
              </w:rPr>
            </w:r>
          </w:p>
        </w:tc>
        <w:tc>
          <w:tcPr>
            <w:tcW w:w="1529"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0.174±0.073</w:t>
            </w:r>
          </w:p>
        </w:tc>
        <w:tc>
          <w:tcPr>
            <w:tcW w:w="6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both"/>
              <w:rPr>
                <w:rFonts w:ascii="Arial" w:hAnsi="Arial"/>
                <w:sz w:val="20"/>
                <w:szCs w:val="20"/>
              </w:rPr>
            </w:pPr>
            <w:r>
              <w:rPr>
                <w:rFonts w:ascii="Arial" w:hAnsi="Arial"/>
                <w:sz w:val="20"/>
                <w:szCs w:val="20"/>
              </w:rPr>
              <w:t>0.017</w:t>
            </w:r>
          </w:p>
          <w:p>
            <w:pPr>
              <w:pStyle w:val="TableContents"/>
              <w:jc w:val="both"/>
              <w:rPr>
                <w:rFonts w:ascii="Arial" w:hAnsi="Arial"/>
                <w:sz w:val="20"/>
                <w:szCs w:val="20"/>
              </w:rPr>
            </w:pPr>
            <w:r>
              <w:rPr>
                <w:rFonts w:ascii="Arial" w:hAnsi="Arial"/>
                <w:sz w:val="20"/>
                <w:szCs w:val="20"/>
              </w:rPr>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SDQ Sum</w:t>
            </w:r>
          </w:p>
        </w:tc>
        <w:tc>
          <w:tcPr>
            <w:tcW w:w="1256"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8.95±4.45</w:t>
            </w:r>
          </w:p>
          <w:p>
            <w:pPr>
              <w:pStyle w:val="TableContents"/>
              <w:jc w:val="both"/>
              <w:rPr>
                <w:rFonts w:ascii="Arial" w:hAnsi="Arial"/>
                <w:sz w:val="20"/>
                <w:szCs w:val="20"/>
              </w:rPr>
            </w:pPr>
            <w:r>
              <w:rPr>
                <w:rFonts w:ascii="Arial" w:hAnsi="Arial"/>
                <w:sz w:val="20"/>
                <w:szCs w:val="20"/>
              </w:rPr>
              <w:t>(0-26, 861)</w:t>
            </w:r>
          </w:p>
        </w:tc>
        <w:tc>
          <w:tcPr>
            <w:tcW w:w="1441"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9.61±4.59</w:t>
            </w:r>
          </w:p>
          <w:p>
            <w:pPr>
              <w:pStyle w:val="TableContents"/>
              <w:jc w:val="both"/>
              <w:rPr>
                <w:rFonts w:ascii="Arial" w:hAnsi="Arial"/>
                <w:sz w:val="20"/>
                <w:szCs w:val="20"/>
              </w:rPr>
            </w:pPr>
            <w:r>
              <w:rPr>
                <w:rFonts w:ascii="Arial" w:hAnsi="Arial"/>
                <w:sz w:val="20"/>
                <w:szCs w:val="20"/>
              </w:rPr>
              <w:t>(1-26, 470)</w:t>
            </w:r>
          </w:p>
        </w:tc>
        <w:tc>
          <w:tcPr>
            <w:tcW w:w="1341"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8.15±4.14</w:t>
            </w:r>
          </w:p>
          <w:p>
            <w:pPr>
              <w:pStyle w:val="TableContents"/>
              <w:jc w:val="both"/>
              <w:rPr>
                <w:rFonts w:ascii="Arial" w:hAnsi="Arial"/>
                <w:sz w:val="20"/>
                <w:szCs w:val="20"/>
              </w:rPr>
            </w:pPr>
            <w:r>
              <w:rPr>
                <w:rFonts w:ascii="Arial" w:hAnsi="Arial"/>
                <w:sz w:val="20"/>
                <w:szCs w:val="20"/>
              </w:rPr>
              <w:t>(0-22, 391)</w:t>
            </w:r>
          </w:p>
        </w:tc>
        <w:tc>
          <w:tcPr>
            <w:tcW w:w="1531"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0.627±0.104</w:t>
            </w:r>
          </w:p>
        </w:tc>
        <w:tc>
          <w:tcPr>
            <w:tcW w:w="814"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&lt;0.001</w:t>
            </w:r>
          </w:p>
          <w:p>
            <w:pPr>
              <w:pStyle w:val="TableContents"/>
              <w:jc w:val="both"/>
              <w:rPr>
                <w:rFonts w:ascii="Arial" w:hAnsi="Arial"/>
                <w:sz w:val="20"/>
                <w:szCs w:val="20"/>
              </w:rPr>
            </w:pPr>
            <w:r>
              <w:rPr>
                <w:rFonts w:ascii="Arial" w:hAnsi="Arial"/>
                <w:sz w:val="20"/>
                <w:szCs w:val="20"/>
              </w:rPr>
            </w:r>
          </w:p>
        </w:tc>
        <w:tc>
          <w:tcPr>
            <w:tcW w:w="1529"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0.465±0.209</w:t>
            </w:r>
          </w:p>
        </w:tc>
        <w:tc>
          <w:tcPr>
            <w:tcW w:w="6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both"/>
              <w:rPr>
                <w:rFonts w:ascii="Arial" w:hAnsi="Arial"/>
                <w:sz w:val="20"/>
                <w:szCs w:val="20"/>
              </w:rPr>
            </w:pPr>
            <w:r>
              <w:rPr>
                <w:rFonts w:ascii="Arial" w:hAnsi="Arial"/>
                <w:sz w:val="20"/>
                <w:szCs w:val="20"/>
              </w:rPr>
              <w:t>0.026</w:t>
            </w:r>
          </w:p>
        </w:tc>
      </w:tr>
      <w:tr>
        <w:trPr/>
        <w:tc>
          <w:tcPr>
            <w:tcW w:w="9643" w:type="dxa"/>
            <w:gridSpan w:val="10"/>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both"/>
              <w:rPr>
                <w:rFonts w:ascii="Arial" w:hAnsi="Arial"/>
                <w:sz w:val="22"/>
                <w:szCs w:val="22"/>
              </w:rPr>
            </w:pPr>
            <w:r>
              <w:rPr>
                <w:rFonts w:ascii="Arial" w:hAnsi="Arial"/>
                <w:sz w:val="22"/>
                <w:szCs w:val="22"/>
              </w:rPr>
              <w:t>5 years</w:t>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SDQ F1</w:t>
            </w:r>
          </w:p>
        </w:tc>
        <w:tc>
          <w:tcPr>
            <w:tcW w:w="1256"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1.25±1.33</w:t>
            </w:r>
          </w:p>
          <w:p>
            <w:pPr>
              <w:pStyle w:val="TableContents"/>
              <w:jc w:val="both"/>
              <w:rPr>
                <w:rFonts w:ascii="Arial" w:hAnsi="Arial"/>
                <w:sz w:val="20"/>
                <w:szCs w:val="20"/>
              </w:rPr>
            </w:pPr>
            <w:r>
              <w:rPr>
                <w:rFonts w:ascii="Arial" w:hAnsi="Arial"/>
                <w:sz w:val="20"/>
                <w:szCs w:val="20"/>
              </w:rPr>
              <w:t>(0-8, 1049)</w:t>
            </w:r>
          </w:p>
        </w:tc>
        <w:tc>
          <w:tcPr>
            <w:tcW w:w="1441"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1.24±1.37</w:t>
            </w:r>
          </w:p>
          <w:p>
            <w:pPr>
              <w:pStyle w:val="TableContents"/>
              <w:jc w:val="both"/>
              <w:rPr>
                <w:rFonts w:ascii="Arial" w:hAnsi="Arial"/>
                <w:sz w:val="20"/>
                <w:szCs w:val="20"/>
              </w:rPr>
            </w:pPr>
            <w:r>
              <w:rPr>
                <w:rFonts w:ascii="Arial" w:hAnsi="Arial"/>
                <w:sz w:val="20"/>
                <w:szCs w:val="20"/>
              </w:rPr>
              <w:t>(0-8, 574)</w:t>
            </w:r>
          </w:p>
        </w:tc>
        <w:tc>
          <w:tcPr>
            <w:tcW w:w="1341"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1.26±1.29</w:t>
            </w:r>
          </w:p>
          <w:p>
            <w:pPr>
              <w:pStyle w:val="TableContents"/>
              <w:jc w:val="both"/>
              <w:rPr>
                <w:rFonts w:ascii="Arial" w:hAnsi="Arial"/>
                <w:sz w:val="20"/>
                <w:szCs w:val="20"/>
              </w:rPr>
            </w:pPr>
            <w:r>
              <w:rPr>
                <w:rFonts w:ascii="Arial" w:hAnsi="Arial"/>
                <w:sz w:val="20"/>
                <w:szCs w:val="20"/>
              </w:rPr>
              <w:t>(0-8, 475)</w:t>
            </w:r>
          </w:p>
        </w:tc>
        <w:tc>
          <w:tcPr>
            <w:tcW w:w="1531"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0.206±0.030</w:t>
            </w:r>
          </w:p>
        </w:tc>
        <w:tc>
          <w:tcPr>
            <w:tcW w:w="814"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&lt;0.001</w:t>
            </w:r>
          </w:p>
        </w:tc>
        <w:tc>
          <w:tcPr>
            <w:tcW w:w="1529"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0.051±0.060</w:t>
            </w:r>
          </w:p>
        </w:tc>
        <w:tc>
          <w:tcPr>
            <w:tcW w:w="6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both"/>
              <w:rPr>
                <w:rFonts w:ascii="Arial" w:hAnsi="Arial"/>
                <w:sz w:val="20"/>
                <w:szCs w:val="20"/>
              </w:rPr>
            </w:pPr>
            <w:r>
              <w:rPr>
                <w:rFonts w:ascii="Arial" w:hAnsi="Arial"/>
                <w:sz w:val="20"/>
                <w:szCs w:val="20"/>
              </w:rPr>
              <w:t>0.395</w:t>
            </w:r>
          </w:p>
          <w:p>
            <w:pPr>
              <w:pStyle w:val="TableContents"/>
              <w:jc w:val="both"/>
              <w:rPr>
                <w:rFonts w:ascii="Arial" w:hAnsi="Arial"/>
                <w:sz w:val="20"/>
                <w:szCs w:val="20"/>
              </w:rPr>
            </w:pPr>
            <w:r>
              <w:rPr>
                <w:rFonts w:ascii="Arial" w:hAnsi="Arial"/>
                <w:sz w:val="20"/>
                <w:szCs w:val="20"/>
              </w:rPr>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SDQ F2</w:t>
            </w:r>
          </w:p>
        </w:tc>
        <w:tc>
          <w:tcPr>
            <w:tcW w:w="1256"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2.81±1.96</w:t>
            </w:r>
          </w:p>
          <w:p>
            <w:pPr>
              <w:pStyle w:val="TableContents"/>
              <w:jc w:val="both"/>
              <w:rPr>
                <w:rFonts w:ascii="Arial" w:hAnsi="Arial"/>
                <w:sz w:val="20"/>
                <w:szCs w:val="20"/>
              </w:rPr>
            </w:pPr>
            <w:r>
              <w:rPr>
                <w:rFonts w:ascii="Arial" w:hAnsi="Arial"/>
                <w:sz w:val="20"/>
                <w:szCs w:val="20"/>
              </w:rPr>
              <w:t>(0-10, 1049)</w:t>
            </w:r>
          </w:p>
        </w:tc>
        <w:tc>
          <w:tcPr>
            <w:tcW w:w="1441"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2.95±2.00</w:t>
            </w:r>
          </w:p>
          <w:p>
            <w:pPr>
              <w:pStyle w:val="TableContents"/>
              <w:jc w:val="both"/>
              <w:rPr>
                <w:rFonts w:ascii="Arial" w:hAnsi="Arial"/>
                <w:sz w:val="20"/>
                <w:szCs w:val="20"/>
              </w:rPr>
            </w:pPr>
            <w:r>
              <w:rPr>
                <w:rFonts w:ascii="Arial" w:hAnsi="Arial"/>
                <w:sz w:val="20"/>
                <w:szCs w:val="20"/>
              </w:rPr>
              <w:t>(0-10, 574)</w:t>
            </w:r>
          </w:p>
        </w:tc>
        <w:tc>
          <w:tcPr>
            <w:tcW w:w="1341"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2.65±1.90</w:t>
            </w:r>
          </w:p>
          <w:p>
            <w:pPr>
              <w:pStyle w:val="TableContents"/>
              <w:jc w:val="both"/>
              <w:rPr>
                <w:rFonts w:ascii="Arial" w:hAnsi="Arial"/>
                <w:sz w:val="20"/>
                <w:szCs w:val="20"/>
              </w:rPr>
            </w:pPr>
            <w:r>
              <w:rPr>
                <w:rFonts w:ascii="Arial" w:hAnsi="Arial"/>
                <w:sz w:val="20"/>
                <w:szCs w:val="20"/>
              </w:rPr>
              <w:t>(0-8, 475)</w:t>
            </w:r>
          </w:p>
        </w:tc>
        <w:tc>
          <w:tcPr>
            <w:tcW w:w="1531"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0.245±0.044</w:t>
            </w:r>
          </w:p>
        </w:tc>
        <w:tc>
          <w:tcPr>
            <w:tcW w:w="814"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&lt;0.001</w:t>
            </w:r>
          </w:p>
          <w:p>
            <w:pPr>
              <w:pStyle w:val="TableContents"/>
              <w:jc w:val="both"/>
              <w:rPr>
                <w:rFonts w:ascii="Arial" w:hAnsi="Arial"/>
                <w:sz w:val="20"/>
                <w:szCs w:val="20"/>
              </w:rPr>
            </w:pPr>
            <w:r>
              <w:rPr>
                <w:rFonts w:ascii="Arial" w:hAnsi="Arial"/>
                <w:sz w:val="20"/>
                <w:szCs w:val="20"/>
              </w:rPr>
            </w:r>
          </w:p>
        </w:tc>
        <w:tc>
          <w:tcPr>
            <w:tcW w:w="1529"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0.079±0.088</w:t>
            </w:r>
          </w:p>
        </w:tc>
        <w:tc>
          <w:tcPr>
            <w:tcW w:w="6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both"/>
              <w:rPr>
                <w:rFonts w:ascii="Arial" w:hAnsi="Arial"/>
                <w:sz w:val="20"/>
                <w:szCs w:val="20"/>
              </w:rPr>
            </w:pPr>
            <w:r>
              <w:rPr>
                <w:rFonts w:ascii="Arial" w:hAnsi="Arial"/>
                <w:sz w:val="20"/>
                <w:szCs w:val="20"/>
              </w:rPr>
              <w:t>0.368</w:t>
            </w:r>
          </w:p>
          <w:p>
            <w:pPr>
              <w:pStyle w:val="TableContents"/>
              <w:jc w:val="both"/>
              <w:rPr>
                <w:rFonts w:ascii="Arial" w:hAnsi="Arial"/>
                <w:sz w:val="20"/>
                <w:szCs w:val="20"/>
              </w:rPr>
            </w:pPr>
            <w:r>
              <w:rPr>
                <w:rFonts w:ascii="Arial" w:hAnsi="Arial"/>
                <w:sz w:val="20"/>
                <w:szCs w:val="20"/>
              </w:rPr>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SDQ F3</w:t>
            </w:r>
          </w:p>
        </w:tc>
        <w:tc>
          <w:tcPr>
            <w:tcW w:w="1256"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3.14±2.32</w:t>
            </w:r>
          </w:p>
          <w:p>
            <w:pPr>
              <w:pStyle w:val="TableContents"/>
              <w:jc w:val="both"/>
              <w:rPr>
                <w:rFonts w:ascii="Arial" w:hAnsi="Arial"/>
                <w:sz w:val="20"/>
                <w:szCs w:val="20"/>
              </w:rPr>
            </w:pPr>
            <w:r>
              <w:rPr>
                <w:rFonts w:ascii="Arial" w:hAnsi="Arial"/>
                <w:sz w:val="20"/>
                <w:szCs w:val="20"/>
              </w:rPr>
              <w:t>(0-10, 1048)</w:t>
            </w:r>
          </w:p>
        </w:tc>
        <w:tc>
          <w:tcPr>
            <w:tcW w:w="1441"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3.49±2.34</w:t>
            </w:r>
          </w:p>
          <w:p>
            <w:pPr>
              <w:pStyle w:val="TableContents"/>
              <w:jc w:val="both"/>
              <w:rPr>
                <w:rFonts w:ascii="Arial" w:hAnsi="Arial"/>
                <w:sz w:val="20"/>
                <w:szCs w:val="20"/>
              </w:rPr>
            </w:pPr>
            <w:r>
              <w:rPr>
                <w:rFonts w:ascii="Arial" w:hAnsi="Arial"/>
                <w:sz w:val="20"/>
                <w:szCs w:val="20"/>
              </w:rPr>
              <w:t>(0-10, 573)</w:t>
            </w:r>
          </w:p>
        </w:tc>
        <w:tc>
          <w:tcPr>
            <w:tcW w:w="1341"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2.72±2.23</w:t>
            </w:r>
          </w:p>
          <w:p>
            <w:pPr>
              <w:pStyle w:val="TableContents"/>
              <w:jc w:val="both"/>
              <w:rPr>
                <w:rFonts w:ascii="Arial" w:hAnsi="Arial"/>
                <w:sz w:val="20"/>
                <w:szCs w:val="20"/>
              </w:rPr>
            </w:pPr>
            <w:r>
              <w:rPr>
                <w:rFonts w:ascii="Arial" w:hAnsi="Arial"/>
                <w:sz w:val="20"/>
                <w:szCs w:val="20"/>
              </w:rPr>
              <w:t>(0-10, 475)</w:t>
            </w:r>
          </w:p>
        </w:tc>
        <w:tc>
          <w:tcPr>
            <w:tcW w:w="1531"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0.379±0.050</w:t>
            </w:r>
          </w:p>
        </w:tc>
        <w:tc>
          <w:tcPr>
            <w:tcW w:w="814"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&lt;0.001</w:t>
            </w:r>
          </w:p>
          <w:p>
            <w:pPr>
              <w:pStyle w:val="TableContents"/>
              <w:jc w:val="both"/>
              <w:rPr>
                <w:rFonts w:ascii="Arial" w:hAnsi="Arial"/>
                <w:sz w:val="20"/>
                <w:szCs w:val="20"/>
              </w:rPr>
            </w:pPr>
            <w:r>
              <w:rPr>
                <w:rFonts w:ascii="Arial" w:hAnsi="Arial"/>
                <w:sz w:val="20"/>
                <w:szCs w:val="20"/>
              </w:rPr>
            </w:r>
          </w:p>
        </w:tc>
        <w:tc>
          <w:tcPr>
            <w:tcW w:w="1529"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-0.055±0.102</w:t>
            </w:r>
          </w:p>
        </w:tc>
        <w:tc>
          <w:tcPr>
            <w:tcW w:w="6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both"/>
              <w:rPr>
                <w:rFonts w:ascii="Arial" w:hAnsi="Arial"/>
                <w:sz w:val="20"/>
                <w:szCs w:val="20"/>
              </w:rPr>
            </w:pPr>
            <w:r>
              <w:rPr>
                <w:rFonts w:ascii="Arial" w:hAnsi="Arial"/>
                <w:sz w:val="20"/>
                <w:szCs w:val="20"/>
              </w:rPr>
              <w:t>0.591</w:t>
            </w:r>
          </w:p>
          <w:p>
            <w:pPr>
              <w:pStyle w:val="TableContents"/>
              <w:jc w:val="both"/>
              <w:rPr>
                <w:rFonts w:ascii="Arial" w:hAnsi="Arial"/>
                <w:sz w:val="20"/>
                <w:szCs w:val="20"/>
              </w:rPr>
            </w:pPr>
            <w:r>
              <w:rPr>
                <w:rFonts w:ascii="Arial" w:hAnsi="Arial"/>
                <w:sz w:val="20"/>
                <w:szCs w:val="20"/>
              </w:rPr>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SDQ F4</w:t>
            </w:r>
          </w:p>
        </w:tc>
        <w:tc>
          <w:tcPr>
            <w:tcW w:w="1256"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1.57±1.50</w:t>
            </w:r>
          </w:p>
          <w:p>
            <w:pPr>
              <w:pStyle w:val="TableContents"/>
              <w:jc w:val="both"/>
              <w:rPr>
                <w:rFonts w:ascii="Arial" w:hAnsi="Arial"/>
                <w:sz w:val="20"/>
                <w:szCs w:val="20"/>
              </w:rPr>
            </w:pPr>
            <w:r>
              <w:rPr>
                <w:rFonts w:ascii="Arial" w:hAnsi="Arial"/>
                <w:sz w:val="20"/>
                <w:szCs w:val="20"/>
              </w:rPr>
              <w:t>(0-9, 1048)</w:t>
            </w:r>
          </w:p>
        </w:tc>
        <w:tc>
          <w:tcPr>
            <w:tcW w:w="1441"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1.72±1.69</w:t>
            </w:r>
          </w:p>
          <w:p>
            <w:pPr>
              <w:pStyle w:val="TableContents"/>
              <w:jc w:val="both"/>
              <w:rPr>
                <w:rFonts w:ascii="Arial" w:hAnsi="Arial"/>
                <w:sz w:val="20"/>
                <w:szCs w:val="20"/>
              </w:rPr>
            </w:pPr>
            <w:r>
              <w:rPr>
                <w:rFonts w:ascii="Arial" w:hAnsi="Arial"/>
                <w:sz w:val="20"/>
                <w:szCs w:val="20"/>
              </w:rPr>
              <w:t>(0-9, 573)</w:t>
            </w:r>
          </w:p>
        </w:tc>
        <w:tc>
          <w:tcPr>
            <w:tcW w:w="1341"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1.39±1.20</w:t>
            </w:r>
          </w:p>
          <w:p>
            <w:pPr>
              <w:pStyle w:val="TableContents"/>
              <w:jc w:val="both"/>
              <w:rPr>
                <w:rFonts w:ascii="Arial" w:hAnsi="Arial"/>
                <w:sz w:val="20"/>
                <w:szCs w:val="20"/>
              </w:rPr>
            </w:pPr>
            <w:r>
              <w:rPr>
                <w:rFonts w:ascii="Arial" w:hAnsi="Arial"/>
                <w:sz w:val="20"/>
                <w:szCs w:val="20"/>
              </w:rPr>
              <w:t>(0-6, 475)</w:t>
            </w:r>
          </w:p>
        </w:tc>
        <w:tc>
          <w:tcPr>
            <w:tcW w:w="1531"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0.179±0.033</w:t>
            </w:r>
          </w:p>
        </w:tc>
        <w:tc>
          <w:tcPr>
            <w:tcW w:w="814"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&lt;0.001</w:t>
            </w:r>
          </w:p>
          <w:p>
            <w:pPr>
              <w:pStyle w:val="TableContents"/>
              <w:jc w:val="both"/>
              <w:rPr>
                <w:rFonts w:ascii="Arial" w:hAnsi="Arial"/>
                <w:sz w:val="20"/>
                <w:szCs w:val="20"/>
              </w:rPr>
            </w:pPr>
            <w:r>
              <w:rPr>
                <w:rFonts w:ascii="Arial" w:hAnsi="Arial"/>
                <w:sz w:val="20"/>
                <w:szCs w:val="20"/>
              </w:rPr>
            </w:r>
          </w:p>
        </w:tc>
        <w:tc>
          <w:tcPr>
            <w:tcW w:w="1529"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0.139±0.067</w:t>
            </w:r>
          </w:p>
        </w:tc>
        <w:tc>
          <w:tcPr>
            <w:tcW w:w="6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both"/>
              <w:rPr>
                <w:rFonts w:ascii="Arial" w:hAnsi="Arial"/>
                <w:sz w:val="20"/>
                <w:szCs w:val="20"/>
              </w:rPr>
            </w:pPr>
            <w:r>
              <w:rPr>
                <w:rFonts w:ascii="Arial" w:hAnsi="Arial"/>
                <w:sz w:val="20"/>
                <w:szCs w:val="20"/>
              </w:rPr>
              <w:t>0.039</w:t>
            </w:r>
          </w:p>
          <w:p>
            <w:pPr>
              <w:pStyle w:val="TableContents"/>
              <w:jc w:val="both"/>
              <w:rPr>
                <w:rFonts w:ascii="Arial" w:hAnsi="Arial"/>
                <w:sz w:val="20"/>
                <w:szCs w:val="20"/>
              </w:rPr>
            </w:pPr>
            <w:r>
              <w:rPr>
                <w:rFonts w:ascii="Arial" w:hAnsi="Arial"/>
                <w:sz w:val="20"/>
                <w:szCs w:val="20"/>
              </w:rPr>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SDQ Sum</w:t>
            </w:r>
          </w:p>
        </w:tc>
        <w:tc>
          <w:tcPr>
            <w:tcW w:w="1256"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8.77±4.84</w:t>
            </w:r>
          </w:p>
          <w:p>
            <w:pPr>
              <w:pStyle w:val="TableContents"/>
              <w:jc w:val="both"/>
              <w:rPr>
                <w:rFonts w:ascii="Arial" w:hAnsi="Arial"/>
                <w:sz w:val="20"/>
                <w:szCs w:val="20"/>
              </w:rPr>
            </w:pPr>
            <w:r>
              <w:rPr>
                <w:rFonts w:ascii="Arial" w:hAnsi="Arial"/>
                <w:sz w:val="20"/>
                <w:szCs w:val="20"/>
              </w:rPr>
              <w:t>(0-27, 1048)</w:t>
            </w:r>
          </w:p>
        </w:tc>
        <w:tc>
          <w:tcPr>
            <w:tcW w:w="1441"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9.39±5.05</w:t>
            </w:r>
          </w:p>
          <w:p>
            <w:pPr>
              <w:pStyle w:val="TableContents"/>
              <w:jc w:val="both"/>
              <w:rPr>
                <w:rFonts w:ascii="Arial" w:hAnsi="Arial"/>
                <w:sz w:val="20"/>
                <w:szCs w:val="20"/>
              </w:rPr>
            </w:pPr>
            <w:r>
              <w:rPr>
                <w:rFonts w:ascii="Arial" w:hAnsi="Arial"/>
                <w:sz w:val="20"/>
                <w:szCs w:val="20"/>
              </w:rPr>
              <w:t>(0-27, 573)</w:t>
            </w:r>
          </w:p>
        </w:tc>
        <w:tc>
          <w:tcPr>
            <w:tcW w:w="1341"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8.02±4.46</w:t>
            </w:r>
          </w:p>
          <w:p>
            <w:pPr>
              <w:pStyle w:val="TableContents"/>
              <w:jc w:val="both"/>
              <w:rPr>
                <w:rFonts w:ascii="Arial" w:hAnsi="Arial"/>
                <w:sz w:val="20"/>
                <w:szCs w:val="20"/>
              </w:rPr>
            </w:pPr>
            <w:r>
              <w:rPr>
                <w:rFonts w:ascii="Arial" w:hAnsi="Arial"/>
                <w:sz w:val="20"/>
                <w:szCs w:val="20"/>
              </w:rPr>
              <w:t>(0-25, 475)</w:t>
            </w:r>
          </w:p>
        </w:tc>
        <w:tc>
          <w:tcPr>
            <w:tcW w:w="1531"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1.009±0.104</w:t>
            </w:r>
          </w:p>
        </w:tc>
        <w:tc>
          <w:tcPr>
            <w:tcW w:w="814"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&lt;0.001</w:t>
            </w:r>
          </w:p>
          <w:p>
            <w:pPr>
              <w:pStyle w:val="TableContents"/>
              <w:jc w:val="both"/>
              <w:rPr>
                <w:rFonts w:ascii="Arial" w:hAnsi="Arial"/>
                <w:sz w:val="20"/>
                <w:szCs w:val="20"/>
              </w:rPr>
            </w:pPr>
            <w:r>
              <w:rPr>
                <w:rFonts w:ascii="Arial" w:hAnsi="Arial"/>
                <w:sz w:val="20"/>
                <w:szCs w:val="20"/>
              </w:rPr>
            </w:r>
          </w:p>
        </w:tc>
        <w:tc>
          <w:tcPr>
            <w:tcW w:w="1529"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color w:val="0066B3"/>
                <w:sz w:val="20"/>
                <w:szCs w:val="20"/>
              </w:rPr>
            </w:pPr>
            <w:r>
              <w:rPr>
                <w:rFonts w:ascii="Arial" w:hAnsi="Arial"/>
                <w:color w:val="0066B3"/>
                <w:sz w:val="20"/>
                <w:szCs w:val="20"/>
              </w:rPr>
              <w:t>0.214±0.210</w:t>
            </w:r>
          </w:p>
        </w:tc>
        <w:tc>
          <w:tcPr>
            <w:tcW w:w="6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both"/>
              <w:rPr>
                <w:rFonts w:ascii="Arial" w:hAnsi="Arial"/>
                <w:color w:val="0066B3"/>
                <w:sz w:val="20"/>
                <w:szCs w:val="20"/>
              </w:rPr>
            </w:pPr>
            <w:r>
              <w:rPr>
                <w:rFonts w:ascii="Arial" w:hAnsi="Arial"/>
                <w:color w:val="0066B3"/>
                <w:sz w:val="20"/>
                <w:szCs w:val="20"/>
              </w:rPr>
              <w:t>0.309</w:t>
            </w:r>
          </w:p>
        </w:tc>
      </w:tr>
    </w:tbl>
    <w:p>
      <w:pPr>
        <w:pStyle w:val="Normal"/>
        <w:widowControl w:val="false"/>
        <w:bidi w:val="0"/>
        <w:spacing w:lineRule="auto" w:line="480" w:before="0" w:after="240"/>
        <w:jc w:val="both"/>
        <w:rPr>
          <w:rStyle w:val="InternetLink"/>
          <w:rFonts w:eastAsia="Arial"/>
          <w:b w:val="false"/>
          <w:b w:val="false"/>
          <w:bCs w:val="false"/>
          <w:i w:val="false"/>
          <w:i w:val="false"/>
          <w:iCs w:val="false"/>
          <w:caps w:val="false"/>
          <w:smallCaps w:val="false"/>
          <w:color w:val="000000"/>
          <w:spacing w:val="0"/>
          <w:sz w:val="24"/>
          <w:szCs w:val="24"/>
          <w:u w:val="none"/>
          <w:lang w:val="en-US"/>
        </w:rPr>
      </w:pPr>
      <w:r>
        <w:rPr>
          <w:rFonts w:eastAsia="Arial"/>
          <w:b w:val="false"/>
          <w:bCs w:val="false"/>
          <w:i w:val="false"/>
          <w:iCs w:val="false"/>
          <w:caps w:val="false"/>
          <w:smallCaps w:val="false"/>
          <w:color w:val="000000"/>
          <w:spacing w:val="0"/>
          <w:sz w:val="24"/>
          <w:szCs w:val="24"/>
          <w:u w:val="none"/>
          <w:lang w:val="en-US"/>
        </w:rPr>
      </w:r>
      <w:r>
        <w:br w:type="page"/>
      </w:r>
    </w:p>
    <w:p>
      <w:pPr>
        <w:pStyle w:val="Normal"/>
        <w:widowControl w:val="false"/>
        <w:bidi w:val="0"/>
        <w:spacing w:lineRule="auto" w:line="360" w:before="0" w:after="86"/>
        <w:jc w:val="both"/>
        <w:rPr/>
      </w:pPr>
      <w:r>
        <w:rPr>
          <w:rStyle w:val="InternetLink"/>
          <w:rFonts w:eastAsia="Arial" w:cs="Arial" w:ascii="Arial" w:hAnsi="Arial"/>
          <w:b/>
          <w:bCs/>
          <w:i w:val="false"/>
          <w:iCs w:val="false"/>
          <w:caps w:val="false"/>
          <w:smallCaps w:val="false"/>
          <w:color w:val="000000"/>
          <w:spacing w:val="0"/>
          <w:sz w:val="24"/>
          <w:szCs w:val="24"/>
          <w:u w:val="none"/>
          <w:lang w:val="en-US"/>
        </w:rPr>
        <w:t>Table S</w:t>
      </w:r>
      <w:r>
        <w:rPr>
          <w:rStyle w:val="InternetLink"/>
          <w:rFonts w:eastAsia="Arial" w:cs="Arial" w:ascii="Arial" w:hAnsi="Arial"/>
          <w:b/>
          <w:bCs/>
          <w:i w:val="false"/>
          <w:iCs w:val="false"/>
          <w:caps w:val="false"/>
          <w:smallCaps w:val="false"/>
          <w:color w:val="000000"/>
          <w:spacing w:val="0"/>
          <w:sz w:val="24"/>
          <w:szCs w:val="24"/>
          <w:u w:val="none"/>
          <w:lang w:val="en-US"/>
        </w:rPr>
        <w:t>I-</w:t>
      </w:r>
      <w:r>
        <w:rPr>
          <w:rStyle w:val="InternetLink"/>
          <w:rFonts w:eastAsia="Arial" w:cs="Arial" w:ascii="Arial" w:hAnsi="Arial"/>
          <w:b/>
          <w:bCs/>
          <w:i w:val="false"/>
          <w:iCs w:val="false"/>
          <w:caps w:val="false"/>
          <w:smallCaps w:val="false"/>
          <w:color w:val="000000"/>
          <w:spacing w:val="0"/>
          <w:sz w:val="24"/>
          <w:szCs w:val="24"/>
          <w:u w:val="none"/>
          <w:lang w:val="en-US"/>
        </w:rPr>
        <w:t>3:</w:t>
      </w:r>
      <w:r>
        <w:rPr>
          <w:rStyle w:val="InternetLink"/>
          <w:rFonts w:eastAsia="Arial" w:cs="Arial" w:ascii="Arial" w:hAnsi="Arial"/>
          <w:b w:val="false"/>
          <w:bCs w:val="false"/>
          <w:i w:val="false"/>
          <w:iCs w:val="false"/>
          <w:caps w:val="false"/>
          <w:smallCaps w:val="false"/>
          <w:color w:val="000000"/>
          <w:spacing w:val="0"/>
          <w:sz w:val="24"/>
          <w:szCs w:val="24"/>
          <w:u w:val="none"/>
          <w:lang w:val="en-US"/>
        </w:rPr>
        <w:t xml:space="preserve"> </w:t>
      </w:r>
      <w:r>
        <w:rPr>
          <w:rStyle w:val="InternetLink"/>
          <w:rFonts w:eastAsia="Arial" w:cs="Arial" w:ascii="Arial" w:hAnsi="Arial"/>
          <w:b/>
          <w:bCs/>
          <w:i w:val="false"/>
          <w:iCs w:val="false"/>
          <w:caps w:val="false"/>
          <w:smallCaps w:val="false"/>
          <w:color w:val="000000"/>
          <w:spacing w:val="0"/>
          <w:sz w:val="24"/>
          <w:szCs w:val="24"/>
          <w:u w:val="none"/>
          <w:lang w:val="en-US"/>
        </w:rPr>
        <w:t>PRE-AS and amygdalar / hippocampal volumes - nonimputed data.</w:t>
      </w:r>
      <w:r>
        <w:rPr>
          <w:rStyle w:val="InternetLink"/>
          <w:rFonts w:eastAsia="Arial" w:cs="Arial" w:ascii="Arial" w:hAnsi="Arial"/>
          <w:b w:val="false"/>
          <w:bCs w:val="false"/>
          <w:i w:val="false"/>
          <w:iCs w:val="false"/>
          <w:caps w:val="false"/>
          <w:smallCaps w:val="false"/>
          <w:color w:val="000000"/>
          <w:spacing w:val="0"/>
          <w:sz w:val="24"/>
          <w:szCs w:val="24"/>
          <w:u w:val="none"/>
          <w:lang w:val="en-US"/>
        </w:rPr>
        <w:t xml:space="preserve"> Results are similar compared to Table 3.</w:t>
      </w:r>
    </w:p>
    <w:tbl>
      <w:tblPr>
        <w:tblW w:w="9720"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Pr>
      <w:tblGrid>
        <w:gridCol w:w="1170"/>
        <w:gridCol w:w="1532"/>
        <w:gridCol w:w="1172"/>
        <w:gridCol w:w="1073"/>
        <w:gridCol w:w="1"/>
        <w:gridCol w:w="1439"/>
        <w:gridCol w:w="816"/>
        <w:gridCol w:w="1"/>
        <w:gridCol w:w="1708"/>
        <w:gridCol w:w="806"/>
      </w:tblGrid>
      <w:tr>
        <w:trPr/>
        <w:tc>
          <w:tcPr>
            <w:tcW w:w="117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r>
          </w:p>
        </w:tc>
        <w:tc>
          <w:tcPr>
            <w:tcW w:w="3778" w:type="dxa"/>
            <w:gridSpan w:val="4"/>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sz w:val="22"/>
                <w:szCs w:val="22"/>
              </w:rPr>
            </w:pPr>
            <w:r>
              <w:rPr>
                <w:rFonts w:ascii="Arial" w:hAnsi="Arial"/>
                <w:sz w:val="22"/>
                <w:szCs w:val="22"/>
              </w:rPr>
              <w:t>Volumes [mm^3]</w:t>
            </w:r>
          </w:p>
          <w:p>
            <w:pPr>
              <w:pStyle w:val="TableContents"/>
              <w:jc w:val="center"/>
              <w:rPr>
                <w:rFonts w:ascii="Arial" w:hAnsi="Arial"/>
                <w:sz w:val="22"/>
                <w:szCs w:val="22"/>
              </w:rPr>
            </w:pPr>
            <w:r>
              <w:rPr>
                <w:rFonts w:ascii="Arial" w:hAnsi="Arial"/>
                <w:sz w:val="22"/>
                <w:szCs w:val="22"/>
              </w:rPr>
              <w:t>M±SD</w:t>
            </w:r>
          </w:p>
        </w:tc>
        <w:tc>
          <w:tcPr>
            <w:tcW w:w="2256" w:type="dxa"/>
            <w:gridSpan w:val="3"/>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sz w:val="22"/>
                <w:szCs w:val="22"/>
              </w:rPr>
            </w:pPr>
            <w:r>
              <w:rPr>
                <w:rFonts w:ascii="Arial" w:hAnsi="Arial"/>
                <w:sz w:val="22"/>
                <w:szCs w:val="22"/>
              </w:rPr>
              <w:t xml:space="preserve">Association with </w:t>
            </w:r>
          </w:p>
          <w:p>
            <w:pPr>
              <w:pStyle w:val="TableContents"/>
              <w:jc w:val="center"/>
              <w:rPr>
                <w:rFonts w:ascii="Arial" w:hAnsi="Arial"/>
                <w:sz w:val="22"/>
                <w:szCs w:val="22"/>
              </w:rPr>
            </w:pPr>
            <w:r>
              <w:rPr>
                <w:rFonts w:ascii="Arial" w:hAnsi="Arial"/>
                <w:sz w:val="22"/>
                <w:szCs w:val="22"/>
              </w:rPr>
              <w:t>PRE-AS</w:t>
            </w:r>
          </w:p>
        </w:tc>
        <w:tc>
          <w:tcPr>
            <w:tcW w:w="251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center"/>
              <w:rPr>
                <w:rFonts w:ascii="Arial" w:hAnsi="Arial"/>
                <w:sz w:val="22"/>
                <w:szCs w:val="22"/>
              </w:rPr>
            </w:pPr>
            <w:r>
              <w:rPr>
                <w:rFonts w:ascii="Arial" w:hAnsi="Arial"/>
                <w:sz w:val="22"/>
                <w:szCs w:val="22"/>
              </w:rPr>
              <w:t>Sex-specific association with PRE-AS</w:t>
            </w:r>
          </w:p>
        </w:tc>
      </w:tr>
      <w:tr>
        <w:trPr/>
        <w:tc>
          <w:tcPr>
            <w:tcW w:w="117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r>
          </w:p>
        </w:tc>
        <w:tc>
          <w:tcPr>
            <w:tcW w:w="1532"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Whole sample</w:t>
            </w:r>
          </w:p>
          <w:p>
            <w:pPr>
              <w:pStyle w:val="TableContents"/>
              <w:jc w:val="both"/>
              <w:rPr>
                <w:rFonts w:ascii="Arial" w:hAnsi="Arial"/>
                <w:sz w:val="22"/>
                <w:szCs w:val="22"/>
              </w:rPr>
            </w:pPr>
            <w:r>
              <w:rPr>
                <w:rFonts w:ascii="Arial" w:hAnsi="Arial"/>
                <w:sz w:val="22"/>
                <w:szCs w:val="22"/>
              </w:rPr>
              <w:t>(N= 98)</w:t>
            </w:r>
          </w:p>
        </w:tc>
        <w:tc>
          <w:tcPr>
            <w:tcW w:w="1172"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Boys</w:t>
            </w:r>
          </w:p>
          <w:p>
            <w:pPr>
              <w:pStyle w:val="TableContents"/>
              <w:jc w:val="both"/>
              <w:rPr>
                <w:rFonts w:ascii="Arial" w:hAnsi="Arial"/>
                <w:sz w:val="22"/>
                <w:szCs w:val="22"/>
              </w:rPr>
            </w:pPr>
            <w:r>
              <w:rPr>
                <w:rFonts w:ascii="Arial" w:hAnsi="Arial"/>
                <w:sz w:val="22"/>
                <w:szCs w:val="22"/>
              </w:rPr>
              <w:t>(N= 55)</w:t>
            </w:r>
          </w:p>
        </w:tc>
        <w:tc>
          <w:tcPr>
            <w:tcW w:w="1073"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Girls</w:t>
            </w:r>
          </w:p>
          <w:p>
            <w:pPr>
              <w:pStyle w:val="TableContents"/>
              <w:jc w:val="both"/>
              <w:rPr>
                <w:rFonts w:ascii="Arial" w:hAnsi="Arial"/>
                <w:sz w:val="22"/>
                <w:szCs w:val="22"/>
              </w:rPr>
            </w:pPr>
            <w:r>
              <w:rPr>
                <w:rFonts w:ascii="Arial" w:hAnsi="Arial"/>
                <w:sz w:val="22"/>
                <w:szCs w:val="22"/>
              </w:rPr>
              <w:t>(N= 43)</w:t>
            </w:r>
          </w:p>
        </w:tc>
        <w:tc>
          <w:tcPr>
            <w:tcW w:w="1440"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eastAsia="SimSun" w:cs="Lucida Sans" w:ascii="Arial" w:hAnsi="Arial"/>
                <w:sz w:val="22"/>
                <w:szCs w:val="22"/>
              </w:rPr>
              <w:t>β</w:t>
            </w:r>
            <w:r>
              <w:rPr>
                <w:rFonts w:ascii="Arial" w:hAnsi="Arial"/>
                <w:sz w:val="22"/>
                <w:szCs w:val="22"/>
              </w:rPr>
              <w:t>-values ± SE</w:t>
            </w:r>
          </w:p>
        </w:tc>
        <w:tc>
          <w:tcPr>
            <w:tcW w:w="816" w:type="dxa"/>
            <w:tcBorders>
              <w:top w:val="single" w:sz="2" w:space="0" w:color="000001"/>
              <w:left w:val="single" w:sz="2" w:space="0" w:color="000001"/>
              <w:bottom w:val="single" w:sz="2" w:space="0" w:color="000001"/>
              <w:insideH w:val="single" w:sz="2" w:space="0" w:color="000001"/>
            </w:tcBorders>
            <w:shd w:fill="auto" w:val="clear"/>
          </w:tcPr>
          <w:p>
            <w:pPr>
              <w:pStyle w:val="Normal"/>
              <w:rPr>
                <w:rFonts w:ascii="Arial" w:hAnsi="Arial"/>
                <w:sz w:val="22"/>
                <w:szCs w:val="22"/>
              </w:rPr>
            </w:pPr>
            <w:r>
              <w:rPr>
                <w:rFonts w:ascii="Arial" w:hAnsi="Arial"/>
                <w:sz w:val="22"/>
                <w:szCs w:val="22"/>
              </w:rPr>
              <w:t>p</w:t>
            </w:r>
          </w:p>
        </w:tc>
        <w:tc>
          <w:tcPr>
            <w:tcW w:w="1709"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eastAsia="SimSun" w:cs="Lucida Sans" w:ascii="Arial" w:hAnsi="Arial"/>
                <w:sz w:val="22"/>
                <w:szCs w:val="22"/>
              </w:rPr>
              <w:t>β</w:t>
            </w:r>
            <w:r>
              <w:rPr>
                <w:rFonts w:ascii="Arial" w:hAnsi="Arial"/>
                <w:sz w:val="22"/>
                <w:szCs w:val="22"/>
              </w:rPr>
              <w:t>- values ± SE</w:t>
            </w:r>
          </w:p>
        </w:tc>
        <w:tc>
          <w:tcPr>
            <w:tcW w:w="8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rPr>
                <w:rFonts w:ascii="Arial" w:hAnsi="Arial"/>
                <w:sz w:val="22"/>
                <w:szCs w:val="22"/>
              </w:rPr>
            </w:pPr>
            <w:r>
              <w:rPr>
                <w:rFonts w:ascii="Arial" w:hAnsi="Arial"/>
                <w:sz w:val="22"/>
                <w:szCs w:val="22"/>
              </w:rPr>
              <w:t>P</w:t>
            </w:r>
          </w:p>
        </w:tc>
      </w:tr>
      <w:tr>
        <w:trPr/>
        <w:tc>
          <w:tcPr>
            <w:tcW w:w="117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R Amy</w:t>
            </w:r>
          </w:p>
        </w:tc>
        <w:tc>
          <w:tcPr>
            <w:tcW w:w="1532" w:type="dxa"/>
            <w:tcBorders>
              <w:top w:val="single" w:sz="2" w:space="0" w:color="000001"/>
              <w:left w:val="single" w:sz="2" w:space="0" w:color="000001"/>
              <w:bottom w:val="single" w:sz="2" w:space="0" w:color="000001"/>
              <w:insideH w:val="single" w:sz="2" w:space="0" w:color="000001"/>
            </w:tcBorders>
            <w:shd w:fill="auto" w:val="clear"/>
          </w:tcPr>
          <w:p>
            <w:pPr>
              <w:pStyle w:val="Normal"/>
              <w:rPr>
                <w:rFonts w:ascii="Arial" w:hAnsi="Arial"/>
                <w:sz w:val="22"/>
                <w:szCs w:val="22"/>
              </w:rPr>
            </w:pPr>
            <w:r>
              <w:rPr>
                <w:rFonts w:ascii="Arial" w:hAnsi="Arial"/>
                <w:sz w:val="22"/>
                <w:szCs w:val="22"/>
              </w:rPr>
              <w:t>265±39</w:t>
            </w:r>
          </w:p>
        </w:tc>
        <w:tc>
          <w:tcPr>
            <w:tcW w:w="1172" w:type="dxa"/>
            <w:tcBorders>
              <w:top w:val="single" w:sz="2" w:space="0" w:color="000001"/>
              <w:left w:val="single" w:sz="2" w:space="0" w:color="000001"/>
              <w:bottom w:val="single" w:sz="2" w:space="0" w:color="000001"/>
              <w:insideH w:val="single" w:sz="2" w:space="0" w:color="000001"/>
            </w:tcBorders>
            <w:shd w:fill="auto" w:val="clear"/>
          </w:tcPr>
          <w:p>
            <w:pPr>
              <w:pStyle w:val="Normal"/>
              <w:rPr>
                <w:rFonts w:ascii="Arial" w:hAnsi="Arial"/>
                <w:sz w:val="22"/>
                <w:szCs w:val="22"/>
              </w:rPr>
            </w:pPr>
            <w:r>
              <w:rPr>
                <w:rFonts w:ascii="Arial" w:hAnsi="Arial"/>
                <w:sz w:val="22"/>
                <w:szCs w:val="22"/>
              </w:rPr>
              <w:t>275±39</w:t>
            </w:r>
          </w:p>
        </w:tc>
        <w:tc>
          <w:tcPr>
            <w:tcW w:w="1073" w:type="dxa"/>
            <w:tcBorders>
              <w:top w:val="single" w:sz="2" w:space="0" w:color="000001"/>
              <w:left w:val="single" w:sz="2" w:space="0" w:color="000001"/>
              <w:bottom w:val="single" w:sz="2" w:space="0" w:color="000001"/>
              <w:insideH w:val="single" w:sz="2" w:space="0" w:color="000001"/>
            </w:tcBorders>
            <w:shd w:fill="auto" w:val="clear"/>
          </w:tcPr>
          <w:p>
            <w:pPr>
              <w:pStyle w:val="Normal"/>
              <w:rPr>
                <w:rFonts w:ascii="Arial" w:hAnsi="Arial"/>
                <w:sz w:val="22"/>
                <w:szCs w:val="22"/>
              </w:rPr>
            </w:pPr>
            <w:r>
              <w:rPr>
                <w:rFonts w:ascii="Arial" w:hAnsi="Arial"/>
                <w:sz w:val="22"/>
                <w:szCs w:val="22"/>
              </w:rPr>
              <w:t>252±35</w:t>
            </w:r>
          </w:p>
        </w:tc>
        <w:tc>
          <w:tcPr>
            <w:tcW w:w="1440" w:type="dxa"/>
            <w:gridSpan w:val="2"/>
            <w:tcBorders>
              <w:top w:val="single" w:sz="2" w:space="0" w:color="000001"/>
              <w:left w:val="single" w:sz="2" w:space="0" w:color="000001"/>
              <w:bottom w:val="single" w:sz="2" w:space="0" w:color="000001"/>
              <w:insideH w:val="single" w:sz="2" w:space="0" w:color="000001"/>
            </w:tcBorders>
            <w:shd w:fill="auto" w:val="clear"/>
          </w:tcPr>
          <w:p>
            <w:pPr>
              <w:pStyle w:val="Normal"/>
              <w:rPr>
                <w:rFonts w:ascii="Arial" w:hAnsi="Arial"/>
                <w:sz w:val="22"/>
                <w:szCs w:val="22"/>
              </w:rPr>
            </w:pPr>
            <w:r>
              <w:rPr>
                <w:rFonts w:ascii="Arial" w:hAnsi="Arial"/>
                <w:sz w:val="22"/>
                <w:szCs w:val="22"/>
              </w:rPr>
              <w:t>0.04±2.02</w:t>
            </w:r>
          </w:p>
        </w:tc>
        <w:tc>
          <w:tcPr>
            <w:tcW w:w="816" w:type="dxa"/>
            <w:tcBorders>
              <w:top w:val="single" w:sz="2" w:space="0" w:color="000001"/>
              <w:left w:val="single" w:sz="2" w:space="0" w:color="000001"/>
              <w:bottom w:val="single" w:sz="2" w:space="0" w:color="000001"/>
              <w:insideH w:val="single" w:sz="2" w:space="0" w:color="000001"/>
            </w:tcBorders>
            <w:shd w:fill="auto" w:val="clear"/>
          </w:tcPr>
          <w:p>
            <w:pPr>
              <w:pStyle w:val="Normal"/>
              <w:rPr>
                <w:rFonts w:ascii="Arial" w:hAnsi="Arial"/>
                <w:sz w:val="22"/>
                <w:szCs w:val="22"/>
              </w:rPr>
            </w:pPr>
            <w:r>
              <w:rPr>
                <w:rFonts w:ascii="Arial" w:hAnsi="Arial"/>
                <w:sz w:val="22"/>
                <w:szCs w:val="22"/>
              </w:rPr>
              <w:t>0.983</w:t>
            </w:r>
          </w:p>
        </w:tc>
        <w:tc>
          <w:tcPr>
            <w:tcW w:w="1709" w:type="dxa"/>
            <w:gridSpan w:val="2"/>
            <w:tcBorders>
              <w:top w:val="single" w:sz="2" w:space="0" w:color="000001"/>
              <w:left w:val="single" w:sz="2" w:space="0" w:color="000001"/>
              <w:bottom w:val="single" w:sz="2" w:space="0" w:color="000001"/>
              <w:insideH w:val="single" w:sz="2" w:space="0" w:color="000001"/>
            </w:tcBorders>
            <w:shd w:fill="auto" w:val="clear"/>
          </w:tcPr>
          <w:p>
            <w:pPr>
              <w:pStyle w:val="Normal"/>
              <w:rPr>
                <w:rFonts w:ascii="Arial" w:hAnsi="Arial"/>
                <w:sz w:val="22"/>
                <w:szCs w:val="22"/>
              </w:rPr>
            </w:pPr>
            <w:r>
              <w:rPr>
                <w:rFonts w:ascii="Arial" w:hAnsi="Arial"/>
                <w:sz w:val="22"/>
                <w:szCs w:val="22"/>
              </w:rPr>
              <w:t>-8.82±3.92</w:t>
            </w:r>
          </w:p>
        </w:tc>
        <w:tc>
          <w:tcPr>
            <w:tcW w:w="8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rPr>
                <w:rFonts w:ascii="Arial" w:hAnsi="Arial"/>
                <w:sz w:val="22"/>
                <w:szCs w:val="22"/>
              </w:rPr>
            </w:pPr>
            <w:r>
              <w:rPr>
                <w:rFonts w:ascii="Arial" w:hAnsi="Arial"/>
                <w:sz w:val="22"/>
                <w:szCs w:val="22"/>
              </w:rPr>
              <w:t>0.027</w:t>
            </w:r>
          </w:p>
        </w:tc>
      </w:tr>
      <w:tr>
        <w:trPr/>
        <w:tc>
          <w:tcPr>
            <w:tcW w:w="117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L Amy</w:t>
            </w:r>
          </w:p>
        </w:tc>
        <w:tc>
          <w:tcPr>
            <w:tcW w:w="1532"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268±37</w:t>
            </w:r>
          </w:p>
        </w:tc>
        <w:tc>
          <w:tcPr>
            <w:tcW w:w="1172"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273±41</w:t>
            </w:r>
          </w:p>
        </w:tc>
        <w:tc>
          <w:tcPr>
            <w:tcW w:w="1073"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262±31</w:t>
            </w:r>
          </w:p>
        </w:tc>
        <w:tc>
          <w:tcPr>
            <w:tcW w:w="1440"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-1.44±1.89</w:t>
            </w:r>
          </w:p>
        </w:tc>
        <w:tc>
          <w:tcPr>
            <w:tcW w:w="816"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0.450</w:t>
            </w:r>
          </w:p>
        </w:tc>
        <w:tc>
          <w:tcPr>
            <w:tcW w:w="1709"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-8.80±3.66</w:t>
            </w:r>
          </w:p>
        </w:tc>
        <w:tc>
          <w:tcPr>
            <w:tcW w:w="8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both"/>
              <w:rPr>
                <w:rFonts w:ascii="Arial" w:hAnsi="Arial"/>
                <w:sz w:val="22"/>
                <w:szCs w:val="22"/>
              </w:rPr>
            </w:pPr>
            <w:r>
              <w:rPr>
                <w:rFonts w:ascii="Arial" w:hAnsi="Arial"/>
                <w:sz w:val="22"/>
                <w:szCs w:val="22"/>
              </w:rPr>
              <w:t>0.018</w:t>
            </w:r>
          </w:p>
        </w:tc>
      </w:tr>
      <w:tr>
        <w:trPr/>
        <w:tc>
          <w:tcPr>
            <w:tcW w:w="117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R Hippoc</w:t>
            </w:r>
          </w:p>
        </w:tc>
        <w:tc>
          <w:tcPr>
            <w:tcW w:w="1532"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771±106</w:t>
            </w:r>
          </w:p>
        </w:tc>
        <w:tc>
          <w:tcPr>
            <w:tcW w:w="1172"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783±103</w:t>
            </w:r>
          </w:p>
        </w:tc>
        <w:tc>
          <w:tcPr>
            <w:tcW w:w="1073"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755±109</w:t>
            </w:r>
          </w:p>
        </w:tc>
        <w:tc>
          <w:tcPr>
            <w:tcW w:w="1440"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-5.62±5.16</w:t>
            </w:r>
          </w:p>
        </w:tc>
        <w:tc>
          <w:tcPr>
            <w:tcW w:w="816"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0.279</w:t>
            </w:r>
          </w:p>
        </w:tc>
        <w:tc>
          <w:tcPr>
            <w:tcW w:w="1709"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4.83±10.28</w:t>
            </w:r>
          </w:p>
        </w:tc>
        <w:tc>
          <w:tcPr>
            <w:tcW w:w="8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both"/>
              <w:rPr>
                <w:rFonts w:ascii="Arial" w:hAnsi="Arial"/>
                <w:sz w:val="22"/>
                <w:szCs w:val="22"/>
              </w:rPr>
            </w:pPr>
            <w:r>
              <w:rPr>
                <w:rFonts w:ascii="Arial" w:hAnsi="Arial"/>
                <w:sz w:val="22"/>
                <w:szCs w:val="22"/>
              </w:rPr>
              <w:t>0.640</w:t>
            </w:r>
          </w:p>
        </w:tc>
      </w:tr>
      <w:tr>
        <w:trPr/>
        <w:tc>
          <w:tcPr>
            <w:tcW w:w="117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L Hippoc</w:t>
            </w:r>
          </w:p>
        </w:tc>
        <w:tc>
          <w:tcPr>
            <w:tcW w:w="1532"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768±116</w:t>
            </w:r>
          </w:p>
        </w:tc>
        <w:tc>
          <w:tcPr>
            <w:tcW w:w="1172"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789±119</w:t>
            </w:r>
          </w:p>
        </w:tc>
        <w:tc>
          <w:tcPr>
            <w:tcW w:w="1073"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742±109</w:t>
            </w:r>
          </w:p>
        </w:tc>
        <w:tc>
          <w:tcPr>
            <w:tcW w:w="1440"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-7.64±5.86</w:t>
            </w:r>
          </w:p>
        </w:tc>
        <w:tc>
          <w:tcPr>
            <w:tcW w:w="816"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0.195</w:t>
            </w:r>
          </w:p>
        </w:tc>
        <w:tc>
          <w:tcPr>
            <w:tcW w:w="1709"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14.04±11.58</w:t>
            </w:r>
          </w:p>
        </w:tc>
        <w:tc>
          <w:tcPr>
            <w:tcW w:w="8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both"/>
              <w:rPr>
                <w:rFonts w:ascii="Arial" w:hAnsi="Arial"/>
                <w:sz w:val="22"/>
                <w:szCs w:val="22"/>
              </w:rPr>
            </w:pPr>
            <w:r>
              <w:rPr>
                <w:rFonts w:ascii="Arial" w:hAnsi="Arial"/>
                <w:sz w:val="22"/>
                <w:szCs w:val="22"/>
              </w:rPr>
              <w:t>0.228</w:t>
            </w:r>
          </w:p>
        </w:tc>
      </w:tr>
    </w:tbl>
    <w:p>
      <w:pPr>
        <w:pStyle w:val="Normal"/>
        <w:widowControl w:val="false"/>
        <w:bidi w:val="0"/>
        <w:spacing w:lineRule="auto" w:line="360" w:before="432" w:after="86"/>
        <w:jc w:val="both"/>
        <w:rPr/>
      </w:pPr>
      <w:r>
        <w:rPr>
          <w:rStyle w:val="InternetLink"/>
          <w:rFonts w:eastAsia="Arial" w:cs="Arial" w:ascii="Arial" w:hAnsi="Arial"/>
          <w:b/>
          <w:bCs/>
          <w:i w:val="false"/>
          <w:iCs w:val="false"/>
          <w:caps w:val="false"/>
          <w:smallCaps w:val="false"/>
          <w:color w:val="000000"/>
          <w:spacing w:val="0"/>
          <w:sz w:val="24"/>
          <w:szCs w:val="24"/>
          <w:u w:val="none"/>
          <w:lang w:val="en-US"/>
        </w:rPr>
        <w:t>Table S</w:t>
      </w:r>
      <w:r>
        <w:rPr>
          <w:rStyle w:val="InternetLink"/>
          <w:rFonts w:eastAsia="Arial" w:cs="Arial" w:ascii="Arial" w:hAnsi="Arial"/>
          <w:b/>
          <w:bCs/>
          <w:i w:val="false"/>
          <w:iCs w:val="false"/>
          <w:caps w:val="false"/>
          <w:smallCaps w:val="false"/>
          <w:color w:val="000000"/>
          <w:spacing w:val="0"/>
          <w:sz w:val="24"/>
          <w:szCs w:val="24"/>
          <w:u w:val="none"/>
          <w:lang w:val="en-US"/>
        </w:rPr>
        <w:t>I-</w:t>
      </w:r>
      <w:r>
        <w:rPr>
          <w:rStyle w:val="InternetLink"/>
          <w:rFonts w:eastAsia="Arial" w:cs="Arial" w:ascii="Arial" w:hAnsi="Arial"/>
          <w:b/>
          <w:bCs/>
          <w:i w:val="false"/>
          <w:iCs w:val="false"/>
          <w:caps w:val="false"/>
          <w:smallCaps w:val="false"/>
          <w:color w:val="000000"/>
          <w:spacing w:val="0"/>
          <w:sz w:val="24"/>
          <w:szCs w:val="24"/>
          <w:u w:val="none"/>
          <w:lang w:val="en-US"/>
        </w:rPr>
        <w:t>4: Genotype, SDQ and PRE-AS</w:t>
      </w:r>
      <w:r>
        <w:rPr>
          <w:rStyle w:val="InternetLink"/>
          <w:rFonts w:eastAsia="Arial" w:cs="Arial" w:ascii="Arial" w:hAnsi="Arial"/>
          <w:b w:val="false"/>
          <w:bCs w:val="false"/>
          <w:i w:val="false"/>
          <w:iCs w:val="false"/>
          <w:caps w:val="false"/>
          <w:smallCaps w:val="false"/>
          <w:color w:val="000000"/>
          <w:spacing w:val="0"/>
          <w:sz w:val="24"/>
          <w:szCs w:val="24"/>
          <w:u w:val="none"/>
          <w:lang w:val="en-US"/>
        </w:rPr>
        <w:t xml:space="preserve"> </w:t>
      </w:r>
      <w:r>
        <w:rPr>
          <w:rStyle w:val="InternetLink"/>
          <w:rFonts w:eastAsia="Arial" w:cs="Arial" w:ascii="Arial" w:hAnsi="Arial"/>
          <w:b/>
          <w:bCs/>
          <w:i w:val="false"/>
          <w:iCs w:val="false"/>
          <w:caps w:val="false"/>
          <w:smallCaps w:val="false"/>
          <w:color w:val="000000"/>
          <w:spacing w:val="0"/>
          <w:sz w:val="24"/>
          <w:szCs w:val="24"/>
          <w:u w:val="none"/>
          <w:lang w:val="en-US"/>
        </w:rPr>
        <w:t xml:space="preserve">– nonimputed data. </w:t>
      </w:r>
      <w:r>
        <w:rPr>
          <w:rStyle w:val="InternetLink"/>
          <w:rFonts w:eastAsia="Arial" w:cs="Arial" w:ascii="Arial" w:hAnsi="Arial"/>
          <w:b w:val="false"/>
          <w:bCs w:val="false"/>
          <w:i w:val="false"/>
          <w:iCs w:val="false"/>
          <w:caps w:val="false"/>
          <w:smallCaps w:val="false"/>
          <w:color w:val="000000"/>
          <w:spacing w:val="0"/>
          <w:sz w:val="24"/>
          <w:szCs w:val="24"/>
          <w:u w:val="none"/>
          <w:lang w:val="en-US"/>
        </w:rPr>
        <w:t>Results that are significant with the raw, but not with the imputed data (Table 4) are marked red. Results that are no longer significant compared with the imputed data (Table 4) are marked blue.</w:t>
      </w:r>
    </w:p>
    <w:tbl>
      <w:tblPr>
        <w:tblW w:w="9645"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Pr>
      <w:tblGrid>
        <w:gridCol w:w="810"/>
        <w:gridCol w:w="1254"/>
        <w:gridCol w:w="636"/>
        <w:gridCol w:w="1"/>
        <w:gridCol w:w="1529"/>
        <w:gridCol w:w="898"/>
        <w:gridCol w:w="1"/>
        <w:gridCol w:w="1527"/>
        <w:gridCol w:w="812"/>
        <w:gridCol w:w="1"/>
        <w:gridCol w:w="1259"/>
        <w:gridCol w:w="916"/>
      </w:tblGrid>
      <w:tr>
        <w:trPr/>
        <w:tc>
          <w:tcPr>
            <w:tcW w:w="81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r>
          </w:p>
        </w:tc>
        <w:tc>
          <w:tcPr>
            <w:tcW w:w="1891" w:type="dxa"/>
            <w:gridSpan w:val="3"/>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sz w:val="22"/>
                <w:szCs w:val="22"/>
              </w:rPr>
            </w:pPr>
            <w:r>
              <w:rPr>
                <w:rFonts w:ascii="Arial" w:hAnsi="Arial"/>
                <w:sz w:val="22"/>
                <w:szCs w:val="22"/>
              </w:rPr>
              <w:t>Association with ePRS</w:t>
            </w:r>
          </w:p>
          <w:p>
            <w:pPr>
              <w:pStyle w:val="TableContents"/>
              <w:jc w:val="center"/>
              <w:rPr>
                <w:rFonts w:ascii="Arial" w:hAnsi="Arial"/>
                <w:sz w:val="22"/>
                <w:szCs w:val="22"/>
              </w:rPr>
            </w:pPr>
            <w:r>
              <w:rPr>
                <w:rFonts w:ascii="Arial" w:hAnsi="Arial"/>
                <w:sz w:val="22"/>
                <w:szCs w:val="22"/>
              </w:rPr>
            </w:r>
          </w:p>
        </w:tc>
        <w:tc>
          <w:tcPr>
            <w:tcW w:w="2428" w:type="dxa"/>
            <w:gridSpan w:val="3"/>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sz w:val="22"/>
                <w:szCs w:val="22"/>
              </w:rPr>
            </w:pPr>
            <w:r>
              <w:rPr>
                <w:rFonts w:ascii="Arial" w:hAnsi="Arial"/>
                <w:sz w:val="22"/>
                <w:szCs w:val="22"/>
              </w:rPr>
              <w:t>Sex-specific association with ePRS</w:t>
            </w:r>
          </w:p>
        </w:tc>
        <w:tc>
          <w:tcPr>
            <w:tcW w:w="2340" w:type="dxa"/>
            <w:gridSpan w:val="3"/>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sz w:val="22"/>
                <w:szCs w:val="22"/>
              </w:rPr>
            </w:pPr>
            <w:r>
              <w:rPr>
                <w:rFonts w:ascii="Arial" w:hAnsi="Arial"/>
                <w:sz w:val="22"/>
                <w:szCs w:val="22"/>
              </w:rPr>
              <w:t xml:space="preserve">Association of the GxE interaction </w:t>
            </w:r>
          </w:p>
          <w:p>
            <w:pPr>
              <w:pStyle w:val="TableContents"/>
              <w:jc w:val="center"/>
              <w:rPr>
                <w:rFonts w:ascii="Arial" w:hAnsi="Arial"/>
                <w:sz w:val="22"/>
                <w:szCs w:val="22"/>
              </w:rPr>
            </w:pPr>
            <w:r>
              <w:rPr>
                <w:rFonts w:ascii="Arial" w:hAnsi="Arial"/>
                <w:sz w:val="22"/>
                <w:szCs w:val="22"/>
              </w:rPr>
              <w:t>(ePRS by PRE-AS)</w:t>
            </w:r>
          </w:p>
        </w:tc>
        <w:tc>
          <w:tcPr>
            <w:tcW w:w="2175"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center"/>
              <w:rPr>
                <w:rFonts w:ascii="Arial" w:hAnsi="Arial"/>
                <w:sz w:val="22"/>
                <w:szCs w:val="22"/>
              </w:rPr>
            </w:pPr>
            <w:r>
              <w:rPr>
                <w:rFonts w:ascii="Arial" w:hAnsi="Arial"/>
                <w:sz w:val="22"/>
                <w:szCs w:val="22"/>
              </w:rPr>
              <w:t>Association of the sex-specific GxE interaction (ePRS by PRE-AS by sex)</w:t>
            </w:r>
          </w:p>
        </w:tc>
      </w:tr>
      <w:tr>
        <w:trPr/>
        <w:tc>
          <w:tcPr>
            <w:tcW w:w="81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r>
          </w:p>
        </w:tc>
        <w:tc>
          <w:tcPr>
            <w:tcW w:w="1254"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eastAsia="SimSun" w:cs="Lucida Sans" w:ascii="Arial" w:hAnsi="Arial"/>
                <w:sz w:val="22"/>
                <w:szCs w:val="22"/>
              </w:rPr>
              <w:t>β</w:t>
            </w:r>
            <w:r>
              <w:rPr>
                <w:rFonts w:ascii="Arial" w:hAnsi="Arial"/>
                <w:sz w:val="22"/>
                <w:szCs w:val="22"/>
              </w:rPr>
              <w:t>-values ± SE</w:t>
            </w:r>
          </w:p>
        </w:tc>
        <w:tc>
          <w:tcPr>
            <w:tcW w:w="636" w:type="dxa"/>
            <w:tcBorders>
              <w:top w:val="single" w:sz="2" w:space="0" w:color="000001"/>
              <w:left w:val="single" w:sz="2" w:space="0" w:color="000001"/>
              <w:bottom w:val="single" w:sz="2" w:space="0" w:color="000001"/>
              <w:insideH w:val="single" w:sz="2" w:space="0" w:color="000001"/>
            </w:tcBorders>
            <w:shd w:fill="auto" w:val="clear"/>
          </w:tcPr>
          <w:p>
            <w:pPr>
              <w:pStyle w:val="Normal"/>
              <w:rPr>
                <w:rFonts w:ascii="Arial" w:hAnsi="Arial"/>
                <w:sz w:val="22"/>
                <w:szCs w:val="22"/>
              </w:rPr>
            </w:pPr>
            <w:r>
              <w:rPr>
                <w:rFonts w:ascii="Arial" w:hAnsi="Arial"/>
                <w:sz w:val="22"/>
                <w:szCs w:val="22"/>
              </w:rPr>
              <w:t>p</w:t>
            </w:r>
          </w:p>
        </w:tc>
        <w:tc>
          <w:tcPr>
            <w:tcW w:w="1530"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eastAsia="SimSun" w:cs="Lucida Sans" w:ascii="Arial" w:hAnsi="Arial"/>
                <w:sz w:val="22"/>
                <w:szCs w:val="22"/>
              </w:rPr>
              <w:t>β</w:t>
            </w:r>
            <w:r>
              <w:rPr>
                <w:rFonts w:ascii="Arial" w:hAnsi="Arial"/>
                <w:sz w:val="22"/>
                <w:szCs w:val="22"/>
              </w:rPr>
              <w:t>-values ± SE</w:t>
            </w:r>
          </w:p>
        </w:tc>
        <w:tc>
          <w:tcPr>
            <w:tcW w:w="898" w:type="dxa"/>
            <w:tcBorders>
              <w:top w:val="single" w:sz="2" w:space="0" w:color="000001"/>
              <w:left w:val="single" w:sz="2" w:space="0" w:color="000001"/>
              <w:bottom w:val="single" w:sz="2" w:space="0" w:color="000001"/>
              <w:insideH w:val="single" w:sz="2" w:space="0" w:color="000001"/>
            </w:tcBorders>
            <w:shd w:fill="auto" w:val="clear"/>
          </w:tcPr>
          <w:p>
            <w:pPr>
              <w:pStyle w:val="Normal"/>
              <w:rPr>
                <w:rFonts w:ascii="Arial" w:hAnsi="Arial"/>
                <w:sz w:val="22"/>
                <w:szCs w:val="22"/>
              </w:rPr>
            </w:pPr>
            <w:r>
              <w:rPr>
                <w:rFonts w:ascii="Arial" w:hAnsi="Arial"/>
                <w:sz w:val="22"/>
                <w:szCs w:val="22"/>
              </w:rPr>
              <w:t>p</w:t>
            </w:r>
          </w:p>
        </w:tc>
        <w:tc>
          <w:tcPr>
            <w:tcW w:w="1528"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eastAsia="SimSun" w:cs="Lucida Sans" w:ascii="Arial" w:hAnsi="Arial"/>
                <w:sz w:val="22"/>
                <w:szCs w:val="22"/>
              </w:rPr>
              <w:t>β</w:t>
            </w:r>
            <w:r>
              <w:rPr>
                <w:rFonts w:ascii="Arial" w:hAnsi="Arial"/>
                <w:sz w:val="22"/>
                <w:szCs w:val="22"/>
              </w:rPr>
              <w:t xml:space="preserve">-values ± SE </w:t>
            </w:r>
          </w:p>
        </w:tc>
        <w:tc>
          <w:tcPr>
            <w:tcW w:w="812" w:type="dxa"/>
            <w:tcBorders>
              <w:top w:val="single" w:sz="2" w:space="0" w:color="000001"/>
              <w:left w:val="single" w:sz="2" w:space="0" w:color="000001"/>
              <w:bottom w:val="single" w:sz="2" w:space="0" w:color="000001"/>
              <w:insideH w:val="single" w:sz="2" w:space="0" w:color="000001"/>
            </w:tcBorders>
            <w:shd w:fill="auto" w:val="clear"/>
          </w:tcPr>
          <w:p>
            <w:pPr>
              <w:pStyle w:val="Normal"/>
              <w:rPr>
                <w:rFonts w:ascii="Arial" w:hAnsi="Arial"/>
                <w:sz w:val="22"/>
                <w:szCs w:val="22"/>
              </w:rPr>
            </w:pPr>
            <w:r>
              <w:rPr>
                <w:rFonts w:ascii="Arial" w:hAnsi="Arial"/>
                <w:sz w:val="22"/>
                <w:szCs w:val="22"/>
              </w:rPr>
              <w:t>p</w:t>
            </w:r>
          </w:p>
        </w:tc>
        <w:tc>
          <w:tcPr>
            <w:tcW w:w="1260"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eastAsia="SimSun" w:cs="Lucida Sans" w:ascii="Arial" w:hAnsi="Arial"/>
                <w:sz w:val="22"/>
                <w:szCs w:val="22"/>
              </w:rPr>
              <w:t>β</w:t>
            </w:r>
            <w:r>
              <w:rPr>
                <w:rFonts w:ascii="Arial" w:hAnsi="Arial"/>
                <w:sz w:val="22"/>
                <w:szCs w:val="22"/>
              </w:rPr>
              <w:t>-values ± SE</w:t>
            </w:r>
          </w:p>
        </w:tc>
        <w:tc>
          <w:tcPr>
            <w:tcW w:w="9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rPr>
                <w:rFonts w:ascii="Arial" w:hAnsi="Arial"/>
                <w:sz w:val="22"/>
                <w:szCs w:val="22"/>
              </w:rPr>
            </w:pPr>
            <w:r>
              <w:rPr>
                <w:rFonts w:ascii="Arial" w:hAnsi="Arial"/>
                <w:sz w:val="22"/>
                <w:szCs w:val="22"/>
              </w:rPr>
              <w:t>p</w:t>
            </w:r>
          </w:p>
        </w:tc>
      </w:tr>
      <w:tr>
        <w:trPr/>
        <w:tc>
          <w:tcPr>
            <w:tcW w:w="9644" w:type="dxa"/>
            <w:gridSpan w:val="1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both"/>
              <w:rPr>
                <w:rFonts w:ascii="Arial" w:hAnsi="Arial"/>
                <w:sz w:val="22"/>
                <w:szCs w:val="22"/>
              </w:rPr>
            </w:pPr>
            <w:r>
              <w:rPr>
                <w:rFonts w:ascii="Arial" w:hAnsi="Arial"/>
                <w:sz w:val="22"/>
                <w:szCs w:val="22"/>
              </w:rPr>
              <w:t>4 years</w:t>
            </w:r>
          </w:p>
        </w:tc>
      </w:tr>
      <w:tr>
        <w:trPr/>
        <w:tc>
          <w:tcPr>
            <w:tcW w:w="81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SDQ F1</w:t>
            </w:r>
          </w:p>
        </w:tc>
        <w:tc>
          <w:tcPr>
            <w:tcW w:w="1254" w:type="dxa"/>
            <w:tcBorders>
              <w:top w:val="single" w:sz="2" w:space="0" w:color="000001"/>
              <w:left w:val="single" w:sz="2" w:space="0" w:color="000001"/>
              <w:bottom w:val="single" w:sz="2" w:space="0" w:color="000001"/>
              <w:insideH w:val="single" w:sz="2" w:space="0" w:color="000001"/>
            </w:tcBorders>
            <w:shd w:fill="auto" w:val="clear"/>
          </w:tcPr>
          <w:p>
            <w:pPr>
              <w:pStyle w:val="Normal"/>
              <w:jc w:val="both"/>
              <w:rPr>
                <w:rFonts w:ascii="Arial" w:hAnsi="Arial"/>
                <w:sz w:val="20"/>
                <w:szCs w:val="20"/>
              </w:rPr>
            </w:pPr>
            <w:r>
              <w:rPr>
                <w:rFonts w:ascii="Arial" w:hAnsi="Arial"/>
                <w:sz w:val="20"/>
                <w:szCs w:val="20"/>
              </w:rPr>
              <w:t>-0.02±0.05</w:t>
            </w:r>
          </w:p>
          <w:p>
            <w:pPr>
              <w:pStyle w:val="Normal"/>
              <w:jc w:val="both"/>
              <w:rPr>
                <w:rFonts w:ascii="Arial" w:hAnsi="Arial"/>
                <w:sz w:val="20"/>
                <w:szCs w:val="20"/>
              </w:rPr>
            </w:pPr>
            <w:r>
              <w:rPr>
                <w:rFonts w:ascii="Arial" w:hAnsi="Arial"/>
                <w:sz w:val="20"/>
                <w:szCs w:val="20"/>
              </w:rPr>
              <w:t>(N= 817)</w:t>
            </w:r>
          </w:p>
        </w:tc>
        <w:tc>
          <w:tcPr>
            <w:tcW w:w="636"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0.608</w:t>
            </w:r>
          </w:p>
        </w:tc>
        <w:tc>
          <w:tcPr>
            <w:tcW w:w="1530"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0.06±0.09</w:t>
            </w:r>
          </w:p>
          <w:p>
            <w:pPr>
              <w:pStyle w:val="Normal"/>
              <w:jc w:val="both"/>
              <w:rPr>
                <w:rFonts w:ascii="Arial" w:hAnsi="Arial"/>
                <w:sz w:val="20"/>
                <w:szCs w:val="20"/>
              </w:rPr>
            </w:pPr>
            <w:r>
              <w:rPr>
                <w:rFonts w:ascii="Arial" w:hAnsi="Arial"/>
                <w:sz w:val="20"/>
                <w:szCs w:val="20"/>
              </w:rPr>
            </w:r>
          </w:p>
        </w:tc>
        <w:tc>
          <w:tcPr>
            <w:tcW w:w="898"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0.541</w:t>
            </w:r>
          </w:p>
        </w:tc>
        <w:tc>
          <w:tcPr>
            <w:tcW w:w="1528"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-0.03±0.04</w:t>
            </w:r>
          </w:p>
          <w:p>
            <w:pPr>
              <w:pStyle w:val="TableContents"/>
              <w:jc w:val="both"/>
              <w:rPr>
                <w:rFonts w:ascii="Arial" w:hAnsi="Arial"/>
                <w:sz w:val="20"/>
                <w:szCs w:val="20"/>
              </w:rPr>
            </w:pPr>
            <w:r>
              <w:rPr>
                <w:rFonts w:ascii="Arial" w:hAnsi="Arial"/>
                <w:sz w:val="20"/>
                <w:szCs w:val="20"/>
              </w:rPr>
              <w:t>(N= 642)</w:t>
            </w:r>
          </w:p>
        </w:tc>
        <w:tc>
          <w:tcPr>
            <w:tcW w:w="812"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0.415</w:t>
            </w:r>
          </w:p>
        </w:tc>
        <w:tc>
          <w:tcPr>
            <w:tcW w:w="1260"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0.05±0.07</w:t>
            </w:r>
          </w:p>
        </w:tc>
        <w:tc>
          <w:tcPr>
            <w:tcW w:w="9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both"/>
              <w:rPr>
                <w:rFonts w:ascii="Arial" w:hAnsi="Arial"/>
                <w:sz w:val="20"/>
                <w:szCs w:val="20"/>
              </w:rPr>
            </w:pPr>
            <w:r>
              <w:rPr>
                <w:rFonts w:ascii="Arial" w:hAnsi="Arial"/>
                <w:sz w:val="20"/>
                <w:szCs w:val="20"/>
              </w:rPr>
              <w:t>0.480</w:t>
            </w:r>
          </w:p>
        </w:tc>
      </w:tr>
      <w:tr>
        <w:trPr/>
        <w:tc>
          <w:tcPr>
            <w:tcW w:w="81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SDQ F2</w:t>
            </w:r>
          </w:p>
        </w:tc>
        <w:tc>
          <w:tcPr>
            <w:tcW w:w="1254"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0.03±0.07</w:t>
            </w:r>
          </w:p>
          <w:p>
            <w:pPr>
              <w:pStyle w:val="Normal"/>
              <w:jc w:val="both"/>
              <w:rPr>
                <w:rFonts w:ascii="Arial" w:hAnsi="Arial"/>
                <w:sz w:val="20"/>
                <w:szCs w:val="20"/>
              </w:rPr>
            </w:pPr>
            <w:r>
              <w:rPr>
                <w:rFonts w:ascii="Arial" w:hAnsi="Arial"/>
                <w:sz w:val="20"/>
                <w:szCs w:val="20"/>
              </w:rPr>
              <w:t>(N= 817)</w:t>
            </w:r>
          </w:p>
        </w:tc>
        <w:tc>
          <w:tcPr>
            <w:tcW w:w="636"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0.691</w:t>
            </w:r>
          </w:p>
        </w:tc>
        <w:tc>
          <w:tcPr>
            <w:tcW w:w="1530"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-0.21±0.14</w:t>
            </w:r>
          </w:p>
        </w:tc>
        <w:tc>
          <w:tcPr>
            <w:tcW w:w="898"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0.119</w:t>
            </w:r>
          </w:p>
        </w:tc>
        <w:tc>
          <w:tcPr>
            <w:tcW w:w="1528"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0.03±0.05</w:t>
            </w:r>
          </w:p>
          <w:p>
            <w:pPr>
              <w:pStyle w:val="TableContents"/>
              <w:jc w:val="both"/>
              <w:rPr>
                <w:rFonts w:ascii="Arial" w:hAnsi="Arial"/>
                <w:sz w:val="20"/>
                <w:szCs w:val="20"/>
              </w:rPr>
            </w:pPr>
            <w:r>
              <w:rPr>
                <w:rFonts w:ascii="Arial" w:hAnsi="Arial"/>
                <w:sz w:val="20"/>
                <w:szCs w:val="20"/>
              </w:rPr>
              <w:t>(N= 642)</w:t>
            </w:r>
          </w:p>
        </w:tc>
        <w:tc>
          <w:tcPr>
            <w:tcW w:w="812"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0.622</w:t>
            </w:r>
          </w:p>
        </w:tc>
        <w:tc>
          <w:tcPr>
            <w:tcW w:w="1260"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0.04±0.11</w:t>
            </w:r>
          </w:p>
        </w:tc>
        <w:tc>
          <w:tcPr>
            <w:tcW w:w="9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both"/>
              <w:rPr>
                <w:rFonts w:ascii="Arial" w:hAnsi="Arial"/>
                <w:sz w:val="20"/>
                <w:szCs w:val="20"/>
              </w:rPr>
            </w:pPr>
            <w:r>
              <w:rPr>
                <w:rFonts w:ascii="Arial" w:hAnsi="Arial"/>
                <w:sz w:val="20"/>
                <w:szCs w:val="20"/>
              </w:rPr>
              <w:t>0.728</w:t>
            </w:r>
          </w:p>
        </w:tc>
      </w:tr>
      <w:tr>
        <w:trPr/>
        <w:tc>
          <w:tcPr>
            <w:tcW w:w="81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SDQ F3</w:t>
            </w:r>
          </w:p>
        </w:tc>
        <w:tc>
          <w:tcPr>
            <w:tcW w:w="1254"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0.09±0.07</w:t>
            </w:r>
          </w:p>
          <w:p>
            <w:pPr>
              <w:pStyle w:val="Normal"/>
              <w:jc w:val="both"/>
              <w:rPr>
                <w:rFonts w:ascii="Arial" w:hAnsi="Arial"/>
                <w:sz w:val="20"/>
                <w:szCs w:val="20"/>
              </w:rPr>
            </w:pPr>
            <w:r>
              <w:rPr>
                <w:rFonts w:ascii="Arial" w:hAnsi="Arial"/>
                <w:sz w:val="20"/>
                <w:szCs w:val="20"/>
              </w:rPr>
              <w:t>(N= 817)</w:t>
            </w:r>
          </w:p>
        </w:tc>
        <w:tc>
          <w:tcPr>
            <w:tcW w:w="636"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0.214</w:t>
            </w:r>
          </w:p>
        </w:tc>
        <w:tc>
          <w:tcPr>
            <w:tcW w:w="1530"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color w:val="ED1C24"/>
                <w:sz w:val="20"/>
                <w:szCs w:val="20"/>
              </w:rPr>
            </w:pPr>
            <w:r>
              <w:rPr>
                <w:rFonts w:ascii="Arial" w:hAnsi="Arial"/>
                <w:color w:val="ED1C24"/>
                <w:sz w:val="20"/>
                <w:szCs w:val="20"/>
              </w:rPr>
              <w:t>-0.32±0.15</w:t>
            </w:r>
          </w:p>
        </w:tc>
        <w:tc>
          <w:tcPr>
            <w:tcW w:w="898"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color w:val="ED1C24"/>
                <w:sz w:val="20"/>
                <w:szCs w:val="20"/>
              </w:rPr>
            </w:pPr>
            <w:r>
              <w:rPr>
                <w:rFonts w:ascii="Arial" w:hAnsi="Arial"/>
                <w:color w:val="ED1C24"/>
                <w:sz w:val="20"/>
                <w:szCs w:val="20"/>
              </w:rPr>
              <w:t>0.032</w:t>
            </w:r>
          </w:p>
        </w:tc>
        <w:tc>
          <w:tcPr>
            <w:tcW w:w="1528"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-0.01±0.06</w:t>
            </w:r>
          </w:p>
          <w:p>
            <w:pPr>
              <w:pStyle w:val="TableContents"/>
              <w:jc w:val="both"/>
              <w:rPr>
                <w:rFonts w:ascii="Arial" w:hAnsi="Arial"/>
                <w:sz w:val="20"/>
                <w:szCs w:val="20"/>
              </w:rPr>
            </w:pPr>
            <w:r>
              <w:rPr>
                <w:rFonts w:ascii="Arial" w:hAnsi="Arial"/>
                <w:sz w:val="20"/>
                <w:szCs w:val="20"/>
              </w:rPr>
              <w:t>(N= 642)</w:t>
            </w:r>
          </w:p>
        </w:tc>
        <w:tc>
          <w:tcPr>
            <w:tcW w:w="812"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0.931</w:t>
            </w:r>
          </w:p>
        </w:tc>
        <w:tc>
          <w:tcPr>
            <w:tcW w:w="1260"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-0.11±0.12</w:t>
            </w:r>
          </w:p>
        </w:tc>
        <w:tc>
          <w:tcPr>
            <w:tcW w:w="9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both"/>
              <w:rPr>
                <w:rFonts w:ascii="Arial" w:hAnsi="Arial"/>
                <w:sz w:val="20"/>
                <w:szCs w:val="20"/>
              </w:rPr>
            </w:pPr>
            <w:r>
              <w:rPr>
                <w:rFonts w:ascii="Arial" w:hAnsi="Arial"/>
                <w:sz w:val="20"/>
                <w:szCs w:val="20"/>
              </w:rPr>
              <w:t>0.374</w:t>
            </w:r>
          </w:p>
        </w:tc>
      </w:tr>
      <w:tr>
        <w:trPr/>
        <w:tc>
          <w:tcPr>
            <w:tcW w:w="81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SDQ F4</w:t>
            </w:r>
          </w:p>
        </w:tc>
        <w:tc>
          <w:tcPr>
            <w:tcW w:w="1254"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-0.02±0.05</w:t>
            </w:r>
          </w:p>
          <w:p>
            <w:pPr>
              <w:pStyle w:val="Normal"/>
              <w:jc w:val="both"/>
              <w:rPr>
                <w:rFonts w:ascii="Arial" w:hAnsi="Arial"/>
                <w:sz w:val="20"/>
                <w:szCs w:val="20"/>
              </w:rPr>
            </w:pPr>
            <w:r>
              <w:rPr>
                <w:rFonts w:ascii="Arial" w:hAnsi="Arial"/>
                <w:sz w:val="20"/>
                <w:szCs w:val="20"/>
              </w:rPr>
              <w:t>(N= 817)</w:t>
            </w:r>
          </w:p>
        </w:tc>
        <w:tc>
          <w:tcPr>
            <w:tcW w:w="636"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0.683</w:t>
            </w:r>
          </w:p>
        </w:tc>
        <w:tc>
          <w:tcPr>
            <w:tcW w:w="1530"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0.06±0.11</w:t>
            </w:r>
          </w:p>
        </w:tc>
        <w:tc>
          <w:tcPr>
            <w:tcW w:w="898"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0.543</w:t>
            </w:r>
          </w:p>
        </w:tc>
        <w:tc>
          <w:tcPr>
            <w:tcW w:w="1528"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-0.02±0.04</w:t>
            </w:r>
          </w:p>
          <w:p>
            <w:pPr>
              <w:pStyle w:val="TableContents"/>
              <w:jc w:val="both"/>
              <w:rPr>
                <w:rFonts w:ascii="Arial" w:hAnsi="Arial"/>
                <w:sz w:val="20"/>
                <w:szCs w:val="20"/>
              </w:rPr>
            </w:pPr>
            <w:r>
              <w:rPr>
                <w:rFonts w:ascii="Arial" w:hAnsi="Arial"/>
                <w:sz w:val="20"/>
                <w:szCs w:val="20"/>
              </w:rPr>
              <w:t>(N= 642)</w:t>
            </w:r>
          </w:p>
        </w:tc>
        <w:tc>
          <w:tcPr>
            <w:tcW w:w="812"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0.674</w:t>
            </w:r>
          </w:p>
        </w:tc>
        <w:tc>
          <w:tcPr>
            <w:tcW w:w="1260"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0.10±0.09</w:t>
            </w:r>
          </w:p>
        </w:tc>
        <w:tc>
          <w:tcPr>
            <w:tcW w:w="9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both"/>
              <w:rPr>
                <w:rFonts w:ascii="Arial" w:hAnsi="Arial"/>
                <w:sz w:val="20"/>
                <w:szCs w:val="20"/>
              </w:rPr>
            </w:pPr>
            <w:r>
              <w:rPr>
                <w:rFonts w:ascii="Arial" w:hAnsi="Arial"/>
                <w:sz w:val="20"/>
                <w:szCs w:val="20"/>
              </w:rPr>
              <w:t>0.264</w:t>
            </w:r>
          </w:p>
        </w:tc>
      </w:tr>
      <w:tr>
        <w:trPr/>
        <w:tc>
          <w:tcPr>
            <w:tcW w:w="81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SDQ Sum</w:t>
            </w:r>
          </w:p>
        </w:tc>
        <w:tc>
          <w:tcPr>
            <w:tcW w:w="1254"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0.08±0.16</w:t>
            </w:r>
          </w:p>
          <w:p>
            <w:pPr>
              <w:pStyle w:val="Normal"/>
              <w:jc w:val="both"/>
              <w:rPr>
                <w:rFonts w:ascii="Arial" w:hAnsi="Arial"/>
                <w:sz w:val="20"/>
                <w:szCs w:val="20"/>
              </w:rPr>
            </w:pPr>
            <w:r>
              <w:rPr>
                <w:rFonts w:ascii="Arial" w:hAnsi="Arial"/>
                <w:sz w:val="20"/>
                <w:szCs w:val="20"/>
              </w:rPr>
              <w:t>(N= 817)</w:t>
            </w:r>
          </w:p>
        </w:tc>
        <w:tc>
          <w:tcPr>
            <w:tcW w:w="636"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0.646</w:t>
            </w:r>
          </w:p>
        </w:tc>
        <w:tc>
          <w:tcPr>
            <w:tcW w:w="1530"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-0.41±0.33</w:t>
            </w:r>
          </w:p>
        </w:tc>
        <w:tc>
          <w:tcPr>
            <w:tcW w:w="898"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0.207</w:t>
            </w:r>
          </w:p>
        </w:tc>
        <w:tc>
          <w:tcPr>
            <w:tcW w:w="1528"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-0.03±0.12</w:t>
            </w:r>
          </w:p>
          <w:p>
            <w:pPr>
              <w:pStyle w:val="TableContents"/>
              <w:jc w:val="both"/>
              <w:rPr>
                <w:rFonts w:ascii="Arial" w:hAnsi="Arial"/>
                <w:sz w:val="20"/>
                <w:szCs w:val="20"/>
              </w:rPr>
            </w:pPr>
            <w:r>
              <w:rPr>
                <w:rFonts w:ascii="Arial" w:hAnsi="Arial"/>
                <w:sz w:val="20"/>
                <w:szCs w:val="20"/>
              </w:rPr>
              <w:t>(N= 642)</w:t>
            </w:r>
          </w:p>
        </w:tc>
        <w:tc>
          <w:tcPr>
            <w:tcW w:w="812"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0.837</w:t>
            </w:r>
          </w:p>
        </w:tc>
        <w:tc>
          <w:tcPr>
            <w:tcW w:w="1260"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0.08± 0.25</w:t>
            </w:r>
          </w:p>
        </w:tc>
        <w:tc>
          <w:tcPr>
            <w:tcW w:w="9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both"/>
              <w:rPr>
                <w:rFonts w:ascii="Arial" w:hAnsi="Arial"/>
                <w:sz w:val="20"/>
                <w:szCs w:val="20"/>
              </w:rPr>
            </w:pPr>
            <w:r>
              <w:rPr>
                <w:rFonts w:ascii="Arial" w:hAnsi="Arial"/>
                <w:sz w:val="20"/>
                <w:szCs w:val="20"/>
              </w:rPr>
              <w:t>0.749</w:t>
            </w:r>
          </w:p>
        </w:tc>
      </w:tr>
      <w:tr>
        <w:trPr/>
        <w:tc>
          <w:tcPr>
            <w:tcW w:w="9644" w:type="dxa"/>
            <w:gridSpan w:val="1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both"/>
              <w:rPr>
                <w:rFonts w:ascii="Arial" w:hAnsi="Arial"/>
                <w:sz w:val="22"/>
                <w:szCs w:val="22"/>
              </w:rPr>
            </w:pPr>
            <w:r>
              <w:rPr>
                <w:rFonts w:ascii="Arial" w:hAnsi="Arial"/>
                <w:sz w:val="22"/>
                <w:szCs w:val="22"/>
              </w:rPr>
              <w:t>5 years</w:t>
            </w:r>
          </w:p>
        </w:tc>
      </w:tr>
      <w:tr>
        <w:trPr/>
        <w:tc>
          <w:tcPr>
            <w:tcW w:w="81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SDQ F1</w:t>
            </w:r>
          </w:p>
        </w:tc>
        <w:tc>
          <w:tcPr>
            <w:tcW w:w="1254"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&lt;-0.01±0.04</w:t>
            </w:r>
          </w:p>
          <w:p>
            <w:pPr>
              <w:pStyle w:val="Normal"/>
              <w:jc w:val="both"/>
              <w:rPr>
                <w:rFonts w:ascii="Arial" w:hAnsi="Arial"/>
                <w:sz w:val="20"/>
                <w:szCs w:val="20"/>
              </w:rPr>
            </w:pPr>
            <w:r>
              <w:rPr>
                <w:rFonts w:ascii="Arial" w:hAnsi="Arial"/>
                <w:sz w:val="20"/>
                <w:szCs w:val="20"/>
              </w:rPr>
              <w:t>(N= 1032)</w:t>
            </w:r>
          </w:p>
        </w:tc>
        <w:tc>
          <w:tcPr>
            <w:tcW w:w="636"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0.993</w:t>
            </w:r>
          </w:p>
        </w:tc>
        <w:tc>
          <w:tcPr>
            <w:tcW w:w="1530"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0.10±0.09</w:t>
            </w:r>
          </w:p>
        </w:tc>
        <w:tc>
          <w:tcPr>
            <w:tcW w:w="898"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0.247</w:t>
            </w:r>
          </w:p>
        </w:tc>
        <w:tc>
          <w:tcPr>
            <w:tcW w:w="1528"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&lt;-0.01±0.03</w:t>
            </w:r>
          </w:p>
          <w:p>
            <w:pPr>
              <w:pStyle w:val="TableContents"/>
              <w:jc w:val="both"/>
              <w:rPr>
                <w:rFonts w:ascii="Arial" w:hAnsi="Arial"/>
                <w:sz w:val="20"/>
                <w:szCs w:val="20"/>
              </w:rPr>
            </w:pPr>
            <w:r>
              <w:rPr>
                <w:rFonts w:ascii="Arial" w:hAnsi="Arial"/>
                <w:sz w:val="20"/>
                <w:szCs w:val="20"/>
              </w:rPr>
              <w:t>(N= 803)</w:t>
            </w:r>
          </w:p>
        </w:tc>
        <w:tc>
          <w:tcPr>
            <w:tcW w:w="812"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0.911</w:t>
            </w:r>
          </w:p>
        </w:tc>
        <w:tc>
          <w:tcPr>
            <w:tcW w:w="1260"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0.07±0.07</w:t>
            </w:r>
          </w:p>
        </w:tc>
        <w:tc>
          <w:tcPr>
            <w:tcW w:w="9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both"/>
              <w:rPr>
                <w:rFonts w:ascii="Arial" w:hAnsi="Arial"/>
                <w:sz w:val="20"/>
                <w:szCs w:val="20"/>
              </w:rPr>
            </w:pPr>
            <w:r>
              <w:rPr>
                <w:rFonts w:ascii="Arial" w:hAnsi="Arial"/>
                <w:sz w:val="20"/>
                <w:szCs w:val="20"/>
              </w:rPr>
              <w:t>0.302</w:t>
            </w:r>
          </w:p>
        </w:tc>
      </w:tr>
      <w:tr>
        <w:trPr/>
        <w:tc>
          <w:tcPr>
            <w:tcW w:w="81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SDQ F2</w:t>
            </w:r>
          </w:p>
        </w:tc>
        <w:tc>
          <w:tcPr>
            <w:tcW w:w="1254"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0.08±0.06</w:t>
            </w:r>
          </w:p>
          <w:p>
            <w:pPr>
              <w:pStyle w:val="Normal"/>
              <w:jc w:val="both"/>
              <w:rPr>
                <w:rFonts w:ascii="Arial" w:hAnsi="Arial"/>
                <w:sz w:val="20"/>
                <w:szCs w:val="20"/>
              </w:rPr>
            </w:pPr>
            <w:r>
              <w:rPr>
                <w:rFonts w:ascii="Arial" w:hAnsi="Arial"/>
                <w:sz w:val="20"/>
                <w:szCs w:val="20"/>
              </w:rPr>
              <w:t>(N= 1032)</w:t>
            </w:r>
          </w:p>
        </w:tc>
        <w:tc>
          <w:tcPr>
            <w:tcW w:w="636"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0.183</w:t>
            </w:r>
          </w:p>
        </w:tc>
        <w:tc>
          <w:tcPr>
            <w:tcW w:w="1530"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-0.08±0.12</w:t>
            </w:r>
          </w:p>
        </w:tc>
        <w:tc>
          <w:tcPr>
            <w:tcW w:w="898"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0.540</w:t>
            </w:r>
          </w:p>
        </w:tc>
        <w:tc>
          <w:tcPr>
            <w:tcW w:w="1528"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0.01±0.05</w:t>
            </w:r>
          </w:p>
          <w:p>
            <w:pPr>
              <w:pStyle w:val="TableContents"/>
              <w:jc w:val="both"/>
              <w:rPr>
                <w:rFonts w:ascii="Arial" w:hAnsi="Arial"/>
                <w:sz w:val="20"/>
                <w:szCs w:val="20"/>
              </w:rPr>
            </w:pPr>
            <w:r>
              <w:rPr>
                <w:rFonts w:ascii="Arial" w:hAnsi="Arial"/>
                <w:sz w:val="20"/>
                <w:szCs w:val="20"/>
              </w:rPr>
              <w:t>(N= 803)</w:t>
            </w:r>
          </w:p>
        </w:tc>
        <w:tc>
          <w:tcPr>
            <w:tcW w:w="812"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0.909</w:t>
            </w:r>
          </w:p>
        </w:tc>
        <w:tc>
          <w:tcPr>
            <w:tcW w:w="1260"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-0.16±0.11</w:t>
            </w:r>
          </w:p>
        </w:tc>
        <w:tc>
          <w:tcPr>
            <w:tcW w:w="9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both"/>
              <w:rPr>
                <w:rFonts w:ascii="Arial" w:hAnsi="Arial"/>
                <w:sz w:val="20"/>
                <w:szCs w:val="20"/>
              </w:rPr>
            </w:pPr>
            <w:r>
              <w:rPr>
                <w:rFonts w:ascii="Arial" w:hAnsi="Arial"/>
                <w:sz w:val="20"/>
                <w:szCs w:val="20"/>
              </w:rPr>
              <w:t>0.133</w:t>
            </w:r>
          </w:p>
        </w:tc>
      </w:tr>
      <w:tr>
        <w:trPr/>
        <w:tc>
          <w:tcPr>
            <w:tcW w:w="81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SDQ F3</w:t>
            </w:r>
          </w:p>
        </w:tc>
        <w:tc>
          <w:tcPr>
            <w:tcW w:w="1254"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0.07±0.07</w:t>
            </w:r>
          </w:p>
          <w:p>
            <w:pPr>
              <w:pStyle w:val="Normal"/>
              <w:jc w:val="both"/>
              <w:rPr>
                <w:rFonts w:ascii="Arial" w:hAnsi="Arial"/>
                <w:sz w:val="20"/>
                <w:szCs w:val="20"/>
              </w:rPr>
            </w:pPr>
            <w:r>
              <w:rPr>
                <w:rFonts w:ascii="Arial" w:hAnsi="Arial"/>
                <w:sz w:val="20"/>
                <w:szCs w:val="20"/>
              </w:rPr>
              <w:t>(N= 1031)</w:t>
            </w:r>
          </w:p>
        </w:tc>
        <w:tc>
          <w:tcPr>
            <w:tcW w:w="636"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0.362</w:t>
            </w:r>
          </w:p>
        </w:tc>
        <w:tc>
          <w:tcPr>
            <w:tcW w:w="1530"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-0.12±0.14</w:t>
            </w:r>
          </w:p>
        </w:tc>
        <w:tc>
          <w:tcPr>
            <w:tcW w:w="898"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0.405</w:t>
            </w:r>
          </w:p>
        </w:tc>
        <w:tc>
          <w:tcPr>
            <w:tcW w:w="1528"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0.03±0.06</w:t>
            </w:r>
          </w:p>
          <w:p>
            <w:pPr>
              <w:pStyle w:val="TableContents"/>
              <w:jc w:val="both"/>
              <w:rPr>
                <w:rFonts w:ascii="Arial" w:hAnsi="Arial"/>
                <w:sz w:val="20"/>
                <w:szCs w:val="20"/>
              </w:rPr>
            </w:pPr>
            <w:r>
              <w:rPr>
                <w:rFonts w:ascii="Arial" w:hAnsi="Arial"/>
                <w:sz w:val="20"/>
                <w:szCs w:val="20"/>
              </w:rPr>
              <w:t>(N= 802)</w:t>
            </w:r>
          </w:p>
        </w:tc>
        <w:tc>
          <w:tcPr>
            <w:tcW w:w="812"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0.662</w:t>
            </w:r>
          </w:p>
        </w:tc>
        <w:tc>
          <w:tcPr>
            <w:tcW w:w="1260"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-0.12±0.12</w:t>
            </w:r>
          </w:p>
        </w:tc>
        <w:tc>
          <w:tcPr>
            <w:tcW w:w="9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both"/>
              <w:rPr>
                <w:rFonts w:ascii="Arial" w:hAnsi="Arial"/>
                <w:sz w:val="20"/>
                <w:szCs w:val="20"/>
              </w:rPr>
            </w:pPr>
            <w:r>
              <w:rPr>
                <w:rFonts w:ascii="Arial" w:hAnsi="Arial"/>
                <w:sz w:val="20"/>
                <w:szCs w:val="20"/>
              </w:rPr>
              <w:t>0.338</w:t>
            </w:r>
          </w:p>
        </w:tc>
      </w:tr>
      <w:tr>
        <w:trPr/>
        <w:tc>
          <w:tcPr>
            <w:tcW w:w="81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SDQ F4</w:t>
            </w:r>
          </w:p>
        </w:tc>
        <w:tc>
          <w:tcPr>
            <w:tcW w:w="1254"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0.05±0.05</w:t>
            </w:r>
          </w:p>
          <w:p>
            <w:pPr>
              <w:pStyle w:val="Normal"/>
              <w:jc w:val="both"/>
              <w:rPr>
                <w:rFonts w:ascii="Arial" w:hAnsi="Arial"/>
                <w:sz w:val="20"/>
                <w:szCs w:val="20"/>
              </w:rPr>
            </w:pPr>
            <w:r>
              <w:rPr>
                <w:rFonts w:ascii="Arial" w:hAnsi="Arial"/>
                <w:sz w:val="20"/>
                <w:szCs w:val="20"/>
              </w:rPr>
              <w:t>(N= 1031)</w:t>
            </w:r>
          </w:p>
        </w:tc>
        <w:tc>
          <w:tcPr>
            <w:tcW w:w="636"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0.329</w:t>
            </w:r>
          </w:p>
        </w:tc>
        <w:tc>
          <w:tcPr>
            <w:tcW w:w="1530"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-0.02±0.09</w:t>
            </w:r>
          </w:p>
        </w:tc>
        <w:tc>
          <w:tcPr>
            <w:tcW w:w="898"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0.797</w:t>
            </w:r>
          </w:p>
        </w:tc>
        <w:tc>
          <w:tcPr>
            <w:tcW w:w="1528"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color w:val="0066B3"/>
                <w:sz w:val="20"/>
                <w:szCs w:val="20"/>
              </w:rPr>
            </w:pPr>
            <w:r>
              <w:rPr>
                <w:rFonts w:ascii="Arial" w:hAnsi="Arial"/>
                <w:color w:val="0066B3"/>
                <w:sz w:val="20"/>
                <w:szCs w:val="20"/>
              </w:rPr>
              <w:t>-0.06±0.04</w:t>
            </w:r>
          </w:p>
          <w:p>
            <w:pPr>
              <w:pStyle w:val="TableContents"/>
              <w:jc w:val="both"/>
              <w:rPr>
                <w:rFonts w:ascii="Arial" w:hAnsi="Arial"/>
                <w:color w:val="0066B3"/>
                <w:sz w:val="20"/>
                <w:szCs w:val="20"/>
              </w:rPr>
            </w:pPr>
            <w:r>
              <w:rPr>
                <w:rFonts w:ascii="Arial" w:hAnsi="Arial"/>
                <w:color w:val="0066B3"/>
                <w:sz w:val="20"/>
                <w:szCs w:val="20"/>
              </w:rPr>
              <w:t>(N= 802)</w:t>
            </w:r>
          </w:p>
        </w:tc>
        <w:tc>
          <w:tcPr>
            <w:tcW w:w="812"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color w:val="0066B3"/>
                <w:sz w:val="20"/>
                <w:szCs w:val="20"/>
              </w:rPr>
            </w:pPr>
            <w:r>
              <w:rPr>
                <w:rFonts w:ascii="Arial" w:hAnsi="Arial"/>
                <w:color w:val="0066B3"/>
                <w:sz w:val="20"/>
                <w:szCs w:val="20"/>
              </w:rPr>
              <w:t>0.113</w:t>
            </w:r>
          </w:p>
        </w:tc>
        <w:tc>
          <w:tcPr>
            <w:tcW w:w="1260"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0.11±0.08</w:t>
            </w:r>
          </w:p>
        </w:tc>
        <w:tc>
          <w:tcPr>
            <w:tcW w:w="9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both"/>
              <w:rPr>
                <w:rFonts w:ascii="Arial" w:hAnsi="Arial"/>
                <w:sz w:val="20"/>
                <w:szCs w:val="20"/>
              </w:rPr>
            </w:pPr>
            <w:r>
              <w:rPr>
                <w:rFonts w:ascii="Arial" w:hAnsi="Arial"/>
                <w:sz w:val="20"/>
                <w:szCs w:val="20"/>
              </w:rPr>
              <w:t>0.157</w:t>
            </w:r>
          </w:p>
        </w:tc>
      </w:tr>
      <w:tr>
        <w:trPr/>
        <w:tc>
          <w:tcPr>
            <w:tcW w:w="81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SDQ Sum</w:t>
            </w:r>
          </w:p>
        </w:tc>
        <w:tc>
          <w:tcPr>
            <w:tcW w:w="1254"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0.19±0.15</w:t>
            </w:r>
          </w:p>
          <w:p>
            <w:pPr>
              <w:pStyle w:val="Normal"/>
              <w:jc w:val="both"/>
              <w:rPr>
                <w:rFonts w:ascii="Arial" w:hAnsi="Arial"/>
                <w:sz w:val="20"/>
                <w:szCs w:val="20"/>
              </w:rPr>
            </w:pPr>
            <w:r>
              <w:rPr>
                <w:rFonts w:ascii="Arial" w:hAnsi="Arial"/>
                <w:sz w:val="20"/>
                <w:szCs w:val="20"/>
              </w:rPr>
              <w:t>(N= 1031)</w:t>
            </w:r>
          </w:p>
        </w:tc>
        <w:tc>
          <w:tcPr>
            <w:tcW w:w="636"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0.209</w:t>
            </w:r>
          </w:p>
        </w:tc>
        <w:tc>
          <w:tcPr>
            <w:tcW w:w="1530"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-0.12±0.31</w:t>
            </w:r>
          </w:p>
        </w:tc>
        <w:tc>
          <w:tcPr>
            <w:tcW w:w="898"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0.697</w:t>
            </w:r>
          </w:p>
        </w:tc>
        <w:tc>
          <w:tcPr>
            <w:tcW w:w="1528"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-0.03±0.12</w:t>
            </w:r>
          </w:p>
          <w:p>
            <w:pPr>
              <w:pStyle w:val="TableContents"/>
              <w:jc w:val="both"/>
              <w:rPr>
                <w:rFonts w:ascii="Arial" w:hAnsi="Arial"/>
                <w:sz w:val="20"/>
                <w:szCs w:val="20"/>
              </w:rPr>
            </w:pPr>
            <w:r>
              <w:rPr>
                <w:rFonts w:ascii="Arial" w:hAnsi="Arial"/>
                <w:sz w:val="20"/>
                <w:szCs w:val="20"/>
              </w:rPr>
              <w:t>(N= 802)</w:t>
            </w:r>
          </w:p>
        </w:tc>
        <w:tc>
          <w:tcPr>
            <w:tcW w:w="812"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0.788</w:t>
            </w:r>
          </w:p>
        </w:tc>
        <w:tc>
          <w:tcPr>
            <w:tcW w:w="1260"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-0.09±0.25</w:t>
            </w:r>
          </w:p>
        </w:tc>
        <w:tc>
          <w:tcPr>
            <w:tcW w:w="9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both"/>
              <w:rPr>
                <w:rFonts w:ascii="Arial" w:hAnsi="Arial"/>
                <w:sz w:val="20"/>
                <w:szCs w:val="20"/>
              </w:rPr>
            </w:pPr>
            <w:r>
              <w:rPr>
                <w:rFonts w:ascii="Arial" w:hAnsi="Arial"/>
                <w:sz w:val="20"/>
                <w:szCs w:val="20"/>
              </w:rPr>
              <w:t>0.717</w:t>
            </w:r>
          </w:p>
        </w:tc>
      </w:tr>
    </w:tbl>
    <w:p>
      <w:pPr>
        <w:pStyle w:val="Normal"/>
        <w:widowControl w:val="false"/>
        <w:bidi w:val="0"/>
        <w:spacing w:lineRule="auto" w:line="360" w:before="0" w:after="240"/>
        <w:jc w:val="both"/>
        <w:rPr/>
      </w:pPr>
      <w:r>
        <w:br w:type="page"/>
      </w:r>
      <w:r>
        <w:rPr>
          <w:rStyle w:val="InternetLink"/>
          <w:rFonts w:eastAsia="Arial" w:cs="Arial" w:ascii="Arial" w:hAnsi="Arial"/>
          <w:b/>
          <w:bCs/>
          <w:i w:val="false"/>
          <w:iCs w:val="false"/>
          <w:caps w:val="false"/>
          <w:smallCaps w:val="false"/>
          <w:color w:val="000000"/>
          <w:spacing w:val="0"/>
          <w:sz w:val="24"/>
          <w:szCs w:val="24"/>
          <w:u w:val="none"/>
          <w:lang w:val="en-US"/>
        </w:rPr>
        <w:t>Table S</w:t>
      </w:r>
      <w:r>
        <w:rPr>
          <w:rStyle w:val="InternetLink"/>
          <w:rFonts w:eastAsia="Arial" w:cs="Arial" w:ascii="Arial" w:hAnsi="Arial"/>
          <w:b/>
          <w:bCs/>
          <w:i w:val="false"/>
          <w:iCs w:val="false"/>
          <w:caps w:val="false"/>
          <w:smallCaps w:val="false"/>
          <w:color w:val="000000"/>
          <w:spacing w:val="0"/>
          <w:sz w:val="24"/>
          <w:szCs w:val="24"/>
          <w:u w:val="none"/>
          <w:lang w:val="en-US"/>
        </w:rPr>
        <w:t>I-</w:t>
      </w:r>
      <w:r>
        <w:rPr>
          <w:rStyle w:val="InternetLink"/>
          <w:rFonts w:eastAsia="Arial" w:cs="Arial" w:ascii="Arial" w:hAnsi="Arial"/>
          <w:b/>
          <w:bCs/>
          <w:i w:val="false"/>
          <w:iCs w:val="false"/>
          <w:caps w:val="false"/>
          <w:smallCaps w:val="false"/>
          <w:color w:val="000000"/>
          <w:spacing w:val="0"/>
          <w:sz w:val="24"/>
          <w:szCs w:val="24"/>
          <w:u w:val="none"/>
          <w:lang w:val="en-US"/>
        </w:rPr>
        <w:t>5: Genotype, amygdalar / hippocampal volumes and PRE-AS</w:t>
      </w:r>
      <w:r>
        <w:rPr>
          <w:rStyle w:val="InternetLink"/>
          <w:rFonts w:eastAsia="Arial" w:cs="Arial" w:ascii="Arial" w:hAnsi="Arial"/>
          <w:b w:val="false"/>
          <w:bCs w:val="false"/>
          <w:i w:val="false"/>
          <w:iCs w:val="false"/>
          <w:caps w:val="false"/>
          <w:smallCaps w:val="false"/>
          <w:color w:val="000000"/>
          <w:spacing w:val="0"/>
          <w:sz w:val="24"/>
          <w:szCs w:val="24"/>
          <w:u w:val="none"/>
          <w:lang w:val="en-US"/>
        </w:rPr>
        <w:t xml:space="preserve"> –</w:t>
      </w:r>
      <w:r>
        <w:rPr>
          <w:rStyle w:val="InternetLink"/>
          <w:rFonts w:eastAsia="Arial" w:cs="Arial" w:ascii="Arial" w:hAnsi="Arial"/>
          <w:b/>
          <w:bCs/>
          <w:i w:val="false"/>
          <w:iCs w:val="false"/>
          <w:caps w:val="false"/>
          <w:smallCaps w:val="false"/>
          <w:color w:val="000000"/>
          <w:spacing w:val="0"/>
          <w:sz w:val="24"/>
          <w:szCs w:val="24"/>
          <w:u w:val="none"/>
          <w:lang w:val="en-US"/>
        </w:rPr>
        <w:t xml:space="preserve"> nonimputed data. </w:t>
      </w:r>
      <w:r>
        <w:rPr>
          <w:rStyle w:val="InternetLink"/>
          <w:rFonts w:eastAsia="Arial" w:cs="Arial" w:ascii="Arial" w:hAnsi="Arial"/>
          <w:b w:val="false"/>
          <w:bCs w:val="false"/>
          <w:i w:val="false"/>
          <w:iCs w:val="false"/>
          <w:caps w:val="false"/>
          <w:smallCaps w:val="false"/>
          <w:color w:val="000000"/>
          <w:spacing w:val="0"/>
          <w:sz w:val="24"/>
          <w:szCs w:val="24"/>
          <w:u w:val="none"/>
          <w:lang w:val="en-US"/>
        </w:rPr>
        <w:t>Results are similar compared to Table 5.</w:t>
      </w:r>
    </w:p>
    <w:tbl>
      <w:tblPr>
        <w:tblW w:w="9645"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Pr>
      <w:tblGrid>
        <w:gridCol w:w="1080"/>
        <w:gridCol w:w="1170"/>
        <w:gridCol w:w="718"/>
        <w:gridCol w:w="2"/>
        <w:gridCol w:w="1349"/>
        <w:gridCol w:w="720"/>
        <w:gridCol w:w="1"/>
        <w:gridCol w:w="1349"/>
        <w:gridCol w:w="810"/>
        <w:gridCol w:w="1531"/>
        <w:gridCol w:w="914"/>
      </w:tblGrid>
      <w:tr>
        <w:trPr/>
        <w:tc>
          <w:tcPr>
            <w:tcW w:w="108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r>
          </w:p>
        </w:tc>
        <w:tc>
          <w:tcPr>
            <w:tcW w:w="1890" w:type="dxa"/>
            <w:gridSpan w:val="3"/>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sz w:val="22"/>
                <w:szCs w:val="22"/>
              </w:rPr>
            </w:pPr>
            <w:r>
              <w:rPr>
                <w:rFonts w:ascii="Arial" w:hAnsi="Arial"/>
                <w:sz w:val="22"/>
                <w:szCs w:val="22"/>
              </w:rPr>
              <w:t>Association with ePRS</w:t>
            </w:r>
          </w:p>
          <w:p>
            <w:pPr>
              <w:pStyle w:val="TableContents"/>
              <w:jc w:val="center"/>
              <w:rPr>
                <w:rFonts w:ascii="Arial" w:hAnsi="Arial"/>
                <w:sz w:val="22"/>
                <w:szCs w:val="22"/>
              </w:rPr>
            </w:pPr>
            <w:r>
              <w:rPr>
                <w:rFonts w:ascii="Arial" w:hAnsi="Arial"/>
                <w:sz w:val="22"/>
                <w:szCs w:val="22"/>
              </w:rPr>
              <w:t>(N=106)</w:t>
            </w:r>
          </w:p>
        </w:tc>
        <w:tc>
          <w:tcPr>
            <w:tcW w:w="2070" w:type="dxa"/>
            <w:gridSpan w:val="3"/>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sz w:val="22"/>
                <w:szCs w:val="22"/>
              </w:rPr>
            </w:pPr>
            <w:r>
              <w:rPr>
                <w:rFonts w:ascii="Arial" w:hAnsi="Arial"/>
                <w:sz w:val="22"/>
                <w:szCs w:val="22"/>
              </w:rPr>
              <w:t>Sex-specific association with ePRS (N=106)</w:t>
            </w:r>
          </w:p>
        </w:tc>
        <w:tc>
          <w:tcPr>
            <w:tcW w:w="2159"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sz w:val="22"/>
                <w:szCs w:val="22"/>
              </w:rPr>
            </w:pPr>
            <w:r>
              <w:rPr>
                <w:rFonts w:ascii="Arial" w:hAnsi="Arial"/>
                <w:sz w:val="22"/>
                <w:szCs w:val="22"/>
              </w:rPr>
              <w:t xml:space="preserve">Association of the GxE interaction </w:t>
            </w:r>
          </w:p>
          <w:p>
            <w:pPr>
              <w:pStyle w:val="TableContents"/>
              <w:jc w:val="center"/>
              <w:rPr>
                <w:rFonts w:ascii="Arial" w:hAnsi="Arial"/>
                <w:sz w:val="22"/>
                <w:szCs w:val="22"/>
              </w:rPr>
            </w:pPr>
            <w:r>
              <w:rPr>
                <w:rFonts w:ascii="Arial" w:hAnsi="Arial"/>
                <w:sz w:val="22"/>
                <w:szCs w:val="22"/>
              </w:rPr>
              <w:t>(ePRS by PRE-AS,</w:t>
            </w:r>
          </w:p>
          <w:p>
            <w:pPr>
              <w:pStyle w:val="TableContents"/>
              <w:jc w:val="center"/>
              <w:rPr>
                <w:rFonts w:ascii="Arial" w:hAnsi="Arial"/>
                <w:sz w:val="22"/>
                <w:szCs w:val="22"/>
              </w:rPr>
            </w:pPr>
            <w:r>
              <w:rPr>
                <w:rFonts w:ascii="Arial" w:hAnsi="Arial"/>
                <w:sz w:val="22"/>
                <w:szCs w:val="22"/>
              </w:rPr>
              <w:t>N=83)</w:t>
            </w:r>
          </w:p>
        </w:tc>
        <w:tc>
          <w:tcPr>
            <w:tcW w:w="2445"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center"/>
              <w:rPr>
                <w:rFonts w:ascii="Arial" w:hAnsi="Arial"/>
                <w:sz w:val="22"/>
                <w:szCs w:val="22"/>
              </w:rPr>
            </w:pPr>
            <w:r>
              <w:rPr>
                <w:rFonts w:ascii="Arial" w:hAnsi="Arial"/>
                <w:sz w:val="22"/>
                <w:szCs w:val="22"/>
              </w:rPr>
              <w:t>Association of the sex-specific GxE interaction (ePRS by PRE-AS by sex, N=83)</w:t>
            </w:r>
          </w:p>
        </w:tc>
      </w:tr>
      <w:tr>
        <w:trPr/>
        <w:tc>
          <w:tcPr>
            <w:tcW w:w="108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r>
          </w:p>
        </w:tc>
        <w:tc>
          <w:tcPr>
            <w:tcW w:w="117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eastAsia="SimSun" w:cs="Lucida Sans" w:ascii="Arial" w:hAnsi="Arial"/>
                <w:sz w:val="22"/>
                <w:szCs w:val="22"/>
              </w:rPr>
              <w:t>β</w:t>
            </w:r>
            <w:r>
              <w:rPr>
                <w:rFonts w:ascii="Arial" w:hAnsi="Arial"/>
                <w:sz w:val="22"/>
                <w:szCs w:val="22"/>
              </w:rPr>
              <w:t>-values ± SE</w:t>
            </w:r>
          </w:p>
        </w:tc>
        <w:tc>
          <w:tcPr>
            <w:tcW w:w="718" w:type="dxa"/>
            <w:tcBorders>
              <w:top w:val="single" w:sz="2" w:space="0" w:color="000001"/>
              <w:left w:val="single" w:sz="2" w:space="0" w:color="000001"/>
              <w:bottom w:val="single" w:sz="2" w:space="0" w:color="000001"/>
              <w:insideH w:val="single" w:sz="2" w:space="0" w:color="000001"/>
            </w:tcBorders>
            <w:shd w:fill="auto" w:val="clear"/>
          </w:tcPr>
          <w:p>
            <w:pPr>
              <w:pStyle w:val="Normal"/>
              <w:rPr>
                <w:rFonts w:ascii="Arial" w:hAnsi="Arial"/>
                <w:sz w:val="22"/>
                <w:szCs w:val="22"/>
              </w:rPr>
            </w:pPr>
            <w:r>
              <w:rPr>
                <w:rFonts w:ascii="Arial" w:hAnsi="Arial"/>
                <w:sz w:val="22"/>
                <w:szCs w:val="22"/>
              </w:rPr>
              <w:t>p</w:t>
            </w:r>
          </w:p>
        </w:tc>
        <w:tc>
          <w:tcPr>
            <w:tcW w:w="1351"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eastAsia="SimSun" w:cs="Lucida Sans" w:ascii="Arial" w:hAnsi="Arial"/>
                <w:sz w:val="22"/>
                <w:szCs w:val="22"/>
              </w:rPr>
              <w:t>β</w:t>
            </w:r>
            <w:r>
              <w:rPr>
                <w:rFonts w:ascii="Arial" w:hAnsi="Arial"/>
                <w:sz w:val="22"/>
                <w:szCs w:val="22"/>
              </w:rPr>
              <w:t>-values ± SE</w:t>
            </w:r>
          </w:p>
        </w:tc>
        <w:tc>
          <w:tcPr>
            <w:tcW w:w="720" w:type="dxa"/>
            <w:tcBorders>
              <w:top w:val="single" w:sz="2" w:space="0" w:color="000001"/>
              <w:left w:val="single" w:sz="2" w:space="0" w:color="000001"/>
              <w:bottom w:val="single" w:sz="2" w:space="0" w:color="000001"/>
              <w:insideH w:val="single" w:sz="2" w:space="0" w:color="000001"/>
            </w:tcBorders>
            <w:shd w:fill="auto" w:val="clear"/>
          </w:tcPr>
          <w:p>
            <w:pPr>
              <w:pStyle w:val="Normal"/>
              <w:rPr>
                <w:rFonts w:ascii="Arial" w:hAnsi="Arial"/>
                <w:sz w:val="22"/>
                <w:szCs w:val="22"/>
              </w:rPr>
            </w:pPr>
            <w:r>
              <w:rPr>
                <w:rFonts w:ascii="Arial" w:hAnsi="Arial"/>
                <w:sz w:val="22"/>
                <w:szCs w:val="22"/>
              </w:rPr>
              <w:t>p</w:t>
            </w:r>
          </w:p>
        </w:tc>
        <w:tc>
          <w:tcPr>
            <w:tcW w:w="1350"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eastAsia="SimSun" w:cs="Lucida Sans" w:ascii="Arial" w:hAnsi="Arial"/>
                <w:sz w:val="22"/>
                <w:szCs w:val="22"/>
              </w:rPr>
              <w:t>β</w:t>
            </w:r>
            <w:r>
              <w:rPr>
                <w:rFonts w:ascii="Arial" w:hAnsi="Arial"/>
                <w:sz w:val="22"/>
                <w:szCs w:val="22"/>
              </w:rPr>
              <w:t xml:space="preserve">-values ± SE </w:t>
            </w:r>
          </w:p>
        </w:tc>
        <w:tc>
          <w:tcPr>
            <w:tcW w:w="810" w:type="dxa"/>
            <w:tcBorders>
              <w:top w:val="single" w:sz="2" w:space="0" w:color="000001"/>
              <w:left w:val="single" w:sz="2" w:space="0" w:color="000001"/>
              <w:bottom w:val="single" w:sz="2" w:space="0" w:color="000001"/>
              <w:insideH w:val="single" w:sz="2" w:space="0" w:color="000001"/>
            </w:tcBorders>
            <w:shd w:fill="auto" w:val="clear"/>
          </w:tcPr>
          <w:p>
            <w:pPr>
              <w:pStyle w:val="Normal"/>
              <w:rPr>
                <w:rFonts w:ascii="Arial" w:hAnsi="Arial"/>
                <w:sz w:val="22"/>
                <w:szCs w:val="22"/>
              </w:rPr>
            </w:pPr>
            <w:r>
              <w:rPr>
                <w:rFonts w:ascii="Arial" w:hAnsi="Arial"/>
                <w:sz w:val="22"/>
                <w:szCs w:val="22"/>
              </w:rPr>
              <w:t>p</w:t>
            </w:r>
          </w:p>
          <w:p>
            <w:pPr>
              <w:pStyle w:val="Normal"/>
              <w:rPr>
                <w:rFonts w:ascii="Arial" w:hAnsi="Arial"/>
                <w:sz w:val="22"/>
                <w:szCs w:val="22"/>
              </w:rPr>
            </w:pPr>
            <w:r>
              <w:rPr>
                <w:rFonts w:ascii="Arial" w:hAnsi="Arial"/>
                <w:sz w:val="22"/>
                <w:szCs w:val="22"/>
              </w:rPr>
            </w:r>
          </w:p>
        </w:tc>
        <w:tc>
          <w:tcPr>
            <w:tcW w:w="1531"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eastAsia="SimSun" w:cs="Lucida Sans" w:ascii="Arial" w:hAnsi="Arial"/>
                <w:sz w:val="22"/>
                <w:szCs w:val="22"/>
              </w:rPr>
              <w:t>β</w:t>
            </w:r>
            <w:r>
              <w:rPr>
                <w:rFonts w:ascii="Arial" w:hAnsi="Arial"/>
                <w:sz w:val="22"/>
                <w:szCs w:val="22"/>
              </w:rPr>
              <w:t xml:space="preserve">-values ± SE </w:t>
            </w:r>
          </w:p>
        </w:tc>
        <w:tc>
          <w:tcPr>
            <w:tcW w:w="9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rPr>
                <w:rFonts w:ascii="Arial" w:hAnsi="Arial"/>
                <w:sz w:val="22"/>
                <w:szCs w:val="22"/>
              </w:rPr>
            </w:pPr>
            <w:r>
              <w:rPr>
                <w:rFonts w:ascii="Arial" w:hAnsi="Arial"/>
                <w:sz w:val="22"/>
                <w:szCs w:val="22"/>
              </w:rPr>
              <w:t>P</w:t>
            </w:r>
          </w:p>
        </w:tc>
      </w:tr>
      <w:tr>
        <w:trPr/>
        <w:tc>
          <w:tcPr>
            <w:tcW w:w="108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R Amy</w:t>
            </w:r>
          </w:p>
        </w:tc>
        <w:tc>
          <w:tcPr>
            <w:tcW w:w="1170" w:type="dxa"/>
            <w:tcBorders>
              <w:top w:val="single" w:sz="2" w:space="0" w:color="000001"/>
              <w:left w:val="single" w:sz="2" w:space="0" w:color="000001"/>
              <w:bottom w:val="single" w:sz="2" w:space="0" w:color="000001"/>
              <w:insideH w:val="single" w:sz="2" w:space="0" w:color="000001"/>
            </w:tcBorders>
            <w:shd w:fill="auto" w:val="clear"/>
          </w:tcPr>
          <w:p>
            <w:pPr>
              <w:pStyle w:val="Normal"/>
              <w:jc w:val="both"/>
              <w:rPr>
                <w:rFonts w:ascii="Arial" w:hAnsi="Arial"/>
                <w:sz w:val="20"/>
                <w:szCs w:val="20"/>
              </w:rPr>
            </w:pPr>
            <w:r>
              <w:rPr>
                <w:rFonts w:ascii="Arial" w:hAnsi="Arial"/>
                <w:b w:val="false"/>
                <w:i w:val="false"/>
                <w:strike w:val="false"/>
                <w:dstrike w:val="false"/>
                <w:outline w:val="false"/>
                <w:shadow w:val="false"/>
                <w:sz w:val="20"/>
                <w:szCs w:val="20"/>
                <w:u w:val="none"/>
                <w:em w:val="none"/>
              </w:rPr>
              <w:t>4.99±3.45</w:t>
            </w:r>
          </w:p>
        </w:tc>
        <w:tc>
          <w:tcPr>
            <w:tcW w:w="718"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0.151</w:t>
            </w:r>
          </w:p>
        </w:tc>
        <w:tc>
          <w:tcPr>
            <w:tcW w:w="1351"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10.43±7.63</w:t>
            </w:r>
          </w:p>
        </w:tc>
        <w:tc>
          <w:tcPr>
            <w:tcW w:w="72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0.175</w:t>
            </w:r>
          </w:p>
        </w:tc>
        <w:tc>
          <w:tcPr>
            <w:tcW w:w="1350"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-0.67±2.19</w:t>
            </w:r>
          </w:p>
        </w:tc>
        <w:tc>
          <w:tcPr>
            <w:tcW w:w="81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0.762</w:t>
            </w:r>
          </w:p>
        </w:tc>
        <w:tc>
          <w:tcPr>
            <w:tcW w:w="1531"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-0.40±4.32</w:t>
            </w:r>
          </w:p>
        </w:tc>
        <w:tc>
          <w:tcPr>
            <w:tcW w:w="9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both"/>
              <w:rPr>
                <w:rFonts w:ascii="Arial" w:hAnsi="Arial"/>
                <w:sz w:val="20"/>
                <w:szCs w:val="20"/>
              </w:rPr>
            </w:pPr>
            <w:r>
              <w:rPr>
                <w:rFonts w:ascii="Arial" w:hAnsi="Arial"/>
                <w:sz w:val="20"/>
                <w:szCs w:val="20"/>
              </w:rPr>
              <w:t>0.927</w:t>
            </w:r>
          </w:p>
        </w:tc>
      </w:tr>
      <w:tr>
        <w:trPr/>
        <w:tc>
          <w:tcPr>
            <w:tcW w:w="108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L Amy</w:t>
            </w:r>
          </w:p>
        </w:tc>
        <w:tc>
          <w:tcPr>
            <w:tcW w:w="117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1.89±3.34</w:t>
            </w:r>
          </w:p>
        </w:tc>
        <w:tc>
          <w:tcPr>
            <w:tcW w:w="718"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0.573</w:t>
            </w:r>
          </w:p>
        </w:tc>
        <w:tc>
          <w:tcPr>
            <w:tcW w:w="1351"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-1.61±7.45</w:t>
            </w:r>
          </w:p>
        </w:tc>
        <w:tc>
          <w:tcPr>
            <w:tcW w:w="72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0.829</w:t>
            </w:r>
          </w:p>
        </w:tc>
        <w:tc>
          <w:tcPr>
            <w:tcW w:w="1350"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1.68±2.03</w:t>
            </w:r>
          </w:p>
        </w:tc>
        <w:tc>
          <w:tcPr>
            <w:tcW w:w="81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0.410</w:t>
            </w:r>
          </w:p>
        </w:tc>
        <w:tc>
          <w:tcPr>
            <w:tcW w:w="1531"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3.68±4.08</w:t>
            </w:r>
          </w:p>
        </w:tc>
        <w:tc>
          <w:tcPr>
            <w:tcW w:w="9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both"/>
              <w:rPr>
                <w:rFonts w:ascii="Arial" w:hAnsi="Arial"/>
                <w:sz w:val="20"/>
                <w:szCs w:val="20"/>
              </w:rPr>
            </w:pPr>
            <w:r>
              <w:rPr>
                <w:rFonts w:ascii="Arial" w:hAnsi="Arial"/>
                <w:sz w:val="20"/>
                <w:szCs w:val="20"/>
              </w:rPr>
              <w:t>0.369</w:t>
            </w:r>
          </w:p>
        </w:tc>
      </w:tr>
      <w:tr>
        <w:trPr/>
        <w:tc>
          <w:tcPr>
            <w:tcW w:w="108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R Hippoc</w:t>
            </w:r>
          </w:p>
        </w:tc>
        <w:tc>
          <w:tcPr>
            <w:tcW w:w="117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3.88±9.55</w:t>
            </w:r>
          </w:p>
        </w:tc>
        <w:tc>
          <w:tcPr>
            <w:tcW w:w="718"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0.685</w:t>
            </w:r>
          </w:p>
        </w:tc>
        <w:tc>
          <w:tcPr>
            <w:tcW w:w="1351"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-3.63±21.33</w:t>
            </w:r>
          </w:p>
        </w:tc>
        <w:tc>
          <w:tcPr>
            <w:tcW w:w="72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0.865</w:t>
            </w:r>
          </w:p>
        </w:tc>
        <w:tc>
          <w:tcPr>
            <w:tcW w:w="1350"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1.94±5.60</w:t>
            </w:r>
          </w:p>
        </w:tc>
        <w:tc>
          <w:tcPr>
            <w:tcW w:w="81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0.731</w:t>
            </w:r>
          </w:p>
        </w:tc>
        <w:tc>
          <w:tcPr>
            <w:tcW w:w="1531"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35.78±10.86</w:t>
            </w:r>
          </w:p>
        </w:tc>
        <w:tc>
          <w:tcPr>
            <w:tcW w:w="9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both"/>
              <w:rPr>
                <w:rFonts w:ascii="Arial" w:hAnsi="Arial"/>
                <w:sz w:val="20"/>
                <w:szCs w:val="20"/>
              </w:rPr>
            </w:pPr>
            <w:r>
              <w:rPr>
                <w:rFonts w:ascii="Arial" w:hAnsi="Arial"/>
                <w:sz w:val="20"/>
                <w:szCs w:val="20"/>
              </w:rPr>
              <w:t>0.002</w:t>
            </w:r>
          </w:p>
        </w:tc>
      </w:tr>
      <w:tr>
        <w:trPr/>
        <w:tc>
          <w:tcPr>
            <w:tcW w:w="108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2"/>
                <w:szCs w:val="22"/>
              </w:rPr>
            </w:pPr>
            <w:r>
              <w:rPr>
                <w:rFonts w:ascii="Arial" w:hAnsi="Arial"/>
                <w:sz w:val="22"/>
                <w:szCs w:val="22"/>
              </w:rPr>
              <w:t>L Hippoc</w:t>
            </w:r>
          </w:p>
        </w:tc>
        <w:tc>
          <w:tcPr>
            <w:tcW w:w="117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8.27±10.06</w:t>
            </w:r>
          </w:p>
        </w:tc>
        <w:tc>
          <w:tcPr>
            <w:tcW w:w="718"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0.413</w:t>
            </w:r>
          </w:p>
        </w:tc>
        <w:tc>
          <w:tcPr>
            <w:tcW w:w="1351"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12.13±22.44</w:t>
            </w:r>
          </w:p>
        </w:tc>
        <w:tc>
          <w:tcPr>
            <w:tcW w:w="72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0.590</w:t>
            </w:r>
          </w:p>
        </w:tc>
        <w:tc>
          <w:tcPr>
            <w:tcW w:w="1350"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3.91±6.21</w:t>
            </w:r>
          </w:p>
        </w:tc>
        <w:tc>
          <w:tcPr>
            <w:tcW w:w="81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0.531</w:t>
            </w:r>
          </w:p>
        </w:tc>
        <w:tc>
          <w:tcPr>
            <w:tcW w:w="1531"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both"/>
              <w:rPr>
                <w:rFonts w:ascii="Arial" w:hAnsi="Arial"/>
                <w:sz w:val="20"/>
                <w:szCs w:val="20"/>
              </w:rPr>
            </w:pPr>
            <w:r>
              <w:rPr>
                <w:rFonts w:ascii="Arial" w:hAnsi="Arial"/>
                <w:sz w:val="20"/>
                <w:szCs w:val="20"/>
              </w:rPr>
              <w:t>18.77±12.66</w:t>
            </w:r>
          </w:p>
        </w:tc>
        <w:tc>
          <w:tcPr>
            <w:tcW w:w="9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both"/>
              <w:rPr>
                <w:rFonts w:ascii="Arial" w:hAnsi="Arial"/>
                <w:sz w:val="20"/>
                <w:szCs w:val="20"/>
              </w:rPr>
            </w:pPr>
            <w:r>
              <w:rPr>
                <w:rFonts w:ascii="Arial" w:hAnsi="Arial"/>
                <w:sz w:val="20"/>
                <w:szCs w:val="20"/>
              </w:rPr>
              <w:t>0.143</w:t>
            </w:r>
          </w:p>
        </w:tc>
      </w:tr>
    </w:tbl>
    <w:p>
      <w:pPr>
        <w:pStyle w:val="Normal"/>
        <w:widowControl w:val="false"/>
        <w:bidi w:val="0"/>
        <w:spacing w:lineRule="auto" w:line="480" w:before="58" w:after="245"/>
        <w:jc w:val="both"/>
        <w:rPr>
          <w:rStyle w:val="InternetLink"/>
          <w:rFonts w:ascii="Arial" w:hAnsi="Arial" w:eastAsia="Arial" w:cs="Arial"/>
          <w:b/>
          <w:b/>
          <w:bCs/>
          <w:i w:val="false"/>
          <w:i w:val="false"/>
          <w:iCs w:val="false"/>
          <w:caps w:val="false"/>
          <w:smallCaps w:val="false"/>
          <w:color w:val="000000"/>
          <w:spacing w:val="0"/>
          <w:sz w:val="22"/>
          <w:szCs w:val="22"/>
          <w:u w:val="none"/>
          <w:lang w:val="en-US"/>
        </w:rPr>
      </w:pPr>
      <w:r>
        <w:rPr>
          <w:rFonts w:eastAsia="Arial" w:cs="Arial" w:ascii="Arial" w:hAnsi="Arial"/>
          <w:b/>
          <w:bCs/>
          <w:i w:val="false"/>
          <w:iCs w:val="false"/>
          <w:caps w:val="false"/>
          <w:smallCaps w:val="false"/>
          <w:color w:val="000000"/>
          <w:spacing w:val="0"/>
          <w:sz w:val="22"/>
          <w:szCs w:val="22"/>
          <w:u w:val="none"/>
          <w:lang w:val="en-US"/>
        </w:rPr>
      </w:r>
    </w:p>
    <w:p>
      <w:pPr>
        <w:pStyle w:val="Normal"/>
        <w:widowControl w:val="false"/>
        <w:bidi w:val="0"/>
        <w:spacing w:lineRule="auto" w:line="360" w:before="0" w:after="240"/>
        <w:jc w:val="both"/>
        <w:rPr/>
      </w:pPr>
      <w:r>
        <w:rPr>
          <w:rStyle w:val="InternetLink"/>
          <w:rFonts w:eastAsia="Arial" w:cs="Arial" w:ascii="Arial" w:hAnsi="Arial"/>
          <w:b/>
          <w:bCs/>
          <w:i w:val="false"/>
          <w:iCs w:val="false"/>
          <w:caps w:val="false"/>
          <w:smallCaps w:val="false"/>
          <w:color w:val="000000"/>
          <w:spacing w:val="0"/>
          <w:sz w:val="24"/>
          <w:szCs w:val="24"/>
          <w:u w:val="none"/>
          <w:lang w:val="en-US"/>
        </w:rPr>
        <w:t>Table S</w:t>
      </w:r>
      <w:r>
        <w:rPr>
          <w:rStyle w:val="InternetLink"/>
          <w:rFonts w:eastAsia="Arial" w:cs="Arial" w:ascii="Arial" w:hAnsi="Arial"/>
          <w:b/>
          <w:bCs/>
          <w:i w:val="false"/>
          <w:iCs w:val="false"/>
          <w:caps w:val="false"/>
          <w:smallCaps w:val="false"/>
          <w:color w:val="000000"/>
          <w:spacing w:val="0"/>
          <w:sz w:val="24"/>
          <w:szCs w:val="24"/>
          <w:u w:val="none"/>
          <w:lang w:val="en-US"/>
        </w:rPr>
        <w:t>I-</w:t>
      </w:r>
      <w:r>
        <w:rPr>
          <w:rStyle w:val="InternetLink"/>
          <w:rFonts w:eastAsia="Arial" w:cs="Arial" w:ascii="Arial" w:hAnsi="Arial"/>
          <w:b/>
          <w:bCs/>
          <w:i w:val="false"/>
          <w:iCs w:val="false"/>
          <w:caps w:val="false"/>
          <w:smallCaps w:val="false"/>
          <w:color w:val="000000"/>
          <w:spacing w:val="0"/>
          <w:sz w:val="24"/>
          <w:szCs w:val="24"/>
          <w:u w:val="none"/>
          <w:lang w:val="en-US"/>
        </w:rPr>
        <w:t xml:space="preserve">6: The associations of the single risk factors with child emotional and behavioral outcome. </w:t>
      </w:r>
      <w:r>
        <w:rPr>
          <w:rStyle w:val="InternetLink"/>
          <w:rFonts w:eastAsia="Arial" w:cs="Arial" w:ascii="Arial" w:hAnsi="Arial"/>
          <w:b w:val="false"/>
          <w:bCs w:val="false"/>
          <w:i w:val="false"/>
          <w:iCs w:val="false"/>
          <w:caps w:val="false"/>
          <w:smallCaps w:val="false"/>
          <w:color w:val="000000"/>
          <w:spacing w:val="0"/>
          <w:sz w:val="24"/>
          <w:szCs w:val="24"/>
          <w:u w:val="none"/>
          <w:lang w:val="en-US"/>
        </w:rPr>
        <w:t>The associations were assessed as regression estimates in multiple regression analyses. Beta values are shown. P-values: red &lt;0.001, orange &lt;0.01, yellow &lt;0.05.</w:t>
      </w:r>
    </w:p>
    <w:p>
      <w:pPr>
        <w:pStyle w:val="Normal"/>
        <w:widowControl w:val="false"/>
        <w:bidi w:val="0"/>
        <w:spacing w:lineRule="auto" w:line="480" w:before="0" w:after="240"/>
        <w:jc w:val="both"/>
        <w:rPr>
          <w:rFonts w:ascii="Arial" w:hAnsi="Arial" w:eastAsia="Arial"/>
          <w:i w:val="false"/>
          <w:i w:val="false"/>
          <w:iCs w:val="false"/>
          <w:caps w:val="false"/>
          <w:smallCaps w:val="false"/>
          <w:color w:val="000000"/>
          <w:spacing w:val="0"/>
          <w:sz w:val="22"/>
          <w:szCs w:val="22"/>
          <w:u w:val="none"/>
          <w:lang w:val="en-US"/>
        </w:rPr>
      </w:pPr>
      <w:r>
        <w:rPr>
          <w:rFonts w:eastAsia="Arial" w:ascii="Arial" w:hAnsi="Arial"/>
          <w:i w:val="false"/>
          <w:iCs w:val="false"/>
          <w:caps w:val="false"/>
          <w:smallCaps w:val="false"/>
          <w:color w:val="000000"/>
          <w:spacing w:val="0"/>
          <w:sz w:val="22"/>
          <w:szCs w:val="22"/>
          <w:u w:val="none"/>
          <w:lang w:val="en-US"/>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6400800" cy="2130425"/>
            <wp:effectExtent l="0" t="0" r="0" b="0"/>
            <wp:wrapSquare wrapText="largest"/>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tretch>
                      <a:fillRect/>
                    </a:stretch>
                  </pic:blipFill>
                  <pic:spPr bwMode="auto">
                    <a:xfrm>
                      <a:off x="0" y="0"/>
                      <a:ext cx="6400800" cy="2130425"/>
                    </a:xfrm>
                    <a:prstGeom prst="rect">
                      <a:avLst/>
                    </a:prstGeom>
                  </pic:spPr>
                </pic:pic>
              </a:graphicData>
            </a:graphic>
          </wp:anchor>
        </w:drawing>
      </w:r>
    </w:p>
    <w:p>
      <w:pPr>
        <w:pStyle w:val="Normal"/>
        <w:widowControl w:val="false"/>
        <w:bidi w:val="0"/>
        <w:spacing w:lineRule="auto" w:line="480" w:before="0" w:after="240"/>
        <w:jc w:val="both"/>
        <w:rPr>
          <w:rFonts w:ascii="Arial" w:hAnsi="Arial" w:eastAsia="Arial" w:cs="Arial"/>
          <w:b/>
          <w:b/>
          <w:bCs/>
          <w:i w:val="false"/>
          <w:i w:val="false"/>
          <w:iCs w:val="false"/>
          <w:caps w:val="false"/>
          <w:smallCaps w:val="false"/>
          <w:color w:val="000000"/>
          <w:spacing w:val="0"/>
          <w:sz w:val="22"/>
          <w:szCs w:val="22"/>
          <w:u w:val="none"/>
          <w:lang w:val="en-US"/>
        </w:rPr>
      </w:pPr>
      <w:r>
        <w:rPr>
          <w:rFonts w:eastAsia="Arial" w:cs="Arial" w:ascii="Arial" w:hAnsi="Arial"/>
          <w:b/>
          <w:bCs/>
          <w:i w:val="false"/>
          <w:iCs w:val="false"/>
          <w:caps w:val="false"/>
          <w:smallCaps w:val="false"/>
          <w:color w:val="000000"/>
          <w:spacing w:val="0"/>
          <w:sz w:val="22"/>
          <w:szCs w:val="22"/>
          <w:u w:val="none"/>
          <w:lang w:val="en-US"/>
        </w:rPr>
      </w:r>
      <w:r>
        <w:br w:type="page"/>
      </w:r>
    </w:p>
    <w:p>
      <w:pPr>
        <w:pStyle w:val="Normal"/>
        <w:widowControl w:val="false"/>
        <w:bidi w:val="0"/>
        <w:spacing w:lineRule="auto" w:line="360" w:before="58" w:after="58"/>
        <w:jc w:val="both"/>
        <w:rPr/>
      </w:pPr>
      <w:r>
        <w:rPr>
          <w:rStyle w:val="InternetLink"/>
          <w:rFonts w:eastAsia="Arial" w:cs="Arial" w:ascii="Arial" w:hAnsi="Arial"/>
          <w:b/>
          <w:bCs/>
          <w:i w:val="false"/>
          <w:iCs w:val="false"/>
          <w:caps w:val="false"/>
          <w:smallCaps w:val="false"/>
          <w:color w:val="000000"/>
          <w:spacing w:val="0"/>
          <w:sz w:val="24"/>
          <w:szCs w:val="24"/>
          <w:u w:val="none"/>
          <w:lang w:val="en-US"/>
        </w:rPr>
        <w:t>Figure S</w:t>
      </w:r>
      <w:r>
        <w:rPr>
          <w:rStyle w:val="InternetLink"/>
          <w:rFonts w:eastAsia="Arial" w:cs="Arial" w:ascii="Arial" w:hAnsi="Arial"/>
          <w:b/>
          <w:bCs/>
          <w:i w:val="false"/>
          <w:iCs w:val="false"/>
          <w:caps w:val="false"/>
          <w:smallCaps w:val="false"/>
          <w:color w:val="000000"/>
          <w:spacing w:val="0"/>
          <w:sz w:val="24"/>
          <w:szCs w:val="24"/>
          <w:u w:val="none"/>
          <w:lang w:val="en-US"/>
        </w:rPr>
        <w:t>I-</w:t>
      </w:r>
      <w:r>
        <w:rPr>
          <w:rStyle w:val="InternetLink"/>
          <w:rFonts w:eastAsia="Arial" w:cs="Arial" w:ascii="Arial" w:hAnsi="Arial"/>
          <w:b/>
          <w:bCs/>
          <w:i w:val="false"/>
          <w:iCs w:val="false"/>
          <w:caps w:val="false"/>
          <w:smallCaps w:val="false"/>
          <w:color w:val="000000"/>
          <w:spacing w:val="0"/>
          <w:sz w:val="24"/>
          <w:szCs w:val="24"/>
          <w:u w:val="none"/>
          <w:lang w:val="en-US"/>
        </w:rPr>
        <w:t>1: SDQ scores and pre- and postnatal adversity.</w:t>
      </w:r>
      <w:r>
        <w:rPr>
          <w:rStyle w:val="InternetLink"/>
          <w:rFonts w:eastAsia="Arial" w:cs="Arial" w:ascii="Arial" w:hAnsi="Arial"/>
          <w:b w:val="false"/>
          <w:bCs w:val="false"/>
          <w:i w:val="false"/>
          <w:iCs w:val="false"/>
          <w:caps w:val="false"/>
          <w:smallCaps w:val="false"/>
          <w:color w:val="000000"/>
          <w:spacing w:val="0"/>
          <w:sz w:val="24"/>
          <w:szCs w:val="24"/>
          <w:u w:val="none"/>
          <w:lang w:val="en-US"/>
        </w:rPr>
        <w:t xml:space="preserve"> SDQ scores (mean values and their confidence intervals) are depicted for children, split into four groups: 1) PRE-AS=0 and POST-DS=0 (0/0), 2) PRE-AS&gt;0 and POST-DS=0 (&gt;0/0), 3) PRE-AS=0 and POST-DS&gt;0 (0/&gt;0), and 4) PRE-AS&gt;0 and POST-DS&gt;0 (&gt;0/&gt;0). Significant differences were found for most of the comparisons with group 4. Significant differences comparing PRE-AS=0 versus PRE-AS&gt;0 under the condition of no postnatal distress were observed for SDQ F3 and SDQ Sum scores at 4 and 5 years and SDQ F2 scores at 5 years. No significances are reported for the group 0/&gt;0.</w:t>
      </w:r>
    </w:p>
    <w:p>
      <w:pPr>
        <w:pStyle w:val="Normal"/>
        <w:widowControl w:val="false"/>
        <w:bidi w:val="0"/>
        <w:spacing w:lineRule="auto" w:line="360" w:before="58" w:after="58"/>
        <w:jc w:val="both"/>
        <w:rPr>
          <w:rStyle w:val="InternetLink"/>
          <w:rFonts w:ascii="Arial" w:hAnsi="Arial" w:eastAsia="Arial" w:cs="Arial"/>
          <w:b w:val="false"/>
          <w:b w:val="false"/>
          <w:bCs w:val="false"/>
          <w:i w:val="false"/>
          <w:i w:val="false"/>
          <w:iCs w:val="false"/>
          <w:caps w:val="false"/>
          <w:smallCaps w:val="false"/>
          <w:color w:val="000000"/>
          <w:spacing w:val="0"/>
          <w:sz w:val="24"/>
          <w:szCs w:val="24"/>
          <w:u w:val="none"/>
          <w:lang w:val="en-US"/>
        </w:rPr>
      </w:pPr>
      <w:r>
        <w:rPr/>
      </w:r>
    </w:p>
    <w:p>
      <w:pPr>
        <w:pStyle w:val="Normal"/>
        <w:widowControl w:val="false"/>
        <w:bidi w:val="0"/>
        <w:spacing w:lineRule="auto" w:line="480" w:before="0" w:after="240"/>
        <w:jc w:val="both"/>
        <w:rPr>
          <w:rFonts w:ascii="Arial" w:hAnsi="Arial" w:cs="Arial"/>
          <w:b/>
          <w:b/>
          <w:bCs/>
        </w:rPr>
      </w:pPr>
      <w:r>
        <w:rPr>
          <w:rFonts w:cs="Arial" w:ascii="Arial" w:hAnsi="Arial"/>
          <w:b/>
          <w:bCs/>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6120130" cy="3441700"/>
            <wp:effectExtent l="0" t="0" r="0" b="0"/>
            <wp:wrapSquare wrapText="largest"/>
            <wp:docPr id="2"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 descr=""/>
                    <pic:cNvPicPr>
                      <a:picLocks noChangeAspect="1" noChangeArrowheads="1"/>
                    </pic:cNvPicPr>
                  </pic:nvPicPr>
                  <pic:blipFill>
                    <a:blip r:embed="rId3"/>
                    <a:stretch>
                      <a:fillRect/>
                    </a:stretch>
                  </pic:blipFill>
                  <pic:spPr bwMode="auto">
                    <a:xfrm>
                      <a:off x="0" y="0"/>
                      <a:ext cx="6120130" cy="3441700"/>
                    </a:xfrm>
                    <a:prstGeom prst="rect">
                      <a:avLst/>
                    </a:prstGeom>
                  </pic:spPr>
                </pic:pic>
              </a:graphicData>
            </a:graphic>
          </wp:anchor>
        </w:drawing>
      </w:r>
    </w:p>
    <w:p>
      <w:pPr>
        <w:pStyle w:val="Normal"/>
        <w:widowControl w:val="false"/>
        <w:bidi w:val="0"/>
        <w:spacing w:lineRule="auto" w:line="240" w:before="0" w:after="0"/>
        <w:jc w:val="both"/>
        <w:rPr>
          <w:rStyle w:val="InternetLink"/>
          <w:rFonts w:eastAsia="Arial"/>
          <w:i w:val="false"/>
          <w:i w:val="false"/>
          <w:iCs w:val="false"/>
          <w:caps w:val="false"/>
          <w:smallCaps w:val="false"/>
          <w:color w:val="000000"/>
          <w:spacing w:val="0"/>
          <w:sz w:val="24"/>
          <w:szCs w:val="24"/>
          <w:u w:val="none"/>
          <w:lang w:val="en-US"/>
        </w:rPr>
      </w:pPr>
      <w:r>
        <w:rPr>
          <w:rFonts w:eastAsia="Arial" w:cs="Arial" w:ascii="Arial" w:hAnsi="Arial"/>
          <w:b/>
          <w:bCs/>
          <w:i w:val="false"/>
          <w:iCs w:val="false"/>
          <w:caps w:val="false"/>
          <w:smallCaps w:val="false"/>
          <w:color w:val="000000"/>
          <w:spacing w:val="0"/>
          <w:sz w:val="24"/>
          <w:szCs w:val="24"/>
          <w:u w:val="none"/>
          <w:lang w:val="en-US"/>
        </w:rPr>
      </w:r>
      <w:r>
        <w:br w:type="page"/>
      </w:r>
    </w:p>
    <w:p>
      <w:pPr>
        <w:pStyle w:val="Normal"/>
        <w:widowControl w:val="false"/>
        <w:bidi w:val="0"/>
        <w:spacing w:lineRule="auto" w:line="360" w:before="0" w:after="0"/>
        <w:jc w:val="both"/>
        <w:rPr/>
      </w:pPr>
      <w:r>
        <w:rPr>
          <w:rStyle w:val="InternetLink"/>
          <w:rFonts w:eastAsia="Arial" w:cs="Arial" w:ascii="Arial" w:hAnsi="Arial"/>
          <w:b/>
          <w:bCs/>
          <w:i w:val="false"/>
          <w:iCs w:val="false"/>
          <w:caps w:val="false"/>
          <w:smallCaps w:val="false"/>
          <w:color w:val="000000"/>
          <w:spacing w:val="0"/>
          <w:sz w:val="24"/>
          <w:szCs w:val="24"/>
          <w:u w:val="none"/>
          <w:lang w:val="en-US"/>
        </w:rPr>
        <w:t>Figure S</w:t>
      </w:r>
      <w:r>
        <w:rPr>
          <w:rStyle w:val="InternetLink"/>
          <w:rFonts w:eastAsia="Arial" w:cs="Arial" w:ascii="Arial" w:hAnsi="Arial"/>
          <w:b/>
          <w:bCs/>
          <w:i w:val="false"/>
          <w:iCs w:val="false"/>
          <w:caps w:val="false"/>
          <w:smallCaps w:val="false"/>
          <w:color w:val="000000"/>
          <w:spacing w:val="0"/>
          <w:sz w:val="24"/>
          <w:szCs w:val="24"/>
          <w:u w:val="none"/>
          <w:lang w:val="en-US"/>
        </w:rPr>
        <w:t>I-</w:t>
      </w:r>
      <w:r>
        <w:rPr>
          <w:rStyle w:val="InternetLink"/>
          <w:rFonts w:eastAsia="Arial" w:cs="Arial" w:ascii="Arial" w:hAnsi="Arial"/>
          <w:b/>
          <w:bCs/>
          <w:i w:val="false"/>
          <w:iCs w:val="false"/>
          <w:caps w:val="false"/>
          <w:smallCaps w:val="false"/>
          <w:color w:val="000000"/>
          <w:spacing w:val="0"/>
          <w:sz w:val="24"/>
          <w:szCs w:val="24"/>
          <w:u w:val="none"/>
          <w:lang w:val="en-US"/>
        </w:rPr>
        <w:t>2:</w:t>
      </w:r>
      <w:r>
        <w:rPr>
          <w:rStyle w:val="InternetLink"/>
          <w:rFonts w:eastAsia="Arial" w:cs="Arial" w:ascii="Arial" w:hAnsi="Arial"/>
          <w:b w:val="false"/>
          <w:bCs w:val="false"/>
          <w:i w:val="false"/>
          <w:iCs w:val="false"/>
          <w:caps w:val="false"/>
          <w:smallCaps w:val="false"/>
          <w:color w:val="000000"/>
          <w:spacing w:val="0"/>
          <w:sz w:val="24"/>
          <w:szCs w:val="24"/>
          <w:u w:val="none"/>
          <w:lang w:val="en-US"/>
        </w:rPr>
        <w:t xml:space="preserve"> A three-dimensional scatterplot of the distribution of PRE-AS scores, right  amygdalar volumes and SDQ F3 scores in 4-year old girls (N=38)</w:t>
      </w:r>
    </w:p>
    <w:p>
      <w:pPr>
        <w:pStyle w:val="Normal"/>
        <w:widowControl w:val="false"/>
        <w:bidi w:val="0"/>
        <w:spacing w:lineRule="auto" w:line="240" w:before="0" w:after="0"/>
        <w:jc w:val="both"/>
        <w:rPr>
          <w:rStyle w:val="InternetLink"/>
          <w:rFonts w:eastAsia="Arial"/>
          <w:b w:val="false"/>
          <w:b w:val="false"/>
          <w:bCs w:val="false"/>
          <w:i w:val="false"/>
          <w:i w:val="false"/>
          <w:iCs w:val="false"/>
          <w:caps w:val="false"/>
          <w:smallCaps w:val="false"/>
          <w:color w:val="000000"/>
          <w:spacing w:val="0"/>
          <w:sz w:val="24"/>
          <w:szCs w:val="24"/>
          <w:u w:val="none"/>
          <w:lang w:val="en-US"/>
        </w:rPr>
      </w:pPr>
      <w:r>
        <w:rPr>
          <w:rFonts w:eastAsia="Arial"/>
          <w:b w:val="false"/>
          <w:bCs w:val="false"/>
          <w:i w:val="false"/>
          <w:iCs w:val="false"/>
          <w:caps w:val="false"/>
          <w:smallCaps w:val="false"/>
          <w:color w:val="000000"/>
          <w:spacing w:val="0"/>
          <w:sz w:val="24"/>
          <w:szCs w:val="24"/>
          <w:u w:val="none"/>
          <w:lang w:val="en-US"/>
        </w:rPr>
      </w:r>
    </w:p>
    <w:p>
      <w:pPr>
        <w:pStyle w:val="Normal"/>
        <w:widowControl w:val="false"/>
        <w:bidi w:val="0"/>
        <w:spacing w:lineRule="auto" w:line="240" w:before="0" w:after="0"/>
        <w:jc w:val="both"/>
        <w:rPr>
          <w:rStyle w:val="InternetLink"/>
          <w:rFonts w:eastAsia="Arial"/>
          <w:b w:val="false"/>
          <w:b w:val="false"/>
          <w:bCs w:val="false"/>
          <w:i w:val="false"/>
          <w:i w:val="false"/>
          <w:iCs w:val="false"/>
          <w:caps w:val="false"/>
          <w:smallCaps w:val="false"/>
          <w:color w:val="000000"/>
          <w:spacing w:val="0"/>
          <w:sz w:val="24"/>
          <w:szCs w:val="24"/>
          <w:u w:val="none"/>
          <w:lang w:val="en-US"/>
        </w:rPr>
      </w:pPr>
      <w:r>
        <w:rPr>
          <w:rFonts w:eastAsia="Arial"/>
          <w:b w:val="false"/>
          <w:bCs w:val="false"/>
          <w:i w:val="false"/>
          <w:iCs w:val="false"/>
          <w:caps w:val="false"/>
          <w:smallCaps w:val="false"/>
          <w:color w:val="000000"/>
          <w:spacing w:val="0"/>
          <w:sz w:val="24"/>
          <w:szCs w:val="24"/>
          <w:u w:val="none"/>
          <w:lang w:val="en-US"/>
        </w:rPr>
      </w:r>
    </w:p>
    <w:p>
      <w:pPr>
        <w:pStyle w:val="Normal"/>
        <w:widowControl w:val="false"/>
        <w:bidi w:val="0"/>
        <w:spacing w:lineRule="auto" w:line="240" w:before="0" w:after="0"/>
        <w:jc w:val="both"/>
        <w:rPr>
          <w:rStyle w:val="InternetLink"/>
          <w:rFonts w:eastAsia="Arial"/>
          <w:b w:val="false"/>
          <w:b w:val="false"/>
          <w:bCs w:val="false"/>
          <w:i w:val="false"/>
          <w:i w:val="false"/>
          <w:iCs w:val="false"/>
          <w:caps w:val="false"/>
          <w:smallCaps w:val="false"/>
          <w:color w:val="000000"/>
          <w:spacing w:val="0"/>
          <w:sz w:val="24"/>
          <w:szCs w:val="24"/>
          <w:u w:val="none"/>
          <w:lang w:val="en-US"/>
        </w:rPr>
      </w:pPr>
      <w:r>
        <w:rPr>
          <w:rFonts w:eastAsia="Arial"/>
          <w:b w:val="false"/>
          <w:bCs w:val="false"/>
          <w:i w:val="false"/>
          <w:iCs w:val="false"/>
          <w:caps w:val="false"/>
          <w:smallCaps w:val="false"/>
          <w:color w:val="000000"/>
          <w:spacing w:val="0"/>
          <w:sz w:val="24"/>
          <w:szCs w:val="24"/>
          <w:u w:val="none"/>
          <w:lang w:val="en-US"/>
        </w:rPr>
        <w:drawing>
          <wp:anchor behindDoc="0" distT="0" distB="0" distL="0" distR="0" simplePos="0" locked="0" layoutInCell="1" allowOverlap="1" relativeHeight="4">
            <wp:simplePos x="0" y="0"/>
            <wp:positionH relativeFrom="column">
              <wp:posOffset>895350</wp:posOffset>
            </wp:positionH>
            <wp:positionV relativeFrom="paragraph">
              <wp:posOffset>118110</wp:posOffset>
            </wp:positionV>
            <wp:extent cx="4288790" cy="4279265"/>
            <wp:effectExtent l="0" t="0" r="0" b="0"/>
            <wp:wrapSquare wrapText="largest"/>
            <wp:docPr id="3" name="Image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3" descr=""/>
                    <pic:cNvPicPr>
                      <a:picLocks noChangeAspect="1" noChangeArrowheads="1"/>
                    </pic:cNvPicPr>
                  </pic:nvPicPr>
                  <pic:blipFill>
                    <a:blip r:embed="rId4"/>
                    <a:stretch>
                      <a:fillRect/>
                    </a:stretch>
                  </pic:blipFill>
                  <pic:spPr bwMode="auto">
                    <a:xfrm>
                      <a:off x="0" y="0"/>
                      <a:ext cx="4288790" cy="4279265"/>
                    </a:xfrm>
                    <a:prstGeom prst="rect">
                      <a:avLst/>
                    </a:prstGeom>
                  </pic:spPr>
                </pic:pic>
              </a:graphicData>
            </a:graphic>
          </wp:anchor>
        </w:drawing>
      </w:r>
    </w:p>
    <w:p>
      <w:pPr>
        <w:pStyle w:val="Normal"/>
        <w:widowControl w:val="false"/>
        <w:bidi w:val="0"/>
        <w:spacing w:lineRule="auto" w:line="240" w:before="0" w:after="0"/>
        <w:jc w:val="both"/>
        <w:rPr>
          <w:rStyle w:val="InternetLink"/>
          <w:rFonts w:eastAsia="Arial"/>
          <w:b w:val="false"/>
          <w:b w:val="false"/>
          <w:bCs w:val="false"/>
          <w:i w:val="false"/>
          <w:i w:val="false"/>
          <w:iCs w:val="false"/>
          <w:caps w:val="false"/>
          <w:smallCaps w:val="false"/>
          <w:color w:val="000000"/>
          <w:spacing w:val="0"/>
          <w:sz w:val="24"/>
          <w:szCs w:val="24"/>
          <w:u w:val="none"/>
          <w:lang w:val="en-US"/>
        </w:rPr>
      </w:pPr>
      <w:r>
        <w:rPr>
          <w:rFonts w:eastAsia="Arial"/>
          <w:b w:val="false"/>
          <w:bCs w:val="false"/>
          <w:i w:val="false"/>
          <w:iCs w:val="false"/>
          <w:caps w:val="false"/>
          <w:smallCaps w:val="false"/>
          <w:color w:val="000000"/>
          <w:spacing w:val="0"/>
          <w:sz w:val="24"/>
          <w:szCs w:val="24"/>
          <w:u w:val="none"/>
          <w:lang w:val="en-US"/>
        </w:rPr>
      </w:r>
    </w:p>
    <w:p>
      <w:pPr>
        <w:pStyle w:val="Normal"/>
        <w:widowControl w:val="false"/>
        <w:bidi w:val="0"/>
        <w:spacing w:lineRule="auto" w:line="240" w:before="0" w:after="0"/>
        <w:jc w:val="both"/>
        <w:rPr>
          <w:rStyle w:val="InternetLink"/>
          <w:rFonts w:ascii="Arial" w:hAnsi="Arial" w:eastAsia="Arial" w:cs="Arial"/>
          <w:b/>
          <w:b/>
          <w:bCs/>
          <w:i w:val="false"/>
          <w:i w:val="false"/>
          <w:iCs w:val="false"/>
          <w:caps w:val="false"/>
          <w:smallCaps w:val="false"/>
          <w:color w:val="000000"/>
          <w:spacing w:val="0"/>
          <w:sz w:val="24"/>
          <w:szCs w:val="24"/>
          <w:u w:val="none"/>
          <w:lang w:val="en-US"/>
        </w:rPr>
      </w:pPr>
      <w:r>
        <w:rPr>
          <w:rFonts w:eastAsia="Arial" w:cs="Arial" w:ascii="Arial" w:hAnsi="Arial"/>
          <w:b/>
          <w:bCs/>
          <w:i w:val="false"/>
          <w:iCs w:val="false"/>
          <w:caps w:val="false"/>
          <w:smallCaps w:val="false"/>
          <w:color w:val="000000"/>
          <w:spacing w:val="0"/>
          <w:sz w:val="24"/>
          <w:szCs w:val="24"/>
          <w:u w:val="none"/>
          <w:lang w:val="en-US"/>
        </w:rPr>
      </w:r>
    </w:p>
    <w:p>
      <w:pPr>
        <w:pStyle w:val="Normal"/>
        <w:widowControl w:val="false"/>
        <w:bidi w:val="0"/>
        <w:spacing w:lineRule="auto" w:line="480" w:before="0" w:after="240"/>
        <w:jc w:val="both"/>
        <w:rPr>
          <w:rStyle w:val="InternetLink"/>
          <w:rFonts w:ascii="Arial" w:hAnsi="Arial" w:eastAsia="Arial" w:cs="Arial"/>
          <w:b w:val="false"/>
          <w:b w:val="false"/>
          <w:bCs w:val="false"/>
          <w:i w:val="false"/>
          <w:i w:val="false"/>
          <w:iCs w:val="false"/>
          <w:caps w:val="false"/>
          <w:smallCaps w:val="false"/>
          <w:color w:val="000000"/>
          <w:spacing w:val="0"/>
          <w:sz w:val="24"/>
          <w:szCs w:val="24"/>
          <w:u w:val="none"/>
          <w:lang w:val="en-US"/>
        </w:rPr>
      </w:pPr>
      <w:r>
        <w:rPr>
          <w:rFonts w:eastAsia="Arial" w:cs="Arial" w:ascii="Arial" w:hAnsi="Arial"/>
          <w:b w:val="false"/>
          <w:bCs w:val="false"/>
          <w:i w:val="false"/>
          <w:iCs w:val="false"/>
          <w:caps w:val="false"/>
          <w:smallCaps w:val="false"/>
          <w:color w:val="000000"/>
          <w:spacing w:val="0"/>
          <w:sz w:val="24"/>
          <w:szCs w:val="24"/>
          <w:u w:val="none"/>
          <w:lang w:val="en-US"/>
        </w:rPr>
      </w:r>
    </w:p>
    <w:p>
      <w:pPr>
        <w:pStyle w:val="Normal"/>
        <w:widowControl w:val="false"/>
        <w:bidi w:val="0"/>
        <w:spacing w:lineRule="auto" w:line="480" w:before="0" w:after="240"/>
        <w:jc w:val="both"/>
        <w:rPr>
          <w:rStyle w:val="InternetLink"/>
          <w:rFonts w:ascii="Arial" w:hAnsi="Arial" w:eastAsia="Arial" w:cs="Arial"/>
          <w:b w:val="false"/>
          <w:b w:val="false"/>
          <w:bCs w:val="false"/>
          <w:i w:val="false"/>
          <w:i w:val="false"/>
          <w:iCs w:val="false"/>
          <w:caps w:val="false"/>
          <w:smallCaps w:val="false"/>
          <w:color w:val="000000"/>
          <w:spacing w:val="0"/>
          <w:sz w:val="24"/>
          <w:szCs w:val="24"/>
          <w:u w:val="none"/>
          <w:lang w:val="en-US"/>
        </w:rPr>
      </w:pPr>
      <w:r>
        <w:rPr>
          <w:rFonts w:eastAsia="Arial" w:cs="Arial" w:ascii="Arial" w:hAnsi="Arial"/>
          <w:b w:val="false"/>
          <w:bCs w:val="false"/>
          <w:i w:val="false"/>
          <w:iCs w:val="false"/>
          <w:caps w:val="false"/>
          <w:smallCaps w:val="false"/>
          <w:color w:val="000000"/>
          <w:spacing w:val="0"/>
          <w:sz w:val="24"/>
          <w:szCs w:val="24"/>
          <w:u w:val="none"/>
          <w:lang w:val="en-US"/>
        </w:rPr>
      </w:r>
    </w:p>
    <w:p>
      <w:pPr>
        <w:pStyle w:val="Normal"/>
        <w:widowControl w:val="false"/>
        <w:bidi w:val="0"/>
        <w:spacing w:lineRule="auto" w:line="480" w:before="0" w:after="240"/>
        <w:jc w:val="both"/>
        <w:rPr>
          <w:rStyle w:val="InternetLink"/>
          <w:rFonts w:ascii="Arial" w:hAnsi="Arial" w:eastAsia="Arial" w:cs="Arial"/>
          <w:b w:val="false"/>
          <w:b w:val="false"/>
          <w:bCs w:val="false"/>
          <w:i w:val="false"/>
          <w:i w:val="false"/>
          <w:iCs w:val="false"/>
          <w:caps w:val="false"/>
          <w:smallCaps w:val="false"/>
          <w:color w:val="000000"/>
          <w:spacing w:val="0"/>
          <w:sz w:val="24"/>
          <w:szCs w:val="24"/>
          <w:u w:val="none"/>
          <w:lang w:val="en-US"/>
        </w:rPr>
      </w:pPr>
      <w:r>
        <w:rPr>
          <w:rFonts w:eastAsia="Arial" w:cs="Arial" w:ascii="Arial" w:hAnsi="Arial"/>
          <w:b w:val="false"/>
          <w:bCs w:val="false"/>
          <w:i w:val="false"/>
          <w:iCs w:val="false"/>
          <w:caps w:val="false"/>
          <w:smallCaps w:val="false"/>
          <w:color w:val="000000"/>
          <w:spacing w:val="0"/>
          <w:sz w:val="24"/>
          <w:szCs w:val="24"/>
          <w:u w:val="none"/>
          <w:lang w:val="en-US"/>
        </w:rPr>
      </w:r>
    </w:p>
    <w:p>
      <w:pPr>
        <w:pStyle w:val="Normal"/>
        <w:widowControl w:val="false"/>
        <w:bidi w:val="0"/>
        <w:spacing w:lineRule="auto" w:line="480" w:before="0" w:after="240"/>
        <w:jc w:val="both"/>
        <w:rPr>
          <w:rStyle w:val="InternetLink"/>
          <w:rFonts w:ascii="Arial" w:hAnsi="Arial" w:eastAsia="Arial" w:cs="Arial"/>
          <w:b w:val="false"/>
          <w:b w:val="false"/>
          <w:bCs w:val="false"/>
          <w:i w:val="false"/>
          <w:i w:val="false"/>
          <w:iCs w:val="false"/>
          <w:caps w:val="false"/>
          <w:smallCaps w:val="false"/>
          <w:color w:val="000000"/>
          <w:spacing w:val="0"/>
          <w:sz w:val="24"/>
          <w:szCs w:val="24"/>
          <w:u w:val="none"/>
          <w:lang w:val="en-US"/>
        </w:rPr>
      </w:pPr>
      <w:r>
        <w:rPr>
          <w:rFonts w:eastAsia="Arial" w:cs="Arial" w:ascii="Arial" w:hAnsi="Arial"/>
          <w:b w:val="false"/>
          <w:bCs w:val="false"/>
          <w:i w:val="false"/>
          <w:iCs w:val="false"/>
          <w:caps w:val="false"/>
          <w:smallCaps w:val="false"/>
          <w:color w:val="000000"/>
          <w:spacing w:val="0"/>
          <w:sz w:val="24"/>
          <w:szCs w:val="24"/>
          <w:u w:val="none"/>
          <w:lang w:val="en-US"/>
        </w:rPr>
      </w:r>
    </w:p>
    <w:p>
      <w:pPr>
        <w:pStyle w:val="Normal"/>
        <w:widowControl w:val="false"/>
        <w:bidi w:val="0"/>
        <w:spacing w:lineRule="auto" w:line="480" w:before="0" w:after="240"/>
        <w:jc w:val="both"/>
        <w:rPr>
          <w:rStyle w:val="InternetLink"/>
          <w:rFonts w:ascii="Arial" w:hAnsi="Arial" w:eastAsia="Arial" w:cs="Arial"/>
          <w:b w:val="false"/>
          <w:b w:val="false"/>
          <w:bCs w:val="false"/>
          <w:i w:val="false"/>
          <w:i w:val="false"/>
          <w:iCs w:val="false"/>
          <w:caps w:val="false"/>
          <w:smallCaps w:val="false"/>
          <w:color w:val="000000"/>
          <w:spacing w:val="0"/>
          <w:sz w:val="24"/>
          <w:szCs w:val="24"/>
          <w:u w:val="none"/>
          <w:lang w:val="en-US"/>
        </w:rPr>
      </w:pPr>
      <w:r>
        <w:rPr>
          <w:rFonts w:eastAsia="Arial" w:cs="Arial" w:ascii="Arial" w:hAnsi="Arial"/>
          <w:b w:val="false"/>
          <w:bCs w:val="false"/>
          <w:i w:val="false"/>
          <w:iCs w:val="false"/>
          <w:caps w:val="false"/>
          <w:smallCaps w:val="false"/>
          <w:color w:val="000000"/>
          <w:spacing w:val="0"/>
          <w:sz w:val="24"/>
          <w:szCs w:val="24"/>
          <w:u w:val="none"/>
          <w:lang w:val="en-US"/>
        </w:rPr>
      </w:r>
    </w:p>
    <w:p>
      <w:pPr>
        <w:pStyle w:val="Normal"/>
        <w:widowControl w:val="false"/>
        <w:bidi w:val="0"/>
        <w:spacing w:lineRule="auto" w:line="480" w:before="0" w:after="240"/>
        <w:jc w:val="both"/>
        <w:rPr>
          <w:rStyle w:val="InternetLink"/>
          <w:rFonts w:ascii="Arial" w:hAnsi="Arial" w:eastAsia="Arial" w:cs="Arial"/>
          <w:b w:val="false"/>
          <w:b w:val="false"/>
          <w:bCs w:val="false"/>
          <w:i w:val="false"/>
          <w:i w:val="false"/>
          <w:iCs w:val="false"/>
          <w:caps w:val="false"/>
          <w:smallCaps w:val="false"/>
          <w:color w:val="000000"/>
          <w:spacing w:val="0"/>
          <w:sz w:val="24"/>
          <w:szCs w:val="24"/>
          <w:u w:val="none"/>
          <w:lang w:val="en-US"/>
        </w:rPr>
      </w:pPr>
      <w:r>
        <w:rPr>
          <w:rFonts w:eastAsia="Arial" w:cs="Arial" w:ascii="Arial" w:hAnsi="Arial"/>
          <w:b w:val="false"/>
          <w:bCs w:val="false"/>
          <w:i w:val="false"/>
          <w:iCs w:val="false"/>
          <w:caps w:val="false"/>
          <w:smallCaps w:val="false"/>
          <w:color w:val="000000"/>
          <w:spacing w:val="0"/>
          <w:sz w:val="24"/>
          <w:szCs w:val="24"/>
          <w:u w:val="none"/>
          <w:lang w:val="en-US"/>
        </w:rPr>
      </w:r>
    </w:p>
    <w:p>
      <w:pPr>
        <w:pStyle w:val="Normal"/>
        <w:widowControl w:val="false"/>
        <w:bidi w:val="0"/>
        <w:spacing w:lineRule="auto" w:line="480" w:before="0" w:after="240"/>
        <w:jc w:val="both"/>
        <w:rPr>
          <w:rStyle w:val="InternetLink"/>
          <w:rFonts w:ascii="Arial" w:hAnsi="Arial" w:eastAsia="Arial" w:cs="Arial"/>
          <w:b w:val="false"/>
          <w:b w:val="false"/>
          <w:bCs w:val="false"/>
          <w:i w:val="false"/>
          <w:i w:val="false"/>
          <w:iCs w:val="false"/>
          <w:caps w:val="false"/>
          <w:smallCaps w:val="false"/>
          <w:color w:val="000000"/>
          <w:spacing w:val="0"/>
          <w:sz w:val="24"/>
          <w:szCs w:val="24"/>
          <w:u w:val="none"/>
          <w:lang w:val="en-US"/>
        </w:rPr>
      </w:pPr>
      <w:r>
        <w:rPr>
          <w:rFonts w:eastAsia="Arial" w:cs="Arial" w:ascii="Arial" w:hAnsi="Arial"/>
          <w:b w:val="false"/>
          <w:bCs w:val="false"/>
          <w:i w:val="false"/>
          <w:iCs w:val="false"/>
          <w:caps w:val="false"/>
          <w:smallCaps w:val="false"/>
          <w:color w:val="000000"/>
          <w:spacing w:val="0"/>
          <w:sz w:val="24"/>
          <w:szCs w:val="24"/>
          <w:u w:val="none"/>
          <w:lang w:val="en-US"/>
        </w:rPr>
      </w:r>
    </w:p>
    <w:p>
      <w:pPr>
        <w:pStyle w:val="Normal"/>
        <w:widowControl w:val="false"/>
        <w:bidi w:val="0"/>
        <w:spacing w:lineRule="auto" w:line="480" w:before="0" w:after="240"/>
        <w:jc w:val="both"/>
        <w:rPr>
          <w:rStyle w:val="InternetLink"/>
          <w:rFonts w:ascii="Arial" w:hAnsi="Arial" w:eastAsia="Arial" w:cs="Arial"/>
          <w:b w:val="false"/>
          <w:b w:val="false"/>
          <w:bCs w:val="false"/>
          <w:i w:val="false"/>
          <w:i w:val="false"/>
          <w:iCs w:val="false"/>
          <w:caps w:val="false"/>
          <w:smallCaps w:val="false"/>
          <w:color w:val="000000"/>
          <w:spacing w:val="0"/>
          <w:sz w:val="24"/>
          <w:szCs w:val="24"/>
          <w:u w:val="none"/>
          <w:lang w:val="en-US"/>
        </w:rPr>
      </w:pPr>
      <w:r>
        <w:rPr>
          <w:rFonts w:eastAsia="Arial" w:cs="Arial" w:ascii="Arial" w:hAnsi="Arial"/>
          <w:b w:val="false"/>
          <w:bCs w:val="false"/>
          <w:i w:val="false"/>
          <w:iCs w:val="false"/>
          <w:caps w:val="false"/>
          <w:smallCaps w:val="false"/>
          <w:color w:val="000000"/>
          <w:spacing w:val="0"/>
          <w:sz w:val="24"/>
          <w:szCs w:val="24"/>
          <w:u w:val="none"/>
          <w:lang w:val="en-US"/>
        </w:rPr>
      </w:r>
    </w:p>
    <w:p>
      <w:pPr>
        <w:pStyle w:val="Normal"/>
        <w:widowControl w:val="false"/>
        <w:bidi w:val="0"/>
        <w:spacing w:lineRule="auto" w:line="480" w:before="0" w:after="240"/>
        <w:jc w:val="both"/>
        <w:rPr>
          <w:rStyle w:val="InternetLink"/>
          <w:rFonts w:ascii="Arial" w:hAnsi="Arial" w:eastAsia="Arial" w:cs="Arial"/>
          <w:b w:val="false"/>
          <w:b w:val="false"/>
          <w:bCs w:val="false"/>
          <w:i w:val="false"/>
          <w:i w:val="false"/>
          <w:iCs w:val="false"/>
          <w:caps w:val="false"/>
          <w:smallCaps w:val="false"/>
          <w:color w:val="000000"/>
          <w:spacing w:val="0"/>
          <w:sz w:val="24"/>
          <w:szCs w:val="24"/>
          <w:u w:val="none"/>
          <w:lang w:val="en-US"/>
        </w:rPr>
      </w:pPr>
      <w:r>
        <w:rPr>
          <w:rFonts w:eastAsia="Arial" w:cs="Arial" w:ascii="Arial" w:hAnsi="Arial"/>
          <w:b w:val="false"/>
          <w:bCs w:val="false"/>
          <w:i w:val="false"/>
          <w:iCs w:val="false"/>
          <w:caps w:val="false"/>
          <w:smallCaps w:val="false"/>
          <w:color w:val="000000"/>
          <w:spacing w:val="0"/>
          <w:sz w:val="24"/>
          <w:szCs w:val="24"/>
          <w:u w:val="none"/>
          <w:lang w:val="en-US"/>
        </w:rPr>
      </w:r>
    </w:p>
    <w:p>
      <w:pPr>
        <w:pStyle w:val="Normal"/>
        <w:widowControl w:val="false"/>
        <w:bidi w:val="0"/>
        <w:spacing w:lineRule="auto" w:line="480" w:before="0" w:after="240"/>
        <w:jc w:val="both"/>
        <w:rPr>
          <w:rFonts w:ascii="Arial" w:hAnsi="Arial" w:eastAsia="Arial" w:cs="Arial"/>
          <w:b/>
          <w:b/>
          <w:bCs/>
          <w:i w:val="false"/>
          <w:i w:val="false"/>
          <w:iCs w:val="false"/>
          <w:caps w:val="false"/>
          <w:smallCaps w:val="false"/>
          <w:color w:val="000000"/>
          <w:spacing w:val="0"/>
          <w:sz w:val="22"/>
          <w:szCs w:val="22"/>
          <w:u w:val="none"/>
          <w:lang w:val="en-US"/>
        </w:rPr>
      </w:pPr>
      <w:r>
        <w:rPr>
          <w:rFonts w:eastAsia="Arial" w:cs="Arial" w:ascii="Arial" w:hAnsi="Arial"/>
          <w:b/>
          <w:bCs/>
          <w:i w:val="false"/>
          <w:iCs w:val="false"/>
          <w:caps w:val="false"/>
          <w:smallCaps w:val="false"/>
          <w:color w:val="000000"/>
          <w:spacing w:val="0"/>
          <w:sz w:val="22"/>
          <w:szCs w:val="22"/>
          <w:u w:val="none"/>
          <w:lang w:val="en-US"/>
        </w:rPr>
      </w:r>
      <w:r>
        <w:br w:type="page"/>
      </w:r>
    </w:p>
    <w:p>
      <w:pPr>
        <w:pStyle w:val="Normal"/>
        <w:widowControl w:val="false"/>
        <w:bidi w:val="0"/>
        <w:spacing w:lineRule="auto" w:line="480" w:before="0" w:after="240"/>
        <w:jc w:val="both"/>
        <w:rPr>
          <w:rFonts w:ascii="Arial" w:hAnsi="Arial" w:cs="Arial"/>
          <w:b/>
          <w:b/>
          <w:bCs/>
        </w:rPr>
      </w:pPr>
      <w:r>
        <w:rPr>
          <w:rStyle w:val="InternetLink"/>
          <w:rFonts w:eastAsia="Arial" w:cs="Arial" w:ascii="Arial" w:hAnsi="Arial"/>
          <w:b/>
          <w:bCs/>
          <w:i w:val="false"/>
          <w:iCs w:val="false"/>
          <w:caps w:val="false"/>
          <w:smallCaps w:val="false"/>
          <w:color w:val="000000"/>
          <w:spacing w:val="0"/>
          <w:sz w:val="24"/>
          <w:szCs w:val="24"/>
          <w:u w:val="none"/>
          <w:lang w:val="en-US"/>
        </w:rPr>
        <w:t>References:</w:t>
      </w:r>
    </w:p>
    <w:p>
      <w:pPr>
        <w:pStyle w:val="Normal"/>
        <w:widowControl w:val="false"/>
        <w:bidi w:val="0"/>
        <w:spacing w:lineRule="auto" w:line="480" w:before="0" w:after="240"/>
        <w:jc w:val="both"/>
        <w:rPr>
          <w:rFonts w:ascii="Arial" w:hAnsi="Arial" w:cs="Arial"/>
          <w:b/>
          <w:b/>
          <w:bCs/>
        </w:rPr>
      </w:pPr>
      <w:r>
        <w:rPr>
          <w:rStyle w:val="InternetLink"/>
          <w:rFonts w:eastAsia="Arial" w:cs="Arial" w:ascii="Arial" w:hAnsi="Arial"/>
          <w:b/>
          <w:bCs/>
          <w:i w:val="false"/>
          <w:iCs w:val="false"/>
          <w:caps w:val="false"/>
          <w:smallCaps w:val="false"/>
          <w:color w:val="000000"/>
          <w:spacing w:val="0"/>
          <w:sz w:val="22"/>
          <w:szCs w:val="22"/>
          <w:u w:val="none"/>
          <w:lang w:val="en-US"/>
        </w:rPr>
        <w:t xml:space="preserve"> </w:t>
      </w:r>
    </w:p>
    <w:p>
      <w:pPr>
        <w:sectPr>
          <w:type w:val="nextPage"/>
          <w:pgSz w:w="11906" w:h="16838"/>
          <w:pgMar w:left="1134" w:right="1134" w:header="0" w:top="1134" w:footer="0" w:bottom="1134" w:gutter="0"/>
          <w:pgNumType w:fmt="decimal"/>
          <w:formProt w:val="false"/>
          <w:textDirection w:val="lrTb"/>
          <w:docGrid w:type="default" w:linePitch="312" w:charSpace="0"/>
        </w:sectPr>
      </w:pPr>
    </w:p>
    <w:p>
      <w:pPr>
        <w:pStyle w:val="Normal"/>
        <w:spacing w:lineRule="auto" w:line="288" w:before="0" w:after="140"/>
        <w:ind w:left="480" w:right="0" w:hanging="480"/>
        <w:rPr>
          <w:rFonts w:ascii="Arial" w:hAnsi="Arial"/>
          <w:sz w:val="22"/>
        </w:rPr>
      </w:pPr>
      <w:r>
        <w:rPr>
          <w:rFonts w:ascii="Arial" w:hAnsi="Arial"/>
          <w:sz w:val="22"/>
        </w:rPr>
        <w:t xml:space="preserve">Campbell, K. S. J., Williams, L. J., Bjornson, B. H., Weik, E., Brain, U., Grunau, R. E., Miller, S. P., &amp; Oberlander, T. F. (2021). Prenatal antidepressant exposure and sex differences in neonatal corpus callosum microstructure. </w:t>
      </w:r>
      <w:r>
        <w:rPr>
          <w:rFonts w:ascii="Arial" w:hAnsi="Arial"/>
          <w:i/>
          <w:sz w:val="22"/>
        </w:rPr>
        <w:t>Developmental Psychobiology</w:t>
      </w:r>
      <w:r>
        <w:rPr>
          <w:rFonts w:ascii="Arial" w:hAnsi="Arial"/>
          <w:sz w:val="22"/>
        </w:rPr>
        <w:t xml:space="preserve">, </w:t>
      </w:r>
      <w:r>
        <w:rPr>
          <w:rFonts w:ascii="Arial" w:hAnsi="Arial"/>
          <w:i/>
          <w:sz w:val="22"/>
        </w:rPr>
        <w:t>63</w:t>
      </w:r>
      <w:r>
        <w:rPr>
          <w:rFonts w:ascii="Arial" w:hAnsi="Arial"/>
          <w:sz w:val="22"/>
        </w:rPr>
        <w:t>(6), 1–15. https://doi.org/10.1002/dev.22125</w:t>
      </w:r>
    </w:p>
    <w:p>
      <w:pPr>
        <w:pStyle w:val="Normal"/>
        <w:spacing w:lineRule="auto" w:line="288" w:before="0" w:after="140"/>
        <w:ind w:left="480" w:right="0" w:hanging="480"/>
        <w:rPr>
          <w:rFonts w:ascii="Arial" w:hAnsi="Arial"/>
          <w:sz w:val="22"/>
        </w:rPr>
      </w:pPr>
      <w:r>
        <w:rPr>
          <w:rFonts w:ascii="Arial" w:hAnsi="Arial"/>
          <w:sz w:val="22"/>
        </w:rPr>
        <w:t xml:space="preserve">El Marroun, H., White, T., Verhulst, F. C., &amp; Tiemeier, H. (2014). Maternal use of antidepressant or anxiolytic medication during pregnancy and childhood neurodevelopmental outcomes: a systematic review. </w:t>
      </w:r>
      <w:r>
        <w:rPr>
          <w:rFonts w:ascii="Arial" w:hAnsi="Arial"/>
          <w:i/>
          <w:sz w:val="22"/>
        </w:rPr>
        <w:t>European Child and Adolescent Psychiatry</w:t>
      </w:r>
      <w:r>
        <w:rPr>
          <w:rFonts w:ascii="Arial" w:hAnsi="Arial"/>
          <w:sz w:val="22"/>
        </w:rPr>
        <w:t xml:space="preserve">, </w:t>
      </w:r>
      <w:r>
        <w:rPr>
          <w:rFonts w:ascii="Arial" w:hAnsi="Arial"/>
          <w:i/>
          <w:sz w:val="22"/>
        </w:rPr>
        <w:t>23</w:t>
      </w:r>
      <w:r>
        <w:rPr>
          <w:rFonts w:ascii="Arial" w:hAnsi="Arial"/>
          <w:sz w:val="22"/>
        </w:rPr>
        <w:t>(10), 973–992. https://doi.org/10.1007/s00787-014-0558-3</w:t>
      </w:r>
    </w:p>
    <w:p>
      <w:pPr>
        <w:pStyle w:val="Normal"/>
        <w:spacing w:lineRule="auto" w:line="288" w:before="0" w:after="140"/>
        <w:ind w:left="480" w:right="0" w:hanging="480"/>
        <w:rPr>
          <w:rFonts w:ascii="Arial" w:hAnsi="Arial"/>
          <w:sz w:val="22"/>
        </w:rPr>
      </w:pPr>
      <w:r>
        <w:rPr>
          <w:rFonts w:ascii="Arial" w:hAnsi="Arial"/>
          <w:sz w:val="22"/>
        </w:rPr>
        <w:t xml:space="preserve">Field, T. (2017). Prenatal Depression Risk Factors, Developmental Effects and Interventions: A Review. </w:t>
      </w:r>
      <w:r>
        <w:rPr>
          <w:rFonts w:ascii="Arial" w:hAnsi="Arial"/>
          <w:i/>
          <w:sz w:val="22"/>
        </w:rPr>
        <w:t>Journal of Pregnancy and Child Health</w:t>
      </w:r>
      <w:r>
        <w:rPr>
          <w:rFonts w:ascii="Arial" w:hAnsi="Arial"/>
          <w:sz w:val="22"/>
        </w:rPr>
        <w:t xml:space="preserve">, </w:t>
      </w:r>
      <w:r>
        <w:rPr>
          <w:rFonts w:ascii="Arial" w:hAnsi="Arial"/>
          <w:i/>
          <w:sz w:val="22"/>
        </w:rPr>
        <w:t>04</w:t>
      </w:r>
      <w:r>
        <w:rPr>
          <w:rFonts w:ascii="Arial" w:hAnsi="Arial"/>
          <w:sz w:val="22"/>
        </w:rPr>
        <w:t>(01), 1–12. https://doi.org/10.4172/2376-127x.1000301</w:t>
      </w:r>
    </w:p>
    <w:p>
      <w:pPr>
        <w:pStyle w:val="Normal"/>
        <w:spacing w:lineRule="auto" w:line="288" w:before="0" w:after="140"/>
        <w:ind w:left="480" w:right="0" w:hanging="480"/>
        <w:rPr>
          <w:rFonts w:ascii="Arial" w:hAnsi="Arial"/>
          <w:sz w:val="22"/>
        </w:rPr>
      </w:pPr>
      <w:r>
        <w:rPr>
          <w:rFonts w:ascii="Arial" w:hAnsi="Arial"/>
          <w:sz w:val="22"/>
        </w:rPr>
        <w:t xml:space="preserve">Karlsson, L., Tolvanen, M., Scheinin, N. M., Uusitupa, H.-M., Korja, R., Ekholm, E., Tuulari, J. J., Pajulo, M., Huotilainen, M., Paunio, T., Karlsson, H., &amp; Group, F. B. C. S. (2018). Cohort Profile: The FinnBrain Birth Cohort Study (FinnBrain). </w:t>
      </w:r>
      <w:r>
        <w:rPr>
          <w:rFonts w:ascii="Arial" w:hAnsi="Arial"/>
          <w:i/>
          <w:sz w:val="22"/>
        </w:rPr>
        <w:t>International Journal of Epidemiology</w:t>
      </w:r>
      <w:r>
        <w:rPr>
          <w:rFonts w:ascii="Arial" w:hAnsi="Arial"/>
          <w:sz w:val="22"/>
        </w:rPr>
        <w:t xml:space="preserve">, </w:t>
      </w:r>
      <w:r>
        <w:rPr>
          <w:rFonts w:ascii="Arial" w:hAnsi="Arial"/>
          <w:i/>
          <w:sz w:val="22"/>
        </w:rPr>
        <w:t>47</w:t>
      </w:r>
      <w:r>
        <w:rPr>
          <w:rFonts w:ascii="Arial" w:hAnsi="Arial"/>
          <w:sz w:val="22"/>
        </w:rPr>
        <w:t>(1), 15-16j. https://doi.org/10.1093/ije/dyx173</w:t>
      </w:r>
    </w:p>
    <w:p>
      <w:pPr>
        <w:pStyle w:val="Normal"/>
        <w:spacing w:lineRule="auto" w:line="288" w:before="0" w:after="140"/>
        <w:ind w:left="480" w:right="0" w:hanging="480"/>
        <w:rPr>
          <w:rFonts w:ascii="Arial" w:hAnsi="Arial"/>
          <w:sz w:val="22"/>
        </w:rPr>
      </w:pPr>
      <w:r>
        <w:rPr>
          <w:rFonts w:ascii="Arial" w:hAnsi="Arial"/>
          <w:sz w:val="22"/>
        </w:rPr>
        <w:t xml:space="preserve">Levis, B., Negeri, Z., Sun, Y., Benedetti, A., &amp; Thombs, B. D. (2020). Accuracy of the Edinburgh Postnatal Depression Scale (EPDS) for screening to detect major depression among pregnant and postpartum women: Systematic review and meta-analysis of individual participant data. </w:t>
      </w:r>
      <w:r>
        <w:rPr>
          <w:rFonts w:ascii="Arial" w:hAnsi="Arial"/>
          <w:i/>
          <w:sz w:val="22"/>
        </w:rPr>
        <w:t>The BMJ</w:t>
      </w:r>
      <w:r>
        <w:rPr>
          <w:rFonts w:ascii="Arial" w:hAnsi="Arial"/>
          <w:sz w:val="22"/>
        </w:rPr>
        <w:t xml:space="preserve">, </w:t>
      </w:r>
      <w:r>
        <w:rPr>
          <w:rFonts w:ascii="Arial" w:hAnsi="Arial"/>
          <w:i/>
          <w:sz w:val="22"/>
        </w:rPr>
        <w:t>371</w:t>
      </w:r>
      <w:r>
        <w:rPr>
          <w:rFonts w:ascii="Arial" w:hAnsi="Arial"/>
          <w:sz w:val="22"/>
        </w:rPr>
        <w:t>. https://doi.org/10.1136/bmj.m4022</w:t>
      </w:r>
    </w:p>
    <w:p>
      <w:pPr>
        <w:pStyle w:val="Normal"/>
        <w:spacing w:lineRule="auto" w:line="288" w:before="0" w:after="140"/>
        <w:ind w:left="480" w:right="0" w:hanging="480"/>
        <w:rPr>
          <w:rFonts w:ascii="Arial" w:hAnsi="Arial"/>
          <w:sz w:val="22"/>
        </w:rPr>
      </w:pPr>
      <w:r>
        <w:rPr>
          <w:rFonts w:ascii="Arial" w:hAnsi="Arial"/>
          <w:sz w:val="22"/>
        </w:rPr>
        <w:t xml:space="preserve">Lyubenova, A., Neupane, D., Levis, B., Wu, Y., Sun, Y., He, C., Krishnan, A., Bhandari, P. M., Negeri, Z., Imran, M., Rice, D. B., Azar, M., Chiovitti, M. J., Saadat, N., Riehm, K. E., Boruff, J. T., Ioannidis, J. P. A., Cuijpers, P., Gilbody, S., … Thombs, B. D. (2021). Depression prevalence based on the Edinburgh Postnatal Depression Scale compared to Structured Clinical Interview for DSM DIsorders classification: Systematic review and individual participant data meta-analysis. </w:t>
      </w:r>
      <w:r>
        <w:rPr>
          <w:rFonts w:ascii="Arial" w:hAnsi="Arial"/>
          <w:i/>
          <w:sz w:val="22"/>
        </w:rPr>
        <w:t>International Journal of Methods in Psychiatric Research</w:t>
      </w:r>
      <w:r>
        <w:rPr>
          <w:rFonts w:ascii="Arial" w:hAnsi="Arial"/>
          <w:sz w:val="22"/>
        </w:rPr>
        <w:t xml:space="preserve">, </w:t>
      </w:r>
      <w:r>
        <w:rPr>
          <w:rFonts w:ascii="Arial" w:hAnsi="Arial"/>
          <w:i/>
          <w:sz w:val="22"/>
        </w:rPr>
        <w:t>30</w:t>
      </w:r>
      <w:r>
        <w:rPr>
          <w:rFonts w:ascii="Arial" w:hAnsi="Arial"/>
          <w:sz w:val="22"/>
        </w:rPr>
        <w:t>(1). https://doi.org/10.1002/mpr.1860</w:t>
      </w:r>
    </w:p>
    <w:p>
      <w:pPr>
        <w:pStyle w:val="Normal"/>
        <w:spacing w:lineRule="auto" w:line="288" w:before="0" w:after="140"/>
        <w:ind w:left="480" w:right="0" w:hanging="480"/>
        <w:rPr>
          <w:rFonts w:ascii="Arial" w:hAnsi="Arial"/>
          <w:sz w:val="22"/>
        </w:rPr>
      </w:pPr>
      <w:r>
        <w:rPr>
          <w:rFonts w:ascii="Arial" w:hAnsi="Arial"/>
          <w:sz w:val="22"/>
        </w:rPr>
        <w:t xml:space="preserve">Pawluski, J. L., &amp; Gemmel, M. (2018). Perinatal SSRI medications and offspring hippocampal plasticity: interaction with maternal stress and sex. </w:t>
      </w:r>
      <w:r>
        <w:rPr>
          <w:rFonts w:ascii="Arial" w:hAnsi="Arial"/>
          <w:i/>
          <w:sz w:val="22"/>
        </w:rPr>
        <w:t>Hormones</w:t>
      </w:r>
      <w:r>
        <w:rPr>
          <w:rFonts w:ascii="Arial" w:hAnsi="Arial"/>
          <w:sz w:val="22"/>
        </w:rPr>
        <w:t xml:space="preserve">, </w:t>
      </w:r>
      <w:r>
        <w:rPr>
          <w:rFonts w:ascii="Arial" w:hAnsi="Arial"/>
          <w:i/>
          <w:sz w:val="22"/>
        </w:rPr>
        <w:t>17</w:t>
      </w:r>
      <w:r>
        <w:rPr>
          <w:rFonts w:ascii="Arial" w:hAnsi="Arial"/>
          <w:sz w:val="22"/>
        </w:rPr>
        <w:t>(1), 15–24. https://doi.org/10.1007/s42000-018-0011-y</w:t>
      </w:r>
    </w:p>
    <w:p>
      <w:pPr>
        <w:pStyle w:val="Normal"/>
        <w:spacing w:lineRule="auto" w:line="288" w:before="0" w:after="140"/>
        <w:ind w:left="480" w:right="0" w:hanging="480"/>
        <w:rPr>
          <w:rFonts w:ascii="Arial" w:hAnsi="Arial"/>
          <w:sz w:val="22"/>
        </w:rPr>
      </w:pPr>
      <w:r>
        <w:rPr>
          <w:rFonts w:ascii="Arial" w:hAnsi="Arial"/>
          <w:sz w:val="22"/>
        </w:rPr>
        <w:t xml:space="preserve">Pedersen, G., &amp; Karterud, S. (2004). Is SCL-90R helpful for the clinician in assessing DSM-IV symptom disorders? </w:t>
      </w:r>
      <w:r>
        <w:rPr>
          <w:rFonts w:ascii="Arial" w:hAnsi="Arial"/>
          <w:i/>
          <w:sz w:val="22"/>
        </w:rPr>
        <w:t>Acta Psychiatrica Scandinavica</w:t>
      </w:r>
      <w:r>
        <w:rPr>
          <w:rFonts w:ascii="Arial" w:hAnsi="Arial"/>
          <w:sz w:val="22"/>
        </w:rPr>
        <w:t xml:space="preserve">, </w:t>
      </w:r>
      <w:r>
        <w:rPr>
          <w:rFonts w:ascii="Arial" w:hAnsi="Arial"/>
          <w:i/>
          <w:sz w:val="22"/>
        </w:rPr>
        <w:t>110</w:t>
      </w:r>
      <w:r>
        <w:rPr>
          <w:rFonts w:ascii="Arial" w:hAnsi="Arial"/>
          <w:sz w:val="22"/>
        </w:rPr>
        <w:t xml:space="preserve">(3), 215–224. </w:t>
      </w:r>
      <w:bookmarkStart w:id="0" w:name="__DdeLink__18485_4170937748"/>
      <w:r>
        <w:rPr>
          <w:rFonts w:ascii="Arial" w:hAnsi="Arial"/>
          <w:sz w:val="22"/>
        </w:rPr>
        <w:t>https://doi.org/10.1111/j.1600-0447.2004.00321.x</w:t>
      </w:r>
      <w:bookmarkEnd w:id="0"/>
    </w:p>
    <w:p>
      <w:pPr>
        <w:pStyle w:val="Normal"/>
        <w:spacing w:lineRule="auto" w:line="288" w:before="0" w:after="140"/>
        <w:ind w:left="480" w:right="0" w:hanging="480"/>
        <w:rPr>
          <w:rFonts w:ascii="Arial" w:hAnsi="Arial"/>
          <w:sz w:val="22"/>
        </w:rPr>
      </w:pPr>
      <w:r>
        <w:rPr>
          <w:rFonts w:ascii="Arial" w:hAnsi="Arial"/>
          <w:sz w:val="22"/>
        </w:rPr>
        <w:t xml:space="preserve">Revelle, W. (2018). </w:t>
      </w:r>
      <w:r>
        <w:rPr>
          <w:rFonts w:ascii="Arial" w:hAnsi="Arial"/>
          <w:i/>
          <w:sz w:val="22"/>
        </w:rPr>
        <w:t>psych: Procedures for Personality and Psychological Research</w:t>
      </w:r>
      <w:r>
        <w:rPr>
          <w:rFonts w:ascii="Arial" w:hAnsi="Arial"/>
          <w:sz w:val="22"/>
        </w:rPr>
        <w:t>. Northwestern University. https://cran.r-project.org/package=psych Version = 1.8.3.</w:t>
      </w:r>
    </w:p>
    <w:p>
      <w:pPr>
        <w:pStyle w:val="Normal"/>
        <w:rPr>
          <w:rFonts w:ascii="Arial" w:hAnsi="Arial"/>
          <w:sz w:val="22"/>
        </w:rPr>
      </w:pPr>
      <w:r>
        <w:rPr>
          <w:rFonts w:ascii="Arial" w:hAnsi="Arial"/>
          <w:sz w:val="22"/>
        </w:rPr>
        <w:t xml:space="preserve">Stekhoven, D. J. (2013). </w:t>
      </w:r>
      <w:r>
        <w:rPr>
          <w:rFonts w:ascii="Arial" w:hAnsi="Arial"/>
          <w:i/>
          <w:sz w:val="22"/>
        </w:rPr>
        <w:t>missForest: Nonparametric Missing Value Imputation using Random Forest.</w:t>
      </w:r>
      <w:r>
        <w:rPr>
          <w:rFonts w:ascii="Arial" w:hAnsi="Arial"/>
          <w:sz w:val="22"/>
        </w:rPr>
        <w:t xml:space="preserve"> (R package version 1.4).</w:t>
      </w:r>
    </w:p>
    <w:p>
      <w:pPr>
        <w:sectPr>
          <w:type w:val="continuous"/>
          <w:pgSz w:w="11906" w:h="16838"/>
          <w:pgMar w:left="1134" w:right="1134" w:header="0" w:top="1134" w:footer="0" w:bottom="1134" w:gutter="0"/>
          <w:formProt w:val="false"/>
          <w:textDirection w:val="lrTb"/>
          <w:docGrid w:type="default" w:linePitch="312" w:charSpace="0"/>
        </w:sectPr>
      </w:pPr>
    </w:p>
    <w:p>
      <w:pPr>
        <w:pStyle w:val="Normal"/>
        <w:widowControl w:val="false"/>
        <w:bidi w:val="0"/>
        <w:spacing w:lineRule="auto" w:line="480" w:before="0" w:after="240"/>
        <w:jc w:val="both"/>
        <w:rPr/>
      </w:pPr>
      <w:r>
        <w:rPr>
          <w:rStyle w:val="InternetLink"/>
          <w:rFonts w:eastAsia="Arial" w:cs="Arial" w:ascii="Arial" w:hAnsi="Arial"/>
          <w:b/>
          <w:bCs/>
          <w:i w:val="false"/>
          <w:iCs w:val="false"/>
          <w:caps w:val="false"/>
          <w:smallCaps w:val="false"/>
          <w:color w:val="000000"/>
          <w:spacing w:val="0"/>
          <w:sz w:val="22"/>
          <w:szCs w:val="22"/>
          <w:u w:val="none"/>
          <w:lang w:val="en-US"/>
        </w:rPr>
        <w:t xml:space="preserve"> </w:t>
      </w:r>
    </w:p>
    <w:sectPr>
      <w:type w:val="continuous"/>
      <w:pgSz w:w="11906" w:h="16838"/>
      <w:pgMar w:left="1134" w:right="1134" w:header="0" w:top="1134"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71"/>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0"/>
        <w:szCs w:val="24"/>
        <w:lang w:val="en-US"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SimSun" w:cs="Lucida Sans"/>
      <w:color w:val="00000A"/>
      <w:kern w:val="2"/>
      <w:sz w:val="24"/>
      <w:szCs w:val="24"/>
      <w:lang w:val="en-US" w:eastAsia="zh-CN" w:bidi="hi-IN"/>
    </w:rPr>
  </w:style>
  <w:style w:type="paragraph" w:styleId="Heading3">
    <w:name w:val="Heading 3"/>
    <w:basedOn w:val="Heading"/>
    <w:qFormat/>
    <w:pPr>
      <w:numPr>
        <w:ilvl w:val="2"/>
        <w:numId w:val="1"/>
      </w:numPr>
      <w:spacing w:before="58" w:after="115"/>
      <w:outlineLvl w:val="2"/>
    </w:pPr>
    <w:rPr>
      <w:rFonts w:ascii="Arial" w:hAnsi="Arial" w:cs="Arial"/>
      <w:b/>
      <w:bCs w:val="false"/>
      <w:sz w:val="24"/>
      <w:szCs w:val="28"/>
    </w:rPr>
  </w:style>
  <w:style w:type="character" w:styleId="InternetLink">
    <w:name w:val="Internet Link"/>
    <w:rPr>
      <w:color w:val="000080"/>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ableContents">
    <w:name w:val="Table Contents"/>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tif"/><Relationship Id="rId4" Type="http://schemas.openxmlformats.org/officeDocument/2006/relationships/image" Target="media/image3.tif"/><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2266</TotalTime>
  <Application>LibreOffice/6.0.3.2$Windows_X86_64 LibreOffice_project/8f48d515416608e3a835360314dac7e47fd0b821</Application>
  <Pages>12</Pages>
  <Words>2871</Words>
  <Characters>16541</Characters>
  <CharactersWithSpaces>18720</CharactersWithSpaces>
  <Paragraphs>708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2022-06-06T15:05:51Z</dcterms:created>
  <dc:creator/>
  <dc:description/>
  <dc:language>en-US</dc:language>
  <cp:lastModifiedBy/>
  <dcterms:modified xsi:type="dcterms:W3CDTF">2023-03-15T22:40:57Z</dcterms:modified>
  <cp:revision>130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Mendeley Document_1">
    <vt:lpwstr>True</vt:lpwstr>
  </property>
  <property fmtid="{D5CDD505-2E9C-101B-9397-08002B2CF9AE}" pid="4" name="Mendeley Unique User Id_1">
    <vt:lpwstr>5c3623f4-fadb-3aa9-9165-23fa3a496c4e</vt:lpwstr>
  </property>
</Properties>
</file>