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FB973" w14:textId="065FACE9" w:rsidR="00057164" w:rsidRPr="00057164" w:rsidRDefault="00057164" w:rsidP="00057164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bookmarkStart w:id="0" w:name="_Hlk109647862"/>
      <w:bookmarkStart w:id="1" w:name="_Hlk109313091"/>
      <w:bookmarkEnd w:id="0"/>
      <w:r w:rsidRPr="00057164">
        <w:rPr>
          <w:rFonts w:ascii="Arial" w:hAnsi="Arial" w:cs="Arial"/>
          <w:b/>
          <w:bCs/>
          <w:sz w:val="28"/>
          <w:szCs w:val="28"/>
          <w:lang w:val="en-GB"/>
        </w:rPr>
        <w:t>SUPPLEMENTARY MATERIALS</w:t>
      </w:r>
    </w:p>
    <w:p w14:paraId="5BC24136" w14:textId="34519B8F" w:rsidR="00057164" w:rsidRDefault="00057164" w:rsidP="00057164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SUPPLEMENTARY METHODS</w:t>
      </w:r>
    </w:p>
    <w:p w14:paraId="64D3E08A" w14:textId="77777777" w:rsidR="00326C5D" w:rsidRDefault="00057164" w:rsidP="00326C5D">
      <w:pPr>
        <w:spacing w:line="480" w:lineRule="auto"/>
        <w:rPr>
          <w:rFonts w:ascii="Arial" w:hAnsi="Arial" w:cs="Arial"/>
          <w:i/>
          <w:iCs/>
          <w:sz w:val="24"/>
          <w:szCs w:val="24"/>
          <w:lang w:val="en-GB"/>
        </w:rPr>
      </w:pPr>
      <w:r w:rsidRPr="00057164">
        <w:rPr>
          <w:rFonts w:ascii="Arial" w:hAnsi="Arial" w:cs="Arial"/>
          <w:i/>
          <w:iCs/>
          <w:sz w:val="24"/>
          <w:szCs w:val="24"/>
          <w:lang w:val="en-GB"/>
        </w:rPr>
        <w:t xml:space="preserve">Infant </w:t>
      </w:r>
      <w:r w:rsidR="00FD450E">
        <w:rPr>
          <w:rFonts w:ascii="Arial" w:hAnsi="Arial" w:cs="Arial"/>
          <w:i/>
          <w:iCs/>
          <w:sz w:val="24"/>
          <w:szCs w:val="24"/>
          <w:lang w:val="en-GB"/>
        </w:rPr>
        <w:t xml:space="preserve">BDNF </w:t>
      </w:r>
      <w:proofErr w:type="spellStart"/>
      <w:r w:rsidR="00FD450E">
        <w:rPr>
          <w:rFonts w:ascii="Arial" w:hAnsi="Arial" w:cs="Arial"/>
          <w:i/>
          <w:iCs/>
          <w:sz w:val="24"/>
          <w:szCs w:val="24"/>
          <w:lang w:val="en-GB"/>
        </w:rPr>
        <w:t>DNA</w:t>
      </w:r>
      <w:r w:rsidRPr="00057164">
        <w:rPr>
          <w:rFonts w:ascii="Arial" w:hAnsi="Arial" w:cs="Arial"/>
          <w:i/>
          <w:iCs/>
          <w:sz w:val="24"/>
          <w:szCs w:val="24"/>
          <w:lang w:val="en-GB"/>
        </w:rPr>
        <w:t>m</w:t>
      </w:r>
      <w:proofErr w:type="spellEnd"/>
      <w:r w:rsidRPr="00057164">
        <w:rPr>
          <w:rFonts w:ascii="Arial" w:hAnsi="Arial" w:cs="Arial"/>
          <w:i/>
          <w:iCs/>
          <w:sz w:val="24"/>
          <w:szCs w:val="24"/>
          <w:lang w:val="en-GB"/>
        </w:rPr>
        <w:t xml:space="preserve"> analysis</w:t>
      </w:r>
    </w:p>
    <w:p w14:paraId="2A160FC3" w14:textId="5CD46B8F" w:rsidR="006B59B9" w:rsidRPr="00326C5D" w:rsidRDefault="006B59B9" w:rsidP="00326C5D">
      <w:pPr>
        <w:spacing w:line="480" w:lineRule="auto"/>
        <w:ind w:firstLine="709"/>
        <w:rPr>
          <w:rFonts w:ascii="Arial" w:hAnsi="Arial" w:cs="Arial"/>
          <w:i/>
          <w:iCs/>
          <w:sz w:val="24"/>
          <w:szCs w:val="24"/>
          <w:lang w:val="en-GB"/>
        </w:rPr>
      </w:pPr>
      <w:r w:rsidRPr="00AB60E3">
        <w:rPr>
          <w:rFonts w:ascii="Arial" w:hAnsi="Arial" w:cs="Arial"/>
          <w:sz w:val="24"/>
          <w:szCs w:val="24"/>
          <w:lang w:val="en-GB"/>
        </w:rPr>
        <w:t xml:space="preserve">We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analyzed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one </w:t>
      </w:r>
      <w:r w:rsidR="00326C5D">
        <w:rPr>
          <w:rFonts w:ascii="Arial" w:hAnsi="Arial" w:cs="Arial"/>
          <w:sz w:val="24"/>
          <w:szCs w:val="24"/>
          <w:lang w:val="en-GB"/>
        </w:rPr>
        <w:t xml:space="preserve">target </w:t>
      </w:r>
      <w:r w:rsidR="00326C5D" w:rsidRPr="00FB2AEF">
        <w:rPr>
          <w:rFonts w:ascii="Arial" w:hAnsi="Arial" w:cs="Arial"/>
          <w:sz w:val="24"/>
          <w:szCs w:val="24"/>
          <w:lang w:val="en-GB"/>
        </w:rPr>
        <w:t xml:space="preserve">region of the </w:t>
      </w:r>
      <w:r w:rsidR="00326C5D" w:rsidRPr="00FB2AEF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  <w:lang w:val="en-GB"/>
        </w:rPr>
        <w:t>BDNF</w:t>
      </w:r>
      <w:r w:rsidR="00326C5D" w:rsidRP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 xml:space="preserve"> gene </w:t>
      </w:r>
      <w:r w:rsidRPr="00FB2AEF">
        <w:rPr>
          <w:rFonts w:ascii="Arial" w:hAnsi="Arial" w:cs="Arial"/>
          <w:sz w:val="24"/>
          <w:szCs w:val="24"/>
          <w:lang w:val="en-GB"/>
        </w:rPr>
        <w:t>containing</w:t>
      </w:r>
      <w:r w:rsidRPr="00AB60E3">
        <w:rPr>
          <w:rFonts w:ascii="Arial" w:hAnsi="Arial" w:cs="Arial"/>
          <w:sz w:val="24"/>
          <w:szCs w:val="24"/>
          <w:lang w:val="en-GB"/>
        </w:rPr>
        <w:t xml:space="preserve"> 1</w:t>
      </w:r>
      <w:r w:rsidR="00326C5D">
        <w:rPr>
          <w:rFonts w:ascii="Arial" w:hAnsi="Arial" w:cs="Arial"/>
          <w:sz w:val="24"/>
          <w:szCs w:val="24"/>
          <w:lang w:val="en-GB"/>
        </w:rPr>
        <w:t>1</w:t>
      </w:r>
      <w:r w:rsidRPr="00AB60E3">
        <w:rPr>
          <w:rFonts w:ascii="Arial" w:hAnsi="Arial" w:cs="Arial"/>
          <w:sz w:val="24"/>
          <w:szCs w:val="24"/>
          <w:lang w:val="en-GB"/>
        </w:rPr>
        <w:t xml:space="preserve"> CpG sites</w:t>
      </w:r>
      <w:r w:rsidR="00326C5D">
        <w:rPr>
          <w:rFonts w:ascii="Arial" w:hAnsi="Arial" w:cs="Arial"/>
          <w:sz w:val="24"/>
          <w:szCs w:val="24"/>
          <w:lang w:val="en-GB"/>
        </w:rPr>
        <w:t xml:space="preserve"> </w:t>
      </w:r>
      <w:r w:rsidR="00326C5D" w:rsidRP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 xml:space="preserve">(positions </w:t>
      </w:r>
      <w:r w:rsid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detailed in Supplementary Figure 1 and correspondence with previous work reported</w:t>
      </w:r>
      <w:r w:rsidR="00FB2AEF" w:rsidRP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 xml:space="preserve"> in </w:t>
      </w:r>
      <w:r w:rsid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 xml:space="preserve">Supplementary </w:t>
      </w:r>
      <w:r w:rsidR="00FB2AEF" w:rsidRP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Table 1</w:t>
      </w:r>
      <w:r w:rsidR="00326C5D" w:rsidRPr="00FB2AEF">
        <w:rPr>
          <w:rFonts w:ascii="Arial" w:hAnsi="Arial" w:cs="Arial"/>
          <w:color w:val="222222"/>
          <w:sz w:val="24"/>
          <w:szCs w:val="24"/>
          <w:shd w:val="clear" w:color="auto" w:fill="FFFFFF"/>
          <w:lang w:val="en-GB"/>
        </w:rPr>
        <w:t>)</w:t>
      </w:r>
      <w:r w:rsidRPr="00FB2AEF">
        <w:rPr>
          <w:rFonts w:ascii="Arial" w:hAnsi="Arial" w:cs="Arial"/>
          <w:sz w:val="24"/>
          <w:szCs w:val="24"/>
          <w:lang w:val="en-GB"/>
        </w:rPr>
        <w:t>.</w:t>
      </w:r>
      <w:r w:rsidRPr="00AB60E3">
        <w:rPr>
          <w:rFonts w:ascii="Arial" w:hAnsi="Arial" w:cs="Arial"/>
          <w:sz w:val="24"/>
          <w:szCs w:val="24"/>
          <w:lang w:val="en-GB"/>
        </w:rPr>
        <w:t xml:space="preserve"> Methylation levels were determined in DNA using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bisulfite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modification followed by PCR amplification and NGS. Genomic DNA was extracted from 0.2 ml of each sample using the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GenElute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Blood Genomic DNA kit (Sigma).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Bisulfite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conversion was performed on 500 ng of genomic DNA using the EZ DNA methylation kit (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ZymoResearch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, Inc., Irvine, CA, USA). Primers were designed using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Bisulfite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Primer Seeker. A specific tail was added to each primer </w:t>
      </w:r>
      <w:proofErr w:type="gramStart"/>
      <w:r w:rsidRPr="00AB60E3">
        <w:rPr>
          <w:rFonts w:ascii="Arial" w:hAnsi="Arial" w:cs="Arial"/>
          <w:sz w:val="24"/>
          <w:szCs w:val="24"/>
          <w:lang w:val="en-GB"/>
        </w:rPr>
        <w:t>in order to</w:t>
      </w:r>
      <w:proofErr w:type="gramEnd"/>
      <w:r w:rsidRPr="00AB60E3">
        <w:rPr>
          <w:rFonts w:ascii="Arial" w:hAnsi="Arial" w:cs="Arial"/>
          <w:sz w:val="24"/>
          <w:szCs w:val="24"/>
          <w:lang w:val="en-GB"/>
        </w:rPr>
        <w:t xml:space="preserve"> allow synthesis and sequencing of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SureSelect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-like libraries of methylated fragments. Primary PCR-amplification was performed on 20 ng of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bisulfite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-treated DNA using Taq Gold (Life Technologies, Inc.). Cycling comprised 5 min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preactivation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at 95°C, followed by 35 cycles of 94°C denaturation for 15 s, 58°C annealing for 20 s, 72°C elongation for 1.5 min. All PCR products were checked on 2% agarose gels and treated with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Ilustra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Exo Pro-STAR (GE Healthcare) to eliminate unincorporated primers. Secondary PCR was conducted on each sample using a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SureSelect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Custom Amplicon Index Kit (Agilent) containing eight forward (i5) and 12 reverse (i7) index primers. Optimal annealing temperature (68°C) and number of PCR cycles were experimentally determined. Cycling comprised 5 min pre-activation at 95°C, followed by 16 cycles of 94°C denaturation for 15 s, 68°C annealing for 20 s, 72°C elongation for 1 min. All PCR products were checked on 2% agarose gel, and approximately equimolar amounts of each product were purified using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AMPure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XP beads (Beckman Coulter) and pooled (up to 96 libraries/pool). The purified pooled libraries were quantified on a Bioanalyzer 2100 (Agilent) and sequenced on a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NextSeq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 500 (Illumina) </w:t>
      </w:r>
      <w:r w:rsidRPr="00AB60E3">
        <w:rPr>
          <w:rFonts w:ascii="Arial" w:hAnsi="Arial" w:cs="Arial"/>
          <w:sz w:val="24"/>
          <w:szCs w:val="24"/>
          <w:lang w:val="en-GB"/>
        </w:rPr>
        <w:lastRenderedPageBreak/>
        <w:t xml:space="preserve">using a v2 Reagent kit, 2x150 cycles. Paired ends </w:t>
      </w:r>
      <w:proofErr w:type="gramStart"/>
      <w:r w:rsidRPr="00AB60E3">
        <w:rPr>
          <w:rFonts w:ascii="Arial" w:hAnsi="Arial" w:cs="Arial"/>
          <w:sz w:val="24"/>
          <w:szCs w:val="24"/>
          <w:lang w:val="en-GB"/>
        </w:rPr>
        <w:t>reads</w:t>
      </w:r>
      <w:proofErr w:type="gramEnd"/>
      <w:r w:rsidRPr="00AB60E3">
        <w:rPr>
          <w:rFonts w:ascii="Arial" w:hAnsi="Arial" w:cs="Arial"/>
          <w:sz w:val="24"/>
          <w:szCs w:val="24"/>
          <w:lang w:val="en-GB"/>
        </w:rPr>
        <w:t xml:space="preserve"> from each sample were independently aligned to all the reference sequences by a parallel striped Smith–Waterman algorithm. Only paired reads that aligned coherently to the reference sequence were retained. Adaptors were trimmed with TrimGalore-0.6.6; alignment was performed using Bismark_v0.20.0; CpG methylation counting was conducted with </w:t>
      </w:r>
      <w:proofErr w:type="spellStart"/>
      <w:r w:rsidRPr="00AB60E3">
        <w:rPr>
          <w:rFonts w:ascii="Arial" w:hAnsi="Arial" w:cs="Arial"/>
          <w:sz w:val="24"/>
          <w:szCs w:val="24"/>
          <w:lang w:val="en-GB"/>
        </w:rPr>
        <w:t>IGVTools</w:t>
      </w:r>
      <w:proofErr w:type="spellEnd"/>
      <w:r w:rsidRPr="00AB60E3">
        <w:rPr>
          <w:rFonts w:ascii="Arial" w:hAnsi="Arial" w:cs="Arial"/>
          <w:sz w:val="24"/>
          <w:szCs w:val="24"/>
          <w:lang w:val="en-GB"/>
        </w:rPr>
        <w:t xml:space="preserve">. At each CpG site in each sequence, the four base frequencies were evaluated and reported along with the C-to-T percentage. </w:t>
      </w:r>
      <w:r w:rsidRPr="004F6E97">
        <w:rPr>
          <w:rFonts w:ascii="Arial" w:hAnsi="Arial" w:cs="Arial"/>
          <w:sz w:val="24"/>
          <w:szCs w:val="24"/>
          <w:lang w:val="en-GB"/>
        </w:rPr>
        <w:t xml:space="preserve">Average read depth was </w:t>
      </w:r>
      <w:r w:rsidR="0052110C">
        <w:rPr>
          <w:rFonts w:ascii="Arial" w:hAnsi="Arial" w:cs="Arial"/>
          <w:sz w:val="24"/>
          <w:szCs w:val="24"/>
          <w:lang w:val="en-GB"/>
        </w:rPr>
        <w:t xml:space="preserve">28370 </w:t>
      </w:r>
      <w:r w:rsidRPr="004F6E97">
        <w:rPr>
          <w:rFonts w:ascii="Arial" w:hAnsi="Arial" w:cs="Arial"/>
          <w:sz w:val="24"/>
          <w:szCs w:val="24"/>
          <w:lang w:val="en-GB"/>
        </w:rPr>
        <w:t xml:space="preserve">reads. Samples with </w:t>
      </w:r>
      <w:r w:rsidR="00D35BC8" w:rsidRPr="004F6E97">
        <w:rPr>
          <w:rFonts w:ascii="Arial" w:hAnsi="Arial" w:cs="Arial"/>
          <w:sz w:val="24"/>
          <w:szCs w:val="24"/>
          <w:lang w:val="en-GB"/>
        </w:rPr>
        <w:t xml:space="preserve">less than 1000 </w:t>
      </w:r>
      <w:r w:rsidRPr="004F6E97">
        <w:rPr>
          <w:rFonts w:ascii="Arial" w:hAnsi="Arial" w:cs="Arial"/>
          <w:sz w:val="24"/>
          <w:szCs w:val="24"/>
          <w:lang w:val="en-GB"/>
        </w:rPr>
        <w:t>reads were excluded.</w:t>
      </w:r>
    </w:p>
    <w:bookmarkEnd w:id="1"/>
    <w:p w14:paraId="75881181" w14:textId="455EA770" w:rsidR="00AB60E3" w:rsidRPr="004F6E97" w:rsidRDefault="00AB60E3">
      <w:pPr>
        <w:rPr>
          <w:lang w:val="en-US"/>
        </w:rPr>
      </w:pPr>
      <w:r w:rsidRPr="004F6E97">
        <w:rPr>
          <w:lang w:val="en-US"/>
        </w:rPr>
        <w:br w:type="page"/>
      </w:r>
    </w:p>
    <w:p w14:paraId="0D26BEF6" w14:textId="77777777" w:rsidR="00AB60E3" w:rsidRDefault="00AB60E3" w:rsidP="00AB60E3">
      <w:pPr>
        <w:spacing w:line="360" w:lineRule="auto"/>
        <w:rPr>
          <w:rFonts w:ascii="Arial" w:hAnsi="Arial" w:cs="Arial"/>
          <w:b/>
          <w:iCs/>
          <w:highlight w:val="yellow"/>
          <w:lang w:val="en-GB"/>
        </w:rPr>
        <w:sectPr w:rsidR="00AB60E3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02F5D1F" w14:textId="042FB500" w:rsidR="00057164" w:rsidRDefault="00057164" w:rsidP="00AB60E3">
      <w:pPr>
        <w:spacing w:line="360" w:lineRule="auto"/>
        <w:rPr>
          <w:rFonts w:ascii="Arial" w:hAnsi="Arial" w:cs="Arial"/>
          <w:bCs/>
          <w:iCs/>
          <w:sz w:val="24"/>
          <w:szCs w:val="24"/>
          <w:lang w:val="en-GB"/>
        </w:rPr>
      </w:pPr>
      <w:r w:rsidRPr="00057164">
        <w:rPr>
          <w:rFonts w:ascii="Arial" w:hAnsi="Arial" w:cs="Arial"/>
          <w:bCs/>
          <w:iCs/>
          <w:sz w:val="24"/>
          <w:szCs w:val="24"/>
          <w:lang w:val="en-GB"/>
        </w:rPr>
        <w:lastRenderedPageBreak/>
        <w:t>SUPPLEMENTARY TABLES</w:t>
      </w:r>
    </w:p>
    <w:p w14:paraId="26D19411" w14:textId="77777777" w:rsidR="00345438" w:rsidRDefault="00345438" w:rsidP="00345438">
      <w:pPr>
        <w:spacing w:line="360" w:lineRule="auto"/>
        <w:rPr>
          <w:rFonts w:ascii="Arial" w:hAnsi="Arial" w:cs="Arial"/>
          <w:lang w:val="en-GB"/>
        </w:rPr>
      </w:pPr>
      <w:r w:rsidRPr="00057164">
        <w:rPr>
          <w:rFonts w:ascii="Arial" w:hAnsi="Arial" w:cs="Arial"/>
          <w:b/>
          <w:iCs/>
          <w:lang w:val="en-GB"/>
        </w:rPr>
        <w:t>Supplementary Table 1</w:t>
      </w:r>
      <w:r w:rsidRPr="00057164">
        <w:rPr>
          <w:rFonts w:ascii="Arial" w:hAnsi="Arial" w:cs="Arial"/>
          <w:b/>
          <w:lang w:val="en-GB"/>
        </w:rPr>
        <w:t>.</w:t>
      </w:r>
      <w:r w:rsidRPr="00057164">
        <w:rPr>
          <w:rFonts w:ascii="Arial" w:hAnsi="Arial" w:cs="Arial"/>
          <w:lang w:val="en-GB"/>
        </w:rPr>
        <w:t xml:space="preserve"> Hg19 genomic coordinates for investigated CpG sites and correspondence with sites investigated in previous work.</w:t>
      </w:r>
      <w:r w:rsidRPr="002E0165">
        <w:rPr>
          <w:rFonts w:ascii="Arial" w:hAnsi="Arial" w:cs="Arial"/>
          <w:lang w:val="en-GB"/>
        </w:rPr>
        <w:t xml:space="preserve"> </w:t>
      </w:r>
    </w:p>
    <w:tbl>
      <w:tblPr>
        <w:tblStyle w:val="Grigliatabella1"/>
        <w:tblW w:w="3909" w:type="pct"/>
        <w:tblLook w:val="04A0" w:firstRow="1" w:lastRow="0" w:firstColumn="1" w:lastColumn="0" w:noHBand="0" w:noVBand="1"/>
      </w:tblPr>
      <w:tblGrid>
        <w:gridCol w:w="1484"/>
        <w:gridCol w:w="3452"/>
        <w:gridCol w:w="3117"/>
        <w:gridCol w:w="3116"/>
      </w:tblGrid>
      <w:tr w:rsidR="001973F6" w:rsidRPr="00D75876" w14:paraId="512A6602" w14:textId="77777777" w:rsidTr="001973F6">
        <w:tc>
          <w:tcPr>
            <w:tcW w:w="66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2A0EAA" w14:textId="77777777" w:rsidR="001973F6" w:rsidRPr="00D75876" w:rsidRDefault="001973F6" w:rsidP="005946A8">
            <w:pPr>
              <w:spacing w:line="276" w:lineRule="auto"/>
              <w:jc w:val="center"/>
              <w:rPr>
                <w:b/>
                <w:bCs/>
                <w:color w:val="222222"/>
                <w:shd w:val="clear" w:color="auto" w:fill="FFFFFF"/>
              </w:rPr>
            </w:pPr>
            <w:r w:rsidRPr="00D75876">
              <w:rPr>
                <w:b/>
                <w:bCs/>
                <w:color w:val="222222"/>
                <w:shd w:val="clear" w:color="auto" w:fill="FFFFFF"/>
              </w:rPr>
              <w:t>CpG</w:t>
            </w:r>
            <w:r>
              <w:rPr>
                <w:b/>
                <w:bCs/>
                <w:color w:val="222222"/>
                <w:shd w:val="clear" w:color="auto" w:fill="FFFFFF"/>
              </w:rPr>
              <w:t xml:space="preserve"> reference</w:t>
            </w:r>
          </w:p>
        </w:tc>
        <w:tc>
          <w:tcPr>
            <w:tcW w:w="154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817C54" w14:textId="77777777" w:rsidR="001973F6" w:rsidRPr="00D75876" w:rsidRDefault="001973F6" w:rsidP="005946A8">
            <w:pPr>
              <w:spacing w:line="480" w:lineRule="auto"/>
              <w:jc w:val="center"/>
              <w:rPr>
                <w:b/>
                <w:bCs/>
                <w:color w:val="222222"/>
                <w:shd w:val="clear" w:color="auto" w:fill="FFFFFF"/>
              </w:rPr>
            </w:pPr>
            <w:r>
              <w:rPr>
                <w:b/>
                <w:bCs/>
                <w:color w:val="222222"/>
                <w:shd w:val="clear" w:color="auto" w:fill="FFFFFF"/>
              </w:rPr>
              <w:t xml:space="preserve">Genomic </w:t>
            </w:r>
            <w:r w:rsidRPr="00D75876">
              <w:rPr>
                <w:b/>
                <w:bCs/>
                <w:color w:val="222222"/>
                <w:shd w:val="clear" w:color="auto" w:fill="FFFFFF"/>
              </w:rPr>
              <w:t>Position</w:t>
            </w:r>
            <w:r>
              <w:rPr>
                <w:b/>
                <w:bCs/>
                <w:color w:val="222222"/>
                <w:shd w:val="clear" w:color="auto" w:fill="FFFFFF"/>
              </w:rPr>
              <w:t xml:space="preserve"> (hg 19)</w:t>
            </w:r>
          </w:p>
        </w:tc>
        <w:tc>
          <w:tcPr>
            <w:tcW w:w="139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8B83EC" w14:textId="77777777" w:rsidR="001973F6" w:rsidRDefault="001973F6" w:rsidP="005946A8">
            <w:pPr>
              <w:spacing w:line="480" w:lineRule="auto"/>
              <w:jc w:val="center"/>
              <w:rPr>
                <w:b/>
                <w:bCs/>
                <w:color w:val="222222"/>
                <w:shd w:val="clear" w:color="auto" w:fill="FFFFFF"/>
              </w:rPr>
            </w:pPr>
            <w:proofErr w:type="spellStart"/>
            <w:r>
              <w:rPr>
                <w:b/>
                <w:bCs/>
                <w:color w:val="222222"/>
                <w:shd w:val="clear" w:color="auto" w:fill="FFFFFF"/>
              </w:rPr>
              <w:t>Kertes</w:t>
            </w:r>
            <w:proofErr w:type="spellEnd"/>
            <w:r>
              <w:rPr>
                <w:b/>
                <w:bCs/>
                <w:color w:val="222222"/>
                <w:shd w:val="clear" w:color="auto" w:fill="FFFFFF"/>
              </w:rPr>
              <w:t xml:space="preserve"> et al., 2017</w:t>
            </w:r>
          </w:p>
        </w:tc>
        <w:tc>
          <w:tcPr>
            <w:tcW w:w="139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D52649" w14:textId="14364A57" w:rsidR="001973F6" w:rsidRDefault="001973F6" w:rsidP="005946A8">
            <w:pPr>
              <w:spacing w:line="480" w:lineRule="auto"/>
              <w:jc w:val="center"/>
              <w:rPr>
                <w:b/>
                <w:bCs/>
                <w:color w:val="222222"/>
                <w:shd w:val="clear" w:color="auto" w:fill="FFFFFF"/>
              </w:rPr>
            </w:pPr>
            <w:r>
              <w:rPr>
                <w:b/>
                <w:bCs/>
                <w:color w:val="222222"/>
                <w:shd w:val="clear" w:color="auto" w:fill="FFFFFF"/>
              </w:rPr>
              <w:t>Braithwaite et al., 2015</w:t>
            </w:r>
          </w:p>
        </w:tc>
      </w:tr>
      <w:tr w:rsidR="001973F6" w:rsidRPr="00D75876" w14:paraId="198CB9CF" w14:textId="77777777" w:rsidTr="001973F6">
        <w:tc>
          <w:tcPr>
            <w:tcW w:w="664" w:type="pct"/>
            <w:tcBorders>
              <w:left w:val="nil"/>
              <w:bottom w:val="nil"/>
              <w:right w:val="nil"/>
            </w:tcBorders>
          </w:tcPr>
          <w:p w14:paraId="62982A00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294DBD">
              <w:rPr>
                <w:sz w:val="20"/>
                <w:szCs w:val="20"/>
              </w:rPr>
              <w:t xml:space="preserve"> CpG 01</w:t>
            </w:r>
          </w:p>
        </w:tc>
        <w:tc>
          <w:tcPr>
            <w:tcW w:w="1545" w:type="pct"/>
            <w:tcBorders>
              <w:left w:val="nil"/>
              <w:bottom w:val="nil"/>
              <w:right w:val="nil"/>
            </w:tcBorders>
            <w:vAlign w:val="center"/>
          </w:tcPr>
          <w:p w14:paraId="02902296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27,723,218-27,723,219</w:t>
            </w:r>
          </w:p>
        </w:tc>
        <w:tc>
          <w:tcPr>
            <w:tcW w:w="1395" w:type="pct"/>
            <w:tcBorders>
              <w:left w:val="nil"/>
              <w:bottom w:val="nil"/>
              <w:right w:val="nil"/>
            </w:tcBorders>
          </w:tcPr>
          <w:p w14:paraId="6E8B8D23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14 – 244</w:t>
            </w:r>
          </w:p>
        </w:tc>
        <w:tc>
          <w:tcPr>
            <w:tcW w:w="1395" w:type="pct"/>
            <w:tcBorders>
              <w:left w:val="nil"/>
              <w:bottom w:val="nil"/>
              <w:right w:val="nil"/>
            </w:tcBorders>
          </w:tcPr>
          <w:p w14:paraId="27C7080E" w14:textId="4481CC38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01</w:t>
            </w:r>
          </w:p>
        </w:tc>
      </w:tr>
      <w:tr w:rsidR="001973F6" w:rsidRPr="00D75876" w14:paraId="104F08E8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46C100EE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294DBD">
              <w:rPr>
                <w:sz w:val="20"/>
                <w:szCs w:val="20"/>
              </w:rPr>
              <w:t xml:space="preserve"> CpG 02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D9648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27,723,214-27,723,215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3C8B309B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13 – 240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6F14E982" w14:textId="0D403171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02</w:t>
            </w:r>
          </w:p>
        </w:tc>
      </w:tr>
      <w:tr w:rsidR="001973F6" w:rsidRPr="00D75876" w14:paraId="5FFF2565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43155651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294DBD">
              <w:rPr>
                <w:sz w:val="20"/>
                <w:szCs w:val="20"/>
              </w:rPr>
              <w:t xml:space="preserve"> CpG 03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D3772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27,723,203-27,723,204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3E64D7F9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12 – 229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44648996" w14:textId="3E7C71E8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03</w:t>
            </w:r>
          </w:p>
        </w:tc>
      </w:tr>
      <w:tr w:rsidR="001973F6" w:rsidRPr="00D75876" w14:paraId="0BD0B42E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5A4A6EBA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294DBD">
              <w:rPr>
                <w:sz w:val="20"/>
                <w:szCs w:val="20"/>
              </w:rPr>
              <w:t xml:space="preserve"> CpG 04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6CA02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27,723,190-27,723,191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720092E7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11 – 216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6839C894" w14:textId="4455074A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04</w:t>
            </w:r>
          </w:p>
        </w:tc>
      </w:tr>
      <w:tr w:rsidR="001973F6" w:rsidRPr="00D75876" w14:paraId="7712B404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609CF717" w14:textId="77777777" w:rsidR="001973F6" w:rsidRPr="009D0CF8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9D0CF8">
              <w:rPr>
                <w:sz w:val="20"/>
                <w:szCs w:val="20"/>
              </w:rPr>
              <w:t xml:space="preserve"> CpG 05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017E8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27,723,161-27,723,162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6461DDFF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10 – 187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053C5843" w14:textId="5FCC2C9C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05</w:t>
            </w:r>
          </w:p>
        </w:tc>
      </w:tr>
      <w:tr w:rsidR="001973F6" w:rsidRPr="00D75876" w14:paraId="054544B1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2390E7B4" w14:textId="77777777" w:rsidR="001973F6" w:rsidRPr="009D0CF8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9D0CF8">
              <w:rPr>
                <w:sz w:val="20"/>
                <w:szCs w:val="20"/>
              </w:rPr>
              <w:t xml:space="preserve"> CpG 06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5ADC0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27,723,159-27,723,160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1FB74B8F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9 – 185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39441E25" w14:textId="24C356CF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--</w:t>
            </w:r>
          </w:p>
        </w:tc>
      </w:tr>
      <w:tr w:rsidR="001973F6" w:rsidRPr="00D75876" w14:paraId="2A07D4B0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4D68E635" w14:textId="77777777" w:rsidR="001973F6" w:rsidRPr="009D0CF8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9D0CF8">
              <w:rPr>
                <w:sz w:val="20"/>
                <w:szCs w:val="20"/>
              </w:rPr>
              <w:t xml:space="preserve"> CpG 07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46A07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27,723,143-27,723,144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5D746229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8 – 169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319486E5" w14:textId="37B33FCF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--</w:t>
            </w:r>
          </w:p>
        </w:tc>
      </w:tr>
      <w:tr w:rsidR="001973F6" w:rsidRPr="00D75876" w14:paraId="65623111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09772115" w14:textId="77777777" w:rsidR="001973F6" w:rsidRPr="009D0CF8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9D0CF8">
              <w:rPr>
                <w:sz w:val="20"/>
                <w:szCs w:val="20"/>
              </w:rPr>
              <w:t xml:space="preserve"> CpG 08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CDE7F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27,723,137-27,723,138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4C308CFF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7 – 163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2E4698D7" w14:textId="1026C1FF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--</w:t>
            </w:r>
          </w:p>
        </w:tc>
      </w:tr>
      <w:tr w:rsidR="001973F6" w:rsidRPr="00D75876" w14:paraId="50C2AA08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03014587" w14:textId="77777777" w:rsidR="001973F6" w:rsidRPr="009D0CF8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9D0CF8">
              <w:rPr>
                <w:sz w:val="20"/>
                <w:szCs w:val="20"/>
              </w:rPr>
              <w:t xml:space="preserve"> CpG 09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4F22E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27,723,128-27,723,129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1E5BBA03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6 – 154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3AF7D567" w14:textId="56B22423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--</w:t>
            </w:r>
          </w:p>
        </w:tc>
      </w:tr>
      <w:tr w:rsidR="001973F6" w:rsidRPr="00D75876" w14:paraId="427D721E" w14:textId="77777777" w:rsidTr="001973F6"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5701D809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294DBD">
              <w:rPr>
                <w:sz w:val="20"/>
                <w:szCs w:val="20"/>
              </w:rPr>
              <w:t xml:space="preserve"> CpG 10</w:t>
            </w: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9B705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27,723,125-27,723,126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617F2E47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5 – 151</w:t>
            </w:r>
          </w:p>
        </w:tc>
        <w:tc>
          <w:tcPr>
            <w:tcW w:w="1395" w:type="pct"/>
            <w:tcBorders>
              <w:top w:val="nil"/>
              <w:left w:val="nil"/>
              <w:bottom w:val="nil"/>
              <w:right w:val="nil"/>
            </w:tcBorders>
          </w:tcPr>
          <w:p w14:paraId="38482342" w14:textId="119D61EF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--</w:t>
            </w:r>
          </w:p>
        </w:tc>
      </w:tr>
      <w:tr w:rsidR="001973F6" w:rsidRPr="00D75876" w14:paraId="06A73B19" w14:textId="77777777" w:rsidTr="001973F6">
        <w:tc>
          <w:tcPr>
            <w:tcW w:w="664" w:type="pct"/>
            <w:tcBorders>
              <w:top w:val="nil"/>
              <w:left w:val="nil"/>
              <w:right w:val="nil"/>
            </w:tcBorders>
          </w:tcPr>
          <w:p w14:paraId="618FCC40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294DBD">
              <w:rPr>
                <w:sz w:val="20"/>
                <w:szCs w:val="20"/>
              </w:rPr>
              <w:t xml:space="preserve"> CpG 11</w:t>
            </w:r>
          </w:p>
        </w:tc>
        <w:tc>
          <w:tcPr>
            <w:tcW w:w="1545" w:type="pct"/>
            <w:tcBorders>
              <w:top w:val="nil"/>
              <w:left w:val="nil"/>
              <w:right w:val="nil"/>
            </w:tcBorders>
            <w:vAlign w:val="center"/>
          </w:tcPr>
          <w:p w14:paraId="649BADE8" w14:textId="77777777" w:rsidR="001973F6" w:rsidRPr="00D7587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 w:rsidRPr="00D75876">
              <w:rPr>
                <w:color w:val="222222"/>
                <w:shd w:val="clear" w:color="auto" w:fill="FFFFFF"/>
              </w:rPr>
              <w:t>Chr11: 27,723,095-27,723,096</w:t>
            </w:r>
          </w:p>
        </w:tc>
        <w:tc>
          <w:tcPr>
            <w:tcW w:w="1395" w:type="pct"/>
            <w:tcBorders>
              <w:top w:val="nil"/>
              <w:left w:val="nil"/>
              <w:right w:val="nil"/>
            </w:tcBorders>
          </w:tcPr>
          <w:p w14:paraId="436B8462" w14:textId="77777777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CpG 4 - 121</w:t>
            </w:r>
          </w:p>
        </w:tc>
        <w:tc>
          <w:tcPr>
            <w:tcW w:w="1395" w:type="pct"/>
            <w:tcBorders>
              <w:top w:val="nil"/>
              <w:left w:val="nil"/>
              <w:right w:val="nil"/>
            </w:tcBorders>
          </w:tcPr>
          <w:p w14:paraId="55F72DDC" w14:textId="16755681" w:rsidR="001973F6" w:rsidRDefault="001973F6" w:rsidP="005946A8">
            <w:pPr>
              <w:spacing w:line="480" w:lineRule="auto"/>
              <w:jc w:val="center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--</w:t>
            </w:r>
          </w:p>
        </w:tc>
      </w:tr>
    </w:tbl>
    <w:p w14:paraId="5892F051" w14:textId="77777777" w:rsidR="00345438" w:rsidRDefault="00345438" w:rsidP="00345438">
      <w:pPr>
        <w:rPr>
          <w:b/>
          <w:lang w:val="en-US"/>
        </w:rPr>
      </w:pPr>
    </w:p>
    <w:p w14:paraId="181A4326" w14:textId="77777777" w:rsidR="00345438" w:rsidRDefault="00345438" w:rsidP="00345438"/>
    <w:p w14:paraId="6C6894E4" w14:textId="77777777" w:rsidR="00AB60E3" w:rsidRDefault="00AB60E3" w:rsidP="00AB60E3"/>
    <w:p w14:paraId="0324E631" w14:textId="77777777" w:rsidR="00AB60E3" w:rsidRPr="00057164" w:rsidRDefault="00AB60E3" w:rsidP="00AB60E3">
      <w:pPr>
        <w:rPr>
          <w:rFonts w:ascii="Arial" w:hAnsi="Arial" w:cs="Arial"/>
          <w:sz w:val="24"/>
          <w:szCs w:val="24"/>
        </w:rPr>
      </w:pPr>
    </w:p>
    <w:p w14:paraId="597B137A" w14:textId="15D05CC9" w:rsidR="00CE7D90" w:rsidRDefault="00CE7D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970107" w14:textId="3DD90515" w:rsidR="00345438" w:rsidRPr="005E27CB" w:rsidRDefault="00CE7D90" w:rsidP="00345438">
      <w:pPr>
        <w:spacing w:line="360" w:lineRule="auto"/>
        <w:rPr>
          <w:rFonts w:ascii="Arial" w:eastAsia="Calibri" w:hAnsi="Arial" w:cs="Arial"/>
          <w:lang w:val="en-GB"/>
        </w:rPr>
      </w:pPr>
      <w:r>
        <w:rPr>
          <w:rFonts w:ascii="Arial" w:hAnsi="Arial" w:cs="Arial"/>
          <w:b/>
          <w:iCs/>
          <w:lang w:val="en-GB"/>
        </w:rPr>
        <w:lastRenderedPageBreak/>
        <w:t xml:space="preserve">Supplementary </w:t>
      </w:r>
      <w:r w:rsidRPr="00AF1441">
        <w:rPr>
          <w:rFonts w:ascii="Arial" w:hAnsi="Arial" w:cs="Arial"/>
          <w:b/>
          <w:iCs/>
          <w:lang w:val="en-GB"/>
        </w:rPr>
        <w:t xml:space="preserve">Table </w:t>
      </w:r>
      <w:r>
        <w:rPr>
          <w:rFonts w:ascii="Arial" w:hAnsi="Arial" w:cs="Arial"/>
          <w:b/>
          <w:iCs/>
          <w:lang w:val="en-GB"/>
        </w:rPr>
        <w:t xml:space="preserve">2. </w:t>
      </w:r>
      <w:r w:rsidR="00345438" w:rsidRPr="001973F6">
        <w:rPr>
          <w:rFonts w:ascii="Arial" w:eastAsia="Calibri" w:hAnsi="Arial" w:cs="Arial"/>
          <w:lang w:val="en-GB"/>
        </w:rPr>
        <w:t>Bivariate correlations among study variables</w:t>
      </w:r>
    </w:p>
    <w:tbl>
      <w:tblPr>
        <w:tblStyle w:val="TableGrid1"/>
        <w:tblpPr w:leftFromText="141" w:rightFromText="141" w:vertAnchor="text" w:horzAnchor="margin" w:tblpY="144"/>
        <w:tblW w:w="5000" w:type="pct"/>
        <w:tblLayout w:type="fixed"/>
        <w:tblLook w:val="04A0" w:firstRow="1" w:lastRow="0" w:firstColumn="1" w:lastColumn="0" w:noHBand="0" w:noVBand="1"/>
      </w:tblPr>
      <w:tblGrid>
        <w:gridCol w:w="566"/>
        <w:gridCol w:w="2551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60"/>
        <w:gridCol w:w="849"/>
      </w:tblGrid>
      <w:tr w:rsidR="00345438" w:rsidRPr="00365461" w14:paraId="0951B85F" w14:textId="77777777" w:rsidTr="005946A8">
        <w:tc>
          <w:tcPr>
            <w:tcW w:w="198" w:type="pct"/>
            <w:tcBorders>
              <w:left w:val="nil"/>
              <w:bottom w:val="single" w:sz="4" w:space="0" w:color="auto"/>
              <w:right w:val="nil"/>
            </w:tcBorders>
          </w:tcPr>
          <w:p w14:paraId="790F573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9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92960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916BE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E6021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EC1A8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C2A0E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A2D0E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34D66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11245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7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AD484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B97CE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9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FA09A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51340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4664E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30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99189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5461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</w:tr>
      <w:tr w:rsidR="00345438" w:rsidRPr="00365461" w14:paraId="3F48F037" w14:textId="77777777" w:rsidTr="005946A8">
        <w:trPr>
          <w:trHeight w:val="529"/>
        </w:trPr>
        <w:tc>
          <w:tcPr>
            <w:tcW w:w="198" w:type="pct"/>
            <w:tcBorders>
              <w:left w:val="nil"/>
              <w:bottom w:val="nil"/>
              <w:right w:val="nil"/>
            </w:tcBorders>
            <w:vAlign w:val="center"/>
          </w:tcPr>
          <w:p w14:paraId="1F1AC19F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893" w:type="pct"/>
            <w:tcBorders>
              <w:left w:val="nil"/>
              <w:bottom w:val="nil"/>
              <w:right w:val="nil"/>
            </w:tcBorders>
            <w:vAlign w:val="center"/>
          </w:tcPr>
          <w:p w14:paraId="6082B193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Maternal trait anxiety</w:t>
            </w: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10E332D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77212A4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4E60DCE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7506AF5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1C81129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1EB211A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305B15D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3162D15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3705114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5875A0F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33AE314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3CA6289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left w:val="nil"/>
              <w:bottom w:val="nil"/>
              <w:right w:val="nil"/>
            </w:tcBorders>
            <w:vAlign w:val="center"/>
          </w:tcPr>
          <w:p w14:paraId="4D6F3B7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1E609BEC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4395B" w14:textId="77777777" w:rsidR="00345438" w:rsidRPr="00F96C8B" w:rsidRDefault="00345438" w:rsidP="005946A8">
            <w:pPr>
              <w:contextualSpacing/>
              <w:rPr>
                <w:rFonts w:ascii="Arial" w:eastAsia="Calibri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94DEC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BDNF</w:t>
            </w:r>
            <w:r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</w:t>
            </w: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F25E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F1B7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C7AD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089A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EA55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8DB63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518F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B97D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C0FD5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82F39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89D89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0661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3C1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5F47C562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A647A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DA1EA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9891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-.08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E0828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sz w:val="20"/>
                <w:szCs w:val="20"/>
              </w:rPr>
              <w:t>.22**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BD2A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D2EA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2A7C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BA6E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FDB4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C962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8275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AD72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DC29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02F7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9E309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6430E0F8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C16D8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538EE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5E1D8" w14:textId="77777777" w:rsidR="00345438" w:rsidRPr="00F96C8B" w:rsidRDefault="00345438" w:rsidP="005946A8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</w:pPr>
            <w:r w:rsidRPr="009A156F">
              <w:rPr>
                <w:rFonts w:ascii="Arial" w:eastAsia="Calibri" w:hAnsi="Arial" w:cs="Arial"/>
                <w:b/>
                <w:sz w:val="20"/>
                <w:szCs w:val="20"/>
              </w:rPr>
              <w:t>.1</w:t>
            </w:r>
            <w:r w:rsidRPr="00F96C8B">
              <w:rPr>
                <w:rFonts w:ascii="Arial" w:eastAsia="Calibri" w:hAnsi="Arial" w:cs="Arial"/>
                <w:b/>
                <w:sz w:val="20"/>
                <w:szCs w:val="20"/>
              </w:rPr>
              <w:t>2*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5FE14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sz w:val="20"/>
                <w:szCs w:val="20"/>
              </w:rPr>
              <w:t>.33**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0FA3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.31**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CE01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E65D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CB5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4A73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EFF0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AB60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67933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4BA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7335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A4DA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21537457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36EDF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1469D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04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EDA9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3A4DF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sz w:val="20"/>
                <w:szCs w:val="20"/>
              </w:rPr>
              <w:t>.22**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8E1B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.19**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7259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.27**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A912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EBFC9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0545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1658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0BB8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79E3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E3C5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E8A1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440B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31A3F59D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E894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275F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0246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25D49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sz w:val="20"/>
                <w:szCs w:val="20"/>
              </w:rPr>
              <w:t>.24**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1A4B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.32**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E417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022B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.24**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1AB7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ACE6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D938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2FE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5C80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6A2A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EE2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E65C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14282C7F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4BD8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48612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829E6" w14:textId="77777777" w:rsidR="00345438" w:rsidRPr="00F96C8B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.13*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C095C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sz w:val="20"/>
                <w:szCs w:val="20"/>
              </w:rPr>
              <w:t>.17**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0001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.21**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051E4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26203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.18**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B9D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.19**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397F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A918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F142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62505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6F17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ACC29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6F7A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108AA953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FC1A7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50260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07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0D7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774E9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CFC3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.18**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3ACDA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.17**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B2B3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5DF4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.23**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3A22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.25**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F7EB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D0B33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35967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98EE5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BD62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3BD1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7898CE88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E9A03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73C29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08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BA6EB" w14:textId="77777777" w:rsidR="00345438" w:rsidRPr="00F96C8B" w:rsidRDefault="00345438" w:rsidP="005946A8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bCs/>
                <w:sz w:val="20"/>
                <w:szCs w:val="20"/>
              </w:rPr>
              <w:t>-.02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F5DC9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.30**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DCEB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.19**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1505A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453CE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.27**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FC7C7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.20**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FCAC7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.13*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2F19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AD14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C273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9B50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1FED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B6F4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24C96087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2C26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26148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09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AD8D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.09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D1668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1620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.22**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9B27B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.27**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0E4AA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.15*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10847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.31**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7604F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.22*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6B2B4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.43**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294E7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7695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0049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D0FA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EBB6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1D4D022B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8CE4B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EF661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10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EA6A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B3B96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.44**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E62D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.31**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0096A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.34**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02C6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5228C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.38**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B2CAD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DBE32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.24**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6335E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.23**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D879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.42**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8BCD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2964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AC38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71F234FA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8EE75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0D93E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BDNF </w:t>
            </w:r>
            <w:proofErr w:type="spellStart"/>
            <w:r w:rsidRPr="00F96C8B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DNAm</w:t>
            </w:r>
            <w:proofErr w:type="spellEnd"/>
            <w:r w:rsidRPr="0036546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at CpG 11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AF817" w14:textId="77777777" w:rsidR="00345438" w:rsidRPr="00F96C8B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-.12*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C58A7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1F7C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.35**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A6EF7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0015A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.29**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0AAD8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.38**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6EF72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.28**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CAD20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.35**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6DC0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.32**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169BE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.36**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275C3" w14:textId="77777777" w:rsidR="00345438" w:rsidRPr="00C2138D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2138D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.36**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CAE9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23D9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2162CAD6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75A92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A87B5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NE at 3 months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4D730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01B4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.05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2B67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F37B1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870A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7B09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F0BA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-.01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E6A8C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-.03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A39C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.00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7549F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61C9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4D6D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-.06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25F68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45438" w:rsidRPr="00365461" w14:paraId="69F6F06B" w14:textId="77777777" w:rsidTr="005946A8">
        <w:trPr>
          <w:trHeight w:val="529"/>
        </w:trPr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0C341B" w14:textId="77777777" w:rsidR="00345438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37CAC5" w14:textId="77777777" w:rsidR="00345438" w:rsidRPr="00365461" w:rsidRDefault="00345438" w:rsidP="005946A8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NE at 6 months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6AD509" w14:textId="77777777" w:rsidR="00345438" w:rsidRPr="00F96C8B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F96C8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.18*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7BA2A4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1B6EC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74C1A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35C77C" w14:textId="77777777" w:rsidR="00345438" w:rsidRPr="009A156F" w:rsidRDefault="00345438" w:rsidP="005946A8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9A156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.14*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32B325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0F56C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80DCF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A919CA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4F271B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.15*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9C3702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F73FD6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58D52E" w14:textId="77777777" w:rsidR="00345438" w:rsidRPr="00365461" w:rsidRDefault="00345438" w:rsidP="005946A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.64**</w:t>
            </w:r>
          </w:p>
        </w:tc>
      </w:tr>
    </w:tbl>
    <w:p w14:paraId="31417FB5" w14:textId="7DD84454" w:rsidR="00CE7D90" w:rsidRPr="00AF1441" w:rsidRDefault="00345438" w:rsidP="00345438">
      <w:pPr>
        <w:spacing w:after="0" w:line="480" w:lineRule="auto"/>
        <w:rPr>
          <w:rFonts w:ascii="Arial" w:hAnsi="Arial" w:cs="Arial"/>
          <w:lang w:val="en-GB"/>
        </w:rPr>
      </w:pPr>
      <w:r w:rsidRPr="005E27CB">
        <w:rPr>
          <w:rFonts w:ascii="Arial" w:eastAsia="Calibri" w:hAnsi="Arial" w:cs="Arial"/>
          <w:lang w:val="en-GB"/>
        </w:rPr>
        <w:t>* p&lt;.05; **p&lt;.01</w:t>
      </w:r>
      <w:r>
        <w:rPr>
          <w:rFonts w:ascii="Arial" w:eastAsia="Calibri" w:hAnsi="Arial" w:cs="Arial"/>
          <w:lang w:val="en-GB"/>
        </w:rPr>
        <w:t>;</w:t>
      </w:r>
      <w:r>
        <w:rPr>
          <w:rFonts w:ascii="Arial" w:hAnsi="Arial" w:cs="Arial"/>
          <w:lang w:val="en-GB"/>
        </w:rPr>
        <w:t xml:space="preserve"> </w:t>
      </w:r>
      <w:r w:rsidR="00CE7D90" w:rsidRPr="00AF1441">
        <w:rPr>
          <w:rFonts w:ascii="Arial" w:eastAsia="Times New Roman" w:hAnsi="Arial" w:cs="Arial"/>
          <w:color w:val="333333"/>
          <w:lang w:val="en-GB" w:eastAsia="it-IT"/>
        </w:rPr>
        <w:t>Note. Bold values indicate significant (p&lt;.05) results.</w:t>
      </w:r>
      <w:r w:rsidR="00CE7D90" w:rsidRPr="00AF1441">
        <w:rPr>
          <w:rFonts w:ascii="Arial" w:hAnsi="Arial" w:cs="Arial"/>
          <w:lang w:val="en-GB"/>
        </w:rPr>
        <w:t xml:space="preserve"> </w:t>
      </w:r>
    </w:p>
    <w:p w14:paraId="248CFD64" w14:textId="77777777" w:rsidR="00CE7D90" w:rsidRDefault="00CE7D90" w:rsidP="00AB60E3">
      <w:pPr>
        <w:rPr>
          <w:rFonts w:ascii="Arial" w:hAnsi="Arial" w:cs="Arial"/>
          <w:sz w:val="24"/>
          <w:szCs w:val="24"/>
          <w:lang w:val="en-GB"/>
        </w:rPr>
      </w:pPr>
    </w:p>
    <w:p w14:paraId="65883578" w14:textId="218782AC" w:rsidR="00401A40" w:rsidRDefault="00401A40" w:rsidP="00401A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D7D53A4" w14:textId="77777777" w:rsidR="001973F6" w:rsidRDefault="001973F6" w:rsidP="001973F6">
      <w:pPr>
        <w:rPr>
          <w:rFonts w:ascii="Arial" w:hAnsi="Arial" w:cs="Arial"/>
          <w:noProof/>
          <w:sz w:val="24"/>
          <w:szCs w:val="24"/>
          <w:lang w:val="en-US"/>
        </w:rPr>
      </w:pPr>
      <w:r w:rsidRPr="00057164">
        <w:rPr>
          <w:rFonts w:ascii="Arial" w:hAnsi="Arial" w:cs="Arial"/>
          <w:noProof/>
          <w:sz w:val="24"/>
          <w:szCs w:val="24"/>
          <w:lang w:val="en-US"/>
        </w:rPr>
        <w:lastRenderedPageBreak/>
        <w:t>SUPPLEMENTARY FIGURES</w:t>
      </w:r>
    </w:p>
    <w:p w14:paraId="66ACC7E4" w14:textId="77777777" w:rsidR="001973F6" w:rsidRPr="00FD450E" w:rsidRDefault="001973F6" w:rsidP="00401A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1095BA0" w14:textId="77777777" w:rsidR="00401A40" w:rsidRDefault="00401A40" w:rsidP="00AB60E3">
      <w:pPr>
        <w:rPr>
          <w:rFonts w:ascii="Arial" w:hAnsi="Arial" w:cs="Arial"/>
          <w:sz w:val="24"/>
          <w:szCs w:val="24"/>
          <w:lang w:val="en-GB"/>
        </w:rPr>
      </w:pPr>
    </w:p>
    <w:p w14:paraId="0D324558" w14:textId="77777777" w:rsidR="001973F6" w:rsidRDefault="001973F6" w:rsidP="00AB60E3">
      <w:pPr>
        <w:rPr>
          <w:rFonts w:ascii="Arial" w:hAnsi="Arial" w:cs="Arial"/>
          <w:noProof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706AF895" wp14:editId="288AD67D">
            <wp:extent cx="9756934" cy="2243455"/>
            <wp:effectExtent l="0" t="0" r="0" b="444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605" cy="231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CBCDC" w14:textId="77777777" w:rsidR="001973F6" w:rsidRDefault="001973F6" w:rsidP="001973F6">
      <w:pPr>
        <w:rPr>
          <w:rFonts w:ascii="Arial" w:hAnsi="Arial" w:cs="Arial"/>
          <w:noProof/>
          <w:sz w:val="24"/>
          <w:szCs w:val="24"/>
          <w:lang w:val="en-GB"/>
        </w:rPr>
      </w:pPr>
    </w:p>
    <w:p w14:paraId="11A5E8F5" w14:textId="787A503B" w:rsidR="001973F6" w:rsidRDefault="001973F6" w:rsidP="001973F6">
      <w:pPr>
        <w:spacing w:line="480" w:lineRule="auto"/>
        <w:rPr>
          <w:rFonts w:ascii="Arial" w:hAnsi="Arial" w:cs="Arial"/>
          <w:lang w:val="en-GB"/>
        </w:rPr>
      </w:pPr>
      <w:r w:rsidRPr="00EB0B33">
        <w:rPr>
          <w:rFonts w:ascii="Arial" w:hAnsi="Arial" w:cs="Arial"/>
          <w:b/>
          <w:bCs/>
          <w:lang w:val="en-US"/>
        </w:rPr>
        <w:t>Supplementary Figure 1</w:t>
      </w:r>
      <w:r w:rsidR="00CE3309" w:rsidRPr="00FB2AEF">
        <w:rPr>
          <w:rFonts w:ascii="Arial" w:hAnsi="Arial" w:cs="Arial"/>
          <w:b/>
          <w:bCs/>
          <w:lang w:val="en-US"/>
        </w:rPr>
        <w:t>.</w:t>
      </w:r>
      <w:r w:rsidRPr="00FB2AEF">
        <w:rPr>
          <w:rFonts w:ascii="Arial" w:hAnsi="Arial" w:cs="Arial"/>
          <w:b/>
          <w:bCs/>
          <w:lang w:val="en-US"/>
        </w:rPr>
        <w:t xml:space="preserve"> </w:t>
      </w:r>
      <w:r w:rsidR="008F6FEE" w:rsidRPr="008F6FEE">
        <w:rPr>
          <w:rFonts w:ascii="Arial" w:hAnsi="Arial" w:cs="Arial"/>
          <w:lang w:val="en-US"/>
        </w:rPr>
        <w:t xml:space="preserve">Schematic representation of the BDNF gene with the target sequence investigated </w:t>
      </w:r>
      <w:r w:rsidR="00EB0B33" w:rsidRPr="00FB2AEF">
        <w:rPr>
          <w:rFonts w:ascii="Arial" w:hAnsi="Arial" w:cs="Arial"/>
          <w:color w:val="333333"/>
          <w:shd w:val="clear" w:color="auto" w:fill="FFFCF0"/>
          <w:lang w:val="en-GB"/>
        </w:rPr>
        <w:t>(</w:t>
      </w:r>
      <w:r w:rsidR="00EB0B33" w:rsidRPr="00FB2AEF">
        <w:rPr>
          <w:rFonts w:ascii="Arial" w:hAnsi="Arial" w:cs="Arial"/>
          <w:color w:val="222222"/>
          <w:shd w:val="clear" w:color="auto" w:fill="FFFFFF"/>
          <w:lang w:val="en-GB"/>
        </w:rPr>
        <w:t>chr11: 27,723,096–27,723,219;</w:t>
      </w:r>
      <w:r w:rsidR="00EB0B33" w:rsidRPr="00FB2AEF">
        <w:rPr>
          <w:rFonts w:ascii="Arial" w:hAnsi="Arial" w:cs="Arial"/>
          <w:color w:val="333333"/>
          <w:shd w:val="clear" w:color="auto" w:fill="FFFCF0"/>
          <w:lang w:val="en-GB"/>
        </w:rPr>
        <w:t xml:space="preserve"> </w:t>
      </w:r>
      <w:r w:rsidR="00EB0B33" w:rsidRPr="00FB2AEF">
        <w:rPr>
          <w:rFonts w:ascii="Arial" w:hAnsi="Arial" w:cs="Arial"/>
          <w:lang w:val="en-GB"/>
        </w:rPr>
        <w:t>UCSC human genome browser GRCh37/hg19)</w:t>
      </w:r>
    </w:p>
    <w:p w14:paraId="185D2025" w14:textId="47A6DB52" w:rsidR="00FB2AEF" w:rsidRDefault="00FB2AEF" w:rsidP="001973F6">
      <w:pPr>
        <w:spacing w:line="480" w:lineRule="auto"/>
        <w:rPr>
          <w:rFonts w:ascii="Arial" w:hAnsi="Arial" w:cs="Arial"/>
          <w:color w:val="333333"/>
          <w:shd w:val="clear" w:color="auto" w:fill="FFFCF0"/>
          <w:lang w:val="en-GB"/>
        </w:rPr>
      </w:pPr>
    </w:p>
    <w:p w14:paraId="6738B540" w14:textId="058E37A3" w:rsidR="00FB2AEF" w:rsidRDefault="00FB2AEF" w:rsidP="001973F6">
      <w:pPr>
        <w:spacing w:line="480" w:lineRule="auto"/>
        <w:rPr>
          <w:rFonts w:ascii="Arial" w:hAnsi="Arial" w:cs="Arial"/>
          <w:color w:val="333333"/>
          <w:shd w:val="clear" w:color="auto" w:fill="FFFCF0"/>
          <w:lang w:val="en-GB"/>
        </w:rPr>
      </w:pPr>
    </w:p>
    <w:p w14:paraId="3BF92475" w14:textId="5FF877D7" w:rsidR="00FB2AEF" w:rsidRDefault="00FB2AEF" w:rsidP="001973F6">
      <w:pPr>
        <w:spacing w:line="480" w:lineRule="auto"/>
        <w:rPr>
          <w:rFonts w:ascii="Arial" w:hAnsi="Arial" w:cs="Arial"/>
          <w:color w:val="333333"/>
          <w:shd w:val="clear" w:color="auto" w:fill="FFFCF0"/>
          <w:lang w:val="en-GB"/>
        </w:rPr>
      </w:pPr>
    </w:p>
    <w:p w14:paraId="5A1A5D0E" w14:textId="4070B5C8" w:rsidR="00FB2AEF" w:rsidRDefault="00FB2AEF" w:rsidP="001973F6">
      <w:pPr>
        <w:spacing w:line="480" w:lineRule="auto"/>
        <w:rPr>
          <w:rFonts w:ascii="Arial" w:hAnsi="Arial" w:cs="Arial"/>
          <w:color w:val="333333"/>
          <w:shd w:val="clear" w:color="auto" w:fill="FFFCF0"/>
          <w:lang w:val="en-GB"/>
        </w:rPr>
      </w:pPr>
    </w:p>
    <w:p w14:paraId="3EFA8F60" w14:textId="2D5B27EC" w:rsidR="00FB2AEF" w:rsidRDefault="00FB2AEF" w:rsidP="001973F6">
      <w:pPr>
        <w:spacing w:line="480" w:lineRule="auto"/>
        <w:rPr>
          <w:rFonts w:ascii="Arial" w:hAnsi="Arial" w:cs="Arial"/>
          <w:color w:val="333333"/>
          <w:shd w:val="clear" w:color="auto" w:fill="FFFCF0"/>
          <w:lang w:val="en-GB"/>
        </w:rPr>
      </w:pPr>
    </w:p>
    <w:p w14:paraId="07108D17" w14:textId="6F2E8272" w:rsidR="00FB2AEF" w:rsidRDefault="00FB2AEF" w:rsidP="001973F6">
      <w:pPr>
        <w:spacing w:line="480" w:lineRule="auto"/>
        <w:rPr>
          <w:rFonts w:ascii="Arial" w:hAnsi="Arial" w:cs="Arial"/>
          <w:noProof/>
          <w:color w:val="333333"/>
          <w:shd w:val="clear" w:color="auto" w:fill="FFFCF0"/>
          <w:lang w:val="en-GB"/>
        </w:rPr>
      </w:pPr>
      <w:r>
        <w:rPr>
          <w:rFonts w:ascii="Arial" w:hAnsi="Arial" w:cs="Arial"/>
          <w:noProof/>
          <w:color w:val="333333"/>
          <w:shd w:val="clear" w:color="auto" w:fill="FFFCF0"/>
          <w:lang w:val="en-GB"/>
        </w:rPr>
        <w:lastRenderedPageBreak/>
        <w:drawing>
          <wp:inline distT="0" distB="0" distL="0" distR="0" wp14:anchorId="6F8341B7" wp14:editId="4A69E672">
            <wp:extent cx="9071610" cy="4694555"/>
            <wp:effectExtent l="0" t="0" r="0" b="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82DD" w14:textId="06F2837B" w:rsidR="00FB2AEF" w:rsidRPr="00FB2AEF" w:rsidRDefault="00FB2AEF" w:rsidP="00FB2AEF">
      <w:pPr>
        <w:spacing w:line="480" w:lineRule="auto"/>
        <w:rPr>
          <w:rFonts w:ascii="Arial" w:hAnsi="Arial" w:cs="Arial"/>
          <w:lang w:val="en-GB"/>
        </w:rPr>
      </w:pPr>
      <w:r w:rsidRPr="00EB0B33">
        <w:rPr>
          <w:rFonts w:ascii="Arial" w:hAnsi="Arial" w:cs="Arial"/>
          <w:b/>
          <w:bCs/>
          <w:lang w:val="en-US"/>
        </w:rPr>
        <w:t xml:space="preserve">Supplementary Figure </w:t>
      </w:r>
      <w:r>
        <w:rPr>
          <w:rFonts w:ascii="Arial" w:hAnsi="Arial" w:cs="Arial"/>
          <w:b/>
          <w:bCs/>
          <w:lang w:val="en-US"/>
        </w:rPr>
        <w:t>2</w:t>
      </w:r>
      <w:r w:rsidRPr="00FB2AEF">
        <w:rPr>
          <w:rFonts w:ascii="Arial" w:hAnsi="Arial" w:cs="Arial"/>
          <w:b/>
          <w:bCs/>
          <w:lang w:val="en-US"/>
        </w:rPr>
        <w:t xml:space="preserve">. </w:t>
      </w:r>
      <w:r w:rsidRPr="00FB2AEF">
        <w:rPr>
          <w:rFonts w:ascii="Arial" w:hAnsi="Arial" w:cs="Arial"/>
          <w:lang w:val="en-US"/>
        </w:rPr>
        <w:t xml:space="preserve">Individual observed </w:t>
      </w:r>
      <w:r>
        <w:rPr>
          <w:rFonts w:ascii="Arial" w:hAnsi="Arial" w:cs="Arial"/>
          <w:lang w:val="en-US"/>
        </w:rPr>
        <w:t xml:space="preserve">raw </w:t>
      </w:r>
      <w:r w:rsidRPr="00FB2AEF">
        <w:rPr>
          <w:rFonts w:ascii="Arial" w:hAnsi="Arial" w:cs="Arial"/>
          <w:lang w:val="en-US"/>
        </w:rPr>
        <w:t>levels of methylation of the BDNF gene at the 11 selected CpG sites</w:t>
      </w:r>
      <w:r>
        <w:rPr>
          <w:rFonts w:ascii="Arial" w:hAnsi="Arial" w:cs="Arial"/>
          <w:lang w:val="en-US"/>
        </w:rPr>
        <w:t xml:space="preserve">. Blank dot </w:t>
      </w:r>
      <w:proofErr w:type="gramStart"/>
      <w:r>
        <w:rPr>
          <w:rFonts w:ascii="Arial" w:hAnsi="Arial" w:cs="Arial"/>
          <w:lang w:val="en-US"/>
        </w:rPr>
        <w:t>are</w:t>
      </w:r>
      <w:proofErr w:type="gramEnd"/>
      <w:r>
        <w:rPr>
          <w:rFonts w:ascii="Arial" w:hAnsi="Arial" w:cs="Arial"/>
          <w:lang w:val="en-US"/>
        </w:rPr>
        <w:t xml:space="preserve"> for males, whereas red dots are for females. </w:t>
      </w:r>
    </w:p>
    <w:p w14:paraId="664F39F6" w14:textId="374BEB45" w:rsidR="00FB2AEF" w:rsidRPr="00FB2AEF" w:rsidRDefault="00FB2AEF" w:rsidP="00FB2AEF">
      <w:pPr>
        <w:tabs>
          <w:tab w:val="left" w:pos="4093"/>
        </w:tabs>
        <w:rPr>
          <w:rFonts w:ascii="Arial" w:hAnsi="Arial" w:cs="Arial"/>
          <w:lang w:val="en-GB"/>
        </w:rPr>
      </w:pPr>
    </w:p>
    <w:sectPr w:rsidR="00FB2AEF" w:rsidRPr="00FB2AEF" w:rsidSect="00EB0B33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B9"/>
    <w:rsid w:val="00013C25"/>
    <w:rsid w:val="00057164"/>
    <w:rsid w:val="00164290"/>
    <w:rsid w:val="001973F6"/>
    <w:rsid w:val="00213AAA"/>
    <w:rsid w:val="00326C5D"/>
    <w:rsid w:val="00345438"/>
    <w:rsid w:val="0035486A"/>
    <w:rsid w:val="003555F6"/>
    <w:rsid w:val="00397E75"/>
    <w:rsid w:val="00401A40"/>
    <w:rsid w:val="004F5939"/>
    <w:rsid w:val="004F6E97"/>
    <w:rsid w:val="0052110C"/>
    <w:rsid w:val="005A4099"/>
    <w:rsid w:val="006261B1"/>
    <w:rsid w:val="006B59B9"/>
    <w:rsid w:val="007945AD"/>
    <w:rsid w:val="008533D2"/>
    <w:rsid w:val="00855A95"/>
    <w:rsid w:val="00864CB6"/>
    <w:rsid w:val="008F6FEE"/>
    <w:rsid w:val="00A33B8B"/>
    <w:rsid w:val="00AB60E3"/>
    <w:rsid w:val="00CE3309"/>
    <w:rsid w:val="00CE7D90"/>
    <w:rsid w:val="00D35BC8"/>
    <w:rsid w:val="00D61051"/>
    <w:rsid w:val="00EB0B33"/>
    <w:rsid w:val="00EB6CC4"/>
    <w:rsid w:val="00F03992"/>
    <w:rsid w:val="00F86B36"/>
    <w:rsid w:val="00FB2AEF"/>
    <w:rsid w:val="00FD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D184F"/>
  <w15:chartTrackingRefBased/>
  <w15:docId w15:val="{1ACE14CA-382D-4DD9-B360-719CD3C2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2AE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B59B9"/>
    <w:pPr>
      <w:ind w:left="720"/>
      <w:contextualSpacing/>
    </w:pPr>
    <w:rPr>
      <w:lang w:val="en-US"/>
    </w:rPr>
  </w:style>
  <w:style w:type="table" w:styleId="Grigliatabella">
    <w:name w:val="Table Grid"/>
    <w:basedOn w:val="Tabellanormale"/>
    <w:uiPriority w:val="39"/>
    <w:rsid w:val="00AB6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sid w:val="00864CB6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MacchinadascrivereHTML">
    <w:name w:val="HTML Typewriter"/>
    <w:basedOn w:val="Carpredefinitoparagrafo"/>
    <w:uiPriority w:val="99"/>
    <w:semiHidden/>
    <w:unhideWhenUsed/>
    <w:qFormat/>
    <w:rsid w:val="00864CB6"/>
    <w:rPr>
      <w:rFonts w:ascii="Courier New" w:eastAsia="Times New Roman" w:hAnsi="Courier New" w:cs="Courier New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qFormat/>
    <w:rsid w:val="00864C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1">
    <w:name w:val="Preformattato HTML Carattere1"/>
    <w:basedOn w:val="Carpredefinitoparagrafo"/>
    <w:uiPriority w:val="99"/>
    <w:semiHidden/>
    <w:rsid w:val="00864CB6"/>
    <w:rPr>
      <w:rFonts w:ascii="Consolas" w:hAnsi="Consolas"/>
      <w:sz w:val="20"/>
      <w:szCs w:val="20"/>
    </w:rPr>
  </w:style>
  <w:style w:type="table" w:customStyle="1" w:styleId="TableGrid1">
    <w:name w:val="Table Grid1"/>
    <w:basedOn w:val="Tabellanormale"/>
    <w:next w:val="Grigliatabella"/>
    <w:uiPriority w:val="39"/>
    <w:rsid w:val="0034543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345438"/>
    <w:pPr>
      <w:spacing w:after="0" w:line="240" w:lineRule="auto"/>
    </w:pPr>
    <w:rPr>
      <w:rFonts w:ascii="Arial" w:eastAsia="Arial" w:hAnsi="Arial" w:cs="Arial"/>
      <w:lang w:val="en-GB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B2AE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2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user2519</dc:creator>
  <cp:keywords/>
  <dc:description/>
  <cp:lastModifiedBy>user2519</cp:lastModifiedBy>
  <cp:revision>2</cp:revision>
  <dcterms:created xsi:type="dcterms:W3CDTF">2022-12-15T14:09:00Z</dcterms:created>
  <dcterms:modified xsi:type="dcterms:W3CDTF">2022-12-15T14:09:00Z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31088cb85120472667d98bde0b1fb5f206bc2aebb4cb829fb3654753aa3ab9d4</vt:lpwstr>
  </property>
</Properties>
</file>