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5D8B" w14:textId="1946DA90" w:rsidR="0014577C" w:rsidRPr="00E27D36" w:rsidRDefault="00000000">
      <w:pPr>
        <w:spacing w:after="240" w:line="480" w:lineRule="auto"/>
        <w:rPr>
          <w:rFonts w:ascii="Arial" w:eastAsia="Arial" w:hAnsi="Arial" w:cs="Arial"/>
        </w:rPr>
      </w:pPr>
      <w:r>
        <w:rPr>
          <w:rFonts w:ascii="Arial" w:eastAsia="Arial" w:hAnsi="Arial" w:cs="Arial"/>
          <w:b/>
        </w:rPr>
        <w:t xml:space="preserve">Supplementary Material </w:t>
      </w:r>
      <w:r w:rsidR="00C73FE3">
        <w:rPr>
          <w:rFonts w:ascii="Arial" w:eastAsia="Arial" w:hAnsi="Arial" w:cs="Arial"/>
          <w:b/>
        </w:rPr>
        <w:t>3</w:t>
      </w:r>
      <w:r>
        <w:rPr>
          <w:rFonts w:ascii="Arial" w:eastAsia="Arial" w:hAnsi="Arial" w:cs="Arial"/>
          <w:b/>
        </w:rPr>
        <w:t>: Area under the curve analyses</w:t>
      </w:r>
    </w:p>
    <w:p w14:paraId="6D2993BB" w14:textId="77777777" w:rsidR="0014577C" w:rsidRDefault="00000000">
      <w:pPr>
        <w:spacing w:after="240" w:line="480"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AUCg</w:t>
      </w:r>
      <w:proofErr w:type="spellEnd"/>
      <w:r>
        <w:rPr>
          <w:rFonts w:ascii="Arial" w:eastAsia="Arial" w:hAnsi="Arial" w:cs="Arial"/>
        </w:rPr>
        <w:t xml:space="preserve"> captures both the baseline level of outcome (e.g., initial cortisol level) and change in outcome over time (e.g., cortisol response) during the TSST. The </w:t>
      </w:r>
      <w:proofErr w:type="spellStart"/>
      <w:r>
        <w:rPr>
          <w:rFonts w:ascii="Arial" w:eastAsia="Arial" w:hAnsi="Arial" w:cs="Arial"/>
        </w:rPr>
        <w:t>AUCi</w:t>
      </w:r>
      <w:proofErr w:type="spellEnd"/>
      <w:r>
        <w:rPr>
          <w:rFonts w:ascii="Arial" w:eastAsia="Arial" w:hAnsi="Arial" w:cs="Arial"/>
        </w:rPr>
        <w:t xml:space="preserve"> captures the change in outcome only, independently of the baseline level. We calculated these two indices individually for each participant and compared their mean values between groups using linear regression models. </w:t>
      </w:r>
    </w:p>
    <w:p w14:paraId="6F155EE6" w14:textId="6D61B37B" w:rsidR="0014577C" w:rsidRDefault="00000000">
      <w:pPr>
        <w:spacing w:after="240" w:line="480" w:lineRule="auto"/>
        <w:rPr>
          <w:rFonts w:ascii="Arial" w:eastAsia="Arial" w:hAnsi="Arial" w:cs="Arial"/>
        </w:rPr>
      </w:pPr>
      <w:r>
        <w:rPr>
          <w:rFonts w:ascii="Arial" w:eastAsia="Arial" w:hAnsi="Arial" w:cs="Arial"/>
        </w:rPr>
        <w:t xml:space="preserve">Between-group SMD for area under the curve of cortisol, heart rate and blood pressure are presented in table below: cortisol log </w:t>
      </w:r>
      <w:proofErr w:type="spellStart"/>
      <w:r>
        <w:rPr>
          <w:rFonts w:ascii="Arial" w:eastAsia="Arial" w:hAnsi="Arial" w:cs="Arial"/>
        </w:rPr>
        <w:t>AUCg</w:t>
      </w:r>
      <w:proofErr w:type="spellEnd"/>
      <w:r>
        <w:rPr>
          <w:rFonts w:ascii="Arial" w:eastAsia="Arial" w:hAnsi="Arial" w:cs="Arial"/>
        </w:rPr>
        <w:t xml:space="preserve"> was significantly lower among the clinical group compared with the control group, indicating overall lower baseline cortisol and response during the TSST, and systolic blood pressure </w:t>
      </w:r>
      <w:proofErr w:type="spellStart"/>
      <w:r>
        <w:rPr>
          <w:rFonts w:ascii="Arial" w:eastAsia="Arial" w:hAnsi="Arial" w:cs="Arial"/>
        </w:rPr>
        <w:t>AUCg</w:t>
      </w:r>
      <w:proofErr w:type="spellEnd"/>
      <w:r>
        <w:rPr>
          <w:rFonts w:ascii="Arial" w:eastAsia="Arial" w:hAnsi="Arial" w:cs="Arial"/>
        </w:rPr>
        <w:t xml:space="preserve"> was significantly higher among FEP participants compared with CHR participants. There were no other significant differences between the control and clinical groups on </w:t>
      </w:r>
      <w:proofErr w:type="spellStart"/>
      <w:r>
        <w:rPr>
          <w:rFonts w:ascii="Arial" w:eastAsia="Arial" w:hAnsi="Arial" w:cs="Arial"/>
        </w:rPr>
        <w:t>AUCg</w:t>
      </w:r>
      <w:proofErr w:type="spellEnd"/>
      <w:r>
        <w:rPr>
          <w:rFonts w:ascii="Arial" w:eastAsia="Arial" w:hAnsi="Arial" w:cs="Arial"/>
        </w:rPr>
        <w:t xml:space="preserve"> or </w:t>
      </w:r>
      <w:proofErr w:type="spellStart"/>
      <w:r>
        <w:rPr>
          <w:rFonts w:ascii="Arial" w:eastAsia="Arial" w:hAnsi="Arial" w:cs="Arial"/>
        </w:rPr>
        <w:t>AUCi</w:t>
      </w:r>
      <w:proofErr w:type="spellEnd"/>
      <w:r>
        <w:rPr>
          <w:rFonts w:ascii="Arial" w:eastAsia="Arial" w:hAnsi="Arial" w:cs="Arial"/>
        </w:rPr>
        <w:t xml:space="preserve"> for other measures. There were no other significant differences in </w:t>
      </w:r>
      <w:proofErr w:type="spellStart"/>
      <w:r>
        <w:rPr>
          <w:rFonts w:ascii="Arial" w:eastAsia="Arial" w:hAnsi="Arial" w:cs="Arial"/>
        </w:rPr>
        <w:t>AUCg</w:t>
      </w:r>
      <w:proofErr w:type="spellEnd"/>
      <w:r>
        <w:rPr>
          <w:rFonts w:ascii="Arial" w:eastAsia="Arial" w:hAnsi="Arial" w:cs="Arial"/>
        </w:rPr>
        <w:t xml:space="preserve"> or </w:t>
      </w:r>
      <w:proofErr w:type="spellStart"/>
      <w:r>
        <w:rPr>
          <w:rFonts w:ascii="Arial" w:eastAsia="Arial" w:hAnsi="Arial" w:cs="Arial"/>
        </w:rPr>
        <w:t>AUCi</w:t>
      </w:r>
      <w:proofErr w:type="spellEnd"/>
      <w:r>
        <w:rPr>
          <w:rFonts w:ascii="Arial" w:eastAsia="Arial" w:hAnsi="Arial" w:cs="Arial"/>
        </w:rPr>
        <w:t xml:space="preserve"> between the CHR and FEP or the sub-threshold and progressive psychotic symptom group comparisons. </w:t>
      </w:r>
    </w:p>
    <w:p w14:paraId="21E68209" w14:textId="77777777" w:rsidR="0014577C" w:rsidRDefault="00000000">
      <w:pPr>
        <w:spacing w:after="240" w:line="480" w:lineRule="auto"/>
        <w:rPr>
          <w:rFonts w:ascii="Arial" w:eastAsia="Arial" w:hAnsi="Arial" w:cs="Arial"/>
        </w:rPr>
      </w:pPr>
      <w:r>
        <w:rPr>
          <w:rFonts w:ascii="Arial" w:eastAsia="Arial" w:hAnsi="Arial" w:cs="Arial"/>
        </w:rPr>
        <w:t>Group differences in areas under the curve of cortisol and hemodynamic responses to the Trier Social Stress Test</w:t>
      </w:r>
    </w:p>
    <w:tbl>
      <w:tblPr>
        <w:tblStyle w:val="a1"/>
        <w:tblW w:w="9360" w:type="dxa"/>
        <w:tblLayout w:type="fixed"/>
        <w:tblLook w:val="0400" w:firstRow="0" w:lastRow="0" w:firstColumn="0" w:lastColumn="0" w:noHBand="0" w:noVBand="1"/>
      </w:tblPr>
      <w:tblGrid>
        <w:gridCol w:w="2916"/>
        <w:gridCol w:w="1866"/>
        <w:gridCol w:w="1747"/>
        <w:gridCol w:w="2831"/>
      </w:tblGrid>
      <w:tr w:rsidR="0014577C" w14:paraId="73CE5F41" w14:textId="77777777">
        <w:trPr>
          <w:tblHeader/>
        </w:trPr>
        <w:tc>
          <w:tcPr>
            <w:tcW w:w="2916" w:type="dxa"/>
            <w:vMerge w:val="restart"/>
            <w:tcBorders>
              <w:top w:val="single" w:sz="4" w:space="0" w:color="000000"/>
            </w:tcBorders>
            <w:shd w:val="clear" w:color="auto" w:fill="FFFFFF"/>
            <w:tcMar>
              <w:top w:w="75" w:type="dxa"/>
              <w:left w:w="75" w:type="dxa"/>
              <w:bottom w:w="75" w:type="dxa"/>
              <w:right w:w="75" w:type="dxa"/>
            </w:tcMar>
            <w:vAlign w:val="center"/>
          </w:tcPr>
          <w:p w14:paraId="23175D13" w14:textId="77777777" w:rsidR="0014577C" w:rsidRDefault="00000000">
            <w:pPr>
              <w:spacing w:after="240"/>
              <w:jc w:val="center"/>
              <w:rPr>
                <w:rFonts w:ascii="Arial" w:eastAsia="Arial" w:hAnsi="Arial" w:cs="Arial"/>
                <w:b/>
              </w:rPr>
            </w:pPr>
            <w:r>
              <w:rPr>
                <w:rFonts w:ascii="Arial" w:eastAsia="Arial" w:hAnsi="Arial" w:cs="Arial"/>
                <w:b/>
              </w:rPr>
              <w:lastRenderedPageBreak/>
              <w:t>Outcome</w:t>
            </w:r>
          </w:p>
        </w:tc>
        <w:tc>
          <w:tcPr>
            <w:tcW w:w="6444" w:type="dxa"/>
            <w:gridSpan w:val="3"/>
            <w:tcBorders>
              <w:top w:val="single" w:sz="4" w:space="0" w:color="000000"/>
              <w:bottom w:val="single" w:sz="4" w:space="0" w:color="000000"/>
            </w:tcBorders>
            <w:shd w:val="clear" w:color="auto" w:fill="FFFFFF"/>
            <w:tcMar>
              <w:top w:w="75" w:type="dxa"/>
              <w:left w:w="75" w:type="dxa"/>
              <w:bottom w:w="75" w:type="dxa"/>
              <w:right w:w="75" w:type="dxa"/>
            </w:tcMar>
            <w:vAlign w:val="bottom"/>
          </w:tcPr>
          <w:p w14:paraId="525A7885" w14:textId="77777777" w:rsidR="0014577C" w:rsidRDefault="00000000">
            <w:pPr>
              <w:spacing w:after="240"/>
              <w:jc w:val="center"/>
              <w:rPr>
                <w:rFonts w:ascii="Arial" w:eastAsia="Arial" w:hAnsi="Arial" w:cs="Arial"/>
                <w:b/>
              </w:rPr>
            </w:pPr>
            <w:r>
              <w:rPr>
                <w:rFonts w:ascii="Arial" w:eastAsia="Arial" w:hAnsi="Arial" w:cs="Arial"/>
                <w:b/>
              </w:rPr>
              <w:t>Standardized mean difference (95% confidence interval)</w:t>
            </w:r>
          </w:p>
        </w:tc>
      </w:tr>
      <w:tr w:rsidR="0014577C" w14:paraId="470B974E" w14:textId="77777777">
        <w:trPr>
          <w:tblHeader/>
        </w:trPr>
        <w:tc>
          <w:tcPr>
            <w:tcW w:w="2916" w:type="dxa"/>
            <w:vMerge/>
            <w:tcBorders>
              <w:top w:val="single" w:sz="4" w:space="0" w:color="000000"/>
            </w:tcBorders>
            <w:shd w:val="clear" w:color="auto" w:fill="FFFFFF"/>
            <w:tcMar>
              <w:top w:w="75" w:type="dxa"/>
              <w:left w:w="75" w:type="dxa"/>
              <w:bottom w:w="75" w:type="dxa"/>
              <w:right w:w="75" w:type="dxa"/>
            </w:tcMar>
            <w:vAlign w:val="center"/>
          </w:tcPr>
          <w:p w14:paraId="4F2931C1" w14:textId="77777777" w:rsidR="0014577C" w:rsidRDefault="0014577C">
            <w:pPr>
              <w:widowControl w:val="0"/>
              <w:spacing w:line="276" w:lineRule="auto"/>
              <w:rPr>
                <w:rFonts w:ascii="Arial" w:eastAsia="Arial" w:hAnsi="Arial" w:cs="Arial"/>
                <w:b/>
              </w:rPr>
            </w:pPr>
          </w:p>
        </w:tc>
        <w:tc>
          <w:tcPr>
            <w:tcW w:w="1866" w:type="dxa"/>
            <w:tcBorders>
              <w:top w:val="single" w:sz="4" w:space="0" w:color="000000"/>
              <w:bottom w:val="single" w:sz="4" w:space="0" w:color="000000"/>
            </w:tcBorders>
            <w:shd w:val="clear" w:color="auto" w:fill="FFFFFF"/>
            <w:tcMar>
              <w:top w:w="75" w:type="dxa"/>
              <w:left w:w="75" w:type="dxa"/>
              <w:bottom w:w="75" w:type="dxa"/>
              <w:right w:w="75" w:type="dxa"/>
            </w:tcMar>
            <w:vAlign w:val="center"/>
          </w:tcPr>
          <w:p w14:paraId="7A669DBD" w14:textId="77777777" w:rsidR="0014577C" w:rsidRDefault="00000000">
            <w:pPr>
              <w:spacing w:after="240"/>
              <w:jc w:val="center"/>
              <w:rPr>
                <w:rFonts w:ascii="Arial" w:eastAsia="Arial" w:hAnsi="Arial" w:cs="Arial"/>
                <w:b/>
              </w:rPr>
            </w:pPr>
            <w:r>
              <w:rPr>
                <w:rFonts w:ascii="Arial" w:eastAsia="Arial" w:hAnsi="Arial" w:cs="Arial"/>
                <w:b/>
              </w:rPr>
              <w:t>Clinical – Control</w:t>
            </w:r>
          </w:p>
        </w:tc>
        <w:tc>
          <w:tcPr>
            <w:tcW w:w="1747" w:type="dxa"/>
            <w:tcBorders>
              <w:top w:val="single" w:sz="4" w:space="0" w:color="000000"/>
              <w:bottom w:val="single" w:sz="4" w:space="0" w:color="000000"/>
            </w:tcBorders>
            <w:shd w:val="clear" w:color="auto" w:fill="FFFFFF"/>
            <w:tcMar>
              <w:top w:w="75" w:type="dxa"/>
              <w:left w:w="75" w:type="dxa"/>
              <w:bottom w:w="75" w:type="dxa"/>
              <w:right w:w="75" w:type="dxa"/>
            </w:tcMar>
            <w:vAlign w:val="center"/>
          </w:tcPr>
          <w:p w14:paraId="4DBE59B0" w14:textId="77777777" w:rsidR="0014577C" w:rsidRDefault="00000000">
            <w:pPr>
              <w:spacing w:after="240"/>
              <w:jc w:val="center"/>
              <w:rPr>
                <w:rFonts w:ascii="Arial" w:eastAsia="Arial" w:hAnsi="Arial" w:cs="Arial"/>
                <w:b/>
              </w:rPr>
            </w:pPr>
            <w:r>
              <w:rPr>
                <w:rFonts w:ascii="Arial" w:eastAsia="Arial" w:hAnsi="Arial" w:cs="Arial"/>
                <w:b/>
              </w:rPr>
              <w:t>FEP – CHR</w:t>
            </w:r>
          </w:p>
        </w:tc>
        <w:tc>
          <w:tcPr>
            <w:tcW w:w="2831" w:type="dxa"/>
            <w:tcBorders>
              <w:top w:val="single" w:sz="4" w:space="0" w:color="000000"/>
              <w:bottom w:val="single" w:sz="4" w:space="0" w:color="000000"/>
            </w:tcBorders>
            <w:shd w:val="clear" w:color="auto" w:fill="FFFFFF"/>
            <w:vAlign w:val="center"/>
          </w:tcPr>
          <w:p w14:paraId="1A83A2DC" w14:textId="2C311228" w:rsidR="0014577C" w:rsidRDefault="000466EF">
            <w:pPr>
              <w:spacing w:after="240"/>
              <w:jc w:val="center"/>
              <w:rPr>
                <w:rFonts w:ascii="Arial" w:eastAsia="Arial" w:hAnsi="Arial" w:cs="Arial"/>
                <w:b/>
              </w:rPr>
            </w:pPr>
            <w:r>
              <w:rPr>
                <w:rFonts w:ascii="Arial" w:eastAsia="Arial" w:hAnsi="Arial" w:cs="Arial"/>
                <w:b/>
              </w:rPr>
              <w:t>Progressive –</w:t>
            </w:r>
            <w:r w:rsidR="0080490D">
              <w:rPr>
                <w:rFonts w:ascii="Arial" w:eastAsia="Arial" w:hAnsi="Arial" w:cs="Arial"/>
                <w:b/>
              </w:rPr>
              <w:t xml:space="preserve"> </w:t>
            </w:r>
            <w:r>
              <w:rPr>
                <w:rFonts w:ascii="Arial" w:eastAsia="Arial" w:hAnsi="Arial" w:cs="Arial"/>
                <w:b/>
              </w:rPr>
              <w:t>Sub-threshold Psychotic Symptom</w:t>
            </w:r>
            <w:r w:rsidR="00F6660F">
              <w:rPr>
                <w:rFonts w:ascii="Arial" w:eastAsia="Arial" w:hAnsi="Arial" w:cs="Arial"/>
                <w:b/>
              </w:rPr>
              <w:t>s</w:t>
            </w:r>
          </w:p>
        </w:tc>
      </w:tr>
      <w:tr w:rsidR="0014577C" w14:paraId="41C9D313" w14:textId="77777777">
        <w:tc>
          <w:tcPr>
            <w:tcW w:w="2916" w:type="dxa"/>
            <w:tcBorders>
              <w:top w:val="single" w:sz="4" w:space="0" w:color="000000"/>
            </w:tcBorders>
            <w:shd w:val="clear" w:color="auto" w:fill="FFFFFF"/>
            <w:tcMar>
              <w:top w:w="75" w:type="dxa"/>
              <w:left w:w="75" w:type="dxa"/>
              <w:bottom w:w="75" w:type="dxa"/>
              <w:right w:w="75" w:type="dxa"/>
            </w:tcMar>
          </w:tcPr>
          <w:p w14:paraId="22B86CD2" w14:textId="77777777" w:rsidR="0014577C" w:rsidRDefault="00000000">
            <w:pPr>
              <w:spacing w:after="240"/>
              <w:jc w:val="center"/>
              <w:rPr>
                <w:rFonts w:ascii="Arial" w:eastAsia="Arial" w:hAnsi="Arial" w:cs="Arial"/>
              </w:rPr>
            </w:pPr>
            <w:r>
              <w:rPr>
                <w:rFonts w:ascii="Arial" w:eastAsia="Arial" w:hAnsi="Arial" w:cs="Arial"/>
              </w:rPr>
              <w:t xml:space="preserve">Cortisol, log </w:t>
            </w:r>
            <w:proofErr w:type="spellStart"/>
            <w:r>
              <w:rPr>
                <w:rFonts w:ascii="Arial" w:eastAsia="Arial" w:hAnsi="Arial" w:cs="Arial"/>
              </w:rPr>
              <w:t>AUCg</w:t>
            </w:r>
            <w:proofErr w:type="spellEnd"/>
          </w:p>
        </w:tc>
        <w:tc>
          <w:tcPr>
            <w:tcW w:w="1866" w:type="dxa"/>
            <w:tcBorders>
              <w:top w:val="single" w:sz="4" w:space="0" w:color="000000"/>
            </w:tcBorders>
            <w:shd w:val="clear" w:color="auto" w:fill="FFFFFF"/>
            <w:tcMar>
              <w:top w:w="75" w:type="dxa"/>
              <w:left w:w="75" w:type="dxa"/>
              <w:bottom w:w="75" w:type="dxa"/>
              <w:right w:w="75" w:type="dxa"/>
            </w:tcMar>
          </w:tcPr>
          <w:p w14:paraId="183373D5" w14:textId="77777777" w:rsidR="0014577C" w:rsidRDefault="00000000">
            <w:pPr>
              <w:spacing w:after="240"/>
              <w:jc w:val="center"/>
              <w:rPr>
                <w:rFonts w:ascii="Arial" w:eastAsia="Arial" w:hAnsi="Arial" w:cs="Arial"/>
                <w:b/>
              </w:rPr>
            </w:pPr>
            <w:r>
              <w:rPr>
                <w:rFonts w:ascii="Arial" w:eastAsia="Arial" w:hAnsi="Arial" w:cs="Arial"/>
                <w:b/>
              </w:rPr>
              <w:t>-0.43 (-0.80, -0.06)</w:t>
            </w:r>
          </w:p>
        </w:tc>
        <w:tc>
          <w:tcPr>
            <w:tcW w:w="1747" w:type="dxa"/>
            <w:tcBorders>
              <w:top w:val="single" w:sz="4" w:space="0" w:color="000000"/>
            </w:tcBorders>
            <w:shd w:val="clear" w:color="auto" w:fill="FFFFFF"/>
            <w:tcMar>
              <w:top w:w="75" w:type="dxa"/>
              <w:left w:w="75" w:type="dxa"/>
              <w:bottom w:w="75" w:type="dxa"/>
              <w:right w:w="75" w:type="dxa"/>
            </w:tcMar>
          </w:tcPr>
          <w:p w14:paraId="08EF670F" w14:textId="77777777" w:rsidR="0014577C" w:rsidRDefault="00000000">
            <w:pPr>
              <w:spacing w:after="240"/>
              <w:jc w:val="center"/>
              <w:rPr>
                <w:rFonts w:ascii="Arial" w:eastAsia="Arial" w:hAnsi="Arial" w:cs="Arial"/>
              </w:rPr>
            </w:pPr>
            <w:r>
              <w:rPr>
                <w:rFonts w:ascii="Arial" w:eastAsia="Arial" w:hAnsi="Arial" w:cs="Arial"/>
              </w:rPr>
              <w:t>0.01 (-0.44, 0.46)</w:t>
            </w:r>
          </w:p>
        </w:tc>
        <w:tc>
          <w:tcPr>
            <w:tcW w:w="2831" w:type="dxa"/>
            <w:tcBorders>
              <w:top w:val="single" w:sz="4" w:space="0" w:color="000000"/>
            </w:tcBorders>
            <w:shd w:val="clear" w:color="auto" w:fill="FFFFFF"/>
          </w:tcPr>
          <w:p w14:paraId="63515229" w14:textId="77777777" w:rsidR="0014577C" w:rsidRDefault="00000000">
            <w:pPr>
              <w:spacing w:after="240"/>
              <w:jc w:val="center"/>
              <w:rPr>
                <w:rFonts w:ascii="Arial" w:eastAsia="Arial" w:hAnsi="Arial" w:cs="Arial"/>
              </w:rPr>
            </w:pPr>
            <w:r>
              <w:rPr>
                <w:rFonts w:ascii="Arial" w:eastAsia="Arial" w:hAnsi="Arial" w:cs="Arial"/>
              </w:rPr>
              <w:t>-0.05 (-0.55, 0.46)</w:t>
            </w:r>
          </w:p>
        </w:tc>
      </w:tr>
      <w:tr w:rsidR="0014577C" w14:paraId="15C35609" w14:textId="77777777">
        <w:tc>
          <w:tcPr>
            <w:tcW w:w="2916" w:type="dxa"/>
            <w:shd w:val="clear" w:color="auto" w:fill="FFFFFF"/>
            <w:tcMar>
              <w:top w:w="75" w:type="dxa"/>
              <w:left w:w="75" w:type="dxa"/>
              <w:bottom w:w="75" w:type="dxa"/>
              <w:right w:w="75" w:type="dxa"/>
            </w:tcMar>
          </w:tcPr>
          <w:p w14:paraId="76B3541E" w14:textId="77777777" w:rsidR="0014577C" w:rsidRDefault="00000000">
            <w:pPr>
              <w:spacing w:after="240"/>
              <w:jc w:val="center"/>
              <w:rPr>
                <w:rFonts w:ascii="Arial" w:eastAsia="Arial" w:hAnsi="Arial" w:cs="Arial"/>
              </w:rPr>
            </w:pPr>
            <w:r>
              <w:rPr>
                <w:rFonts w:ascii="Arial" w:eastAsia="Arial" w:hAnsi="Arial" w:cs="Arial"/>
              </w:rPr>
              <w:t xml:space="preserve">Cortisol, </w:t>
            </w:r>
            <w:proofErr w:type="spellStart"/>
            <w:r>
              <w:rPr>
                <w:rFonts w:ascii="Arial" w:eastAsia="Arial" w:hAnsi="Arial" w:cs="Arial"/>
              </w:rPr>
              <w:t>AUCi</w:t>
            </w:r>
            <w:proofErr w:type="spellEnd"/>
          </w:p>
        </w:tc>
        <w:tc>
          <w:tcPr>
            <w:tcW w:w="1866" w:type="dxa"/>
            <w:shd w:val="clear" w:color="auto" w:fill="FFFFFF"/>
            <w:tcMar>
              <w:top w:w="75" w:type="dxa"/>
              <w:left w:w="75" w:type="dxa"/>
              <w:bottom w:w="75" w:type="dxa"/>
              <w:right w:w="75" w:type="dxa"/>
            </w:tcMar>
          </w:tcPr>
          <w:p w14:paraId="58AF0965" w14:textId="77777777" w:rsidR="0014577C" w:rsidRDefault="00000000">
            <w:pPr>
              <w:spacing w:after="240"/>
              <w:jc w:val="center"/>
              <w:rPr>
                <w:rFonts w:ascii="Arial" w:eastAsia="Arial" w:hAnsi="Arial" w:cs="Arial"/>
              </w:rPr>
            </w:pPr>
            <w:r>
              <w:rPr>
                <w:rFonts w:ascii="Arial" w:eastAsia="Arial" w:hAnsi="Arial" w:cs="Arial"/>
              </w:rPr>
              <w:t>-0.16 (-0.52, 0.21)</w:t>
            </w:r>
          </w:p>
        </w:tc>
        <w:tc>
          <w:tcPr>
            <w:tcW w:w="1747" w:type="dxa"/>
            <w:shd w:val="clear" w:color="auto" w:fill="FFFFFF"/>
            <w:tcMar>
              <w:top w:w="75" w:type="dxa"/>
              <w:left w:w="75" w:type="dxa"/>
              <w:bottom w:w="75" w:type="dxa"/>
              <w:right w:w="75" w:type="dxa"/>
            </w:tcMar>
          </w:tcPr>
          <w:p w14:paraId="4E084354" w14:textId="77777777" w:rsidR="0014577C" w:rsidRDefault="00000000">
            <w:pPr>
              <w:spacing w:after="240"/>
              <w:jc w:val="center"/>
              <w:rPr>
                <w:rFonts w:ascii="Arial" w:eastAsia="Arial" w:hAnsi="Arial" w:cs="Arial"/>
              </w:rPr>
            </w:pPr>
            <w:r>
              <w:rPr>
                <w:rFonts w:ascii="Arial" w:eastAsia="Arial" w:hAnsi="Arial" w:cs="Arial"/>
              </w:rPr>
              <w:t>-0.24 (-0.69, 0.21)</w:t>
            </w:r>
          </w:p>
        </w:tc>
        <w:tc>
          <w:tcPr>
            <w:tcW w:w="2831" w:type="dxa"/>
            <w:shd w:val="clear" w:color="auto" w:fill="FFFFFF"/>
          </w:tcPr>
          <w:p w14:paraId="2E0BCCFA" w14:textId="77777777" w:rsidR="0014577C" w:rsidRDefault="00000000">
            <w:pPr>
              <w:spacing w:after="240"/>
              <w:jc w:val="center"/>
              <w:rPr>
                <w:rFonts w:ascii="Arial" w:eastAsia="Arial" w:hAnsi="Arial" w:cs="Arial"/>
              </w:rPr>
            </w:pPr>
            <w:r>
              <w:rPr>
                <w:rFonts w:ascii="Arial" w:eastAsia="Arial" w:hAnsi="Arial" w:cs="Arial"/>
              </w:rPr>
              <w:t>-0.29 (-0.80, 0.21)</w:t>
            </w:r>
          </w:p>
        </w:tc>
      </w:tr>
      <w:tr w:rsidR="0014577C" w14:paraId="65C413E2" w14:textId="77777777">
        <w:tc>
          <w:tcPr>
            <w:tcW w:w="2916" w:type="dxa"/>
            <w:shd w:val="clear" w:color="auto" w:fill="FFFFFF"/>
            <w:tcMar>
              <w:top w:w="75" w:type="dxa"/>
              <w:left w:w="75" w:type="dxa"/>
              <w:bottom w:w="75" w:type="dxa"/>
              <w:right w:w="75" w:type="dxa"/>
            </w:tcMar>
          </w:tcPr>
          <w:p w14:paraId="01C84820" w14:textId="77777777" w:rsidR="0014577C" w:rsidRDefault="00000000">
            <w:pPr>
              <w:spacing w:after="240"/>
              <w:jc w:val="center"/>
              <w:rPr>
                <w:rFonts w:ascii="Arial" w:eastAsia="Arial" w:hAnsi="Arial" w:cs="Arial"/>
              </w:rPr>
            </w:pPr>
            <w:r>
              <w:rPr>
                <w:rFonts w:ascii="Arial" w:eastAsia="Arial" w:hAnsi="Arial" w:cs="Arial"/>
              </w:rPr>
              <w:t xml:space="preserve">Heart rate, </w:t>
            </w:r>
            <w:proofErr w:type="spellStart"/>
            <w:r>
              <w:rPr>
                <w:rFonts w:ascii="Arial" w:eastAsia="Arial" w:hAnsi="Arial" w:cs="Arial"/>
              </w:rPr>
              <w:t>AUCg</w:t>
            </w:r>
            <w:proofErr w:type="spellEnd"/>
          </w:p>
        </w:tc>
        <w:tc>
          <w:tcPr>
            <w:tcW w:w="1866" w:type="dxa"/>
            <w:shd w:val="clear" w:color="auto" w:fill="FFFFFF"/>
            <w:tcMar>
              <w:top w:w="75" w:type="dxa"/>
              <w:left w:w="75" w:type="dxa"/>
              <w:bottom w:w="75" w:type="dxa"/>
              <w:right w:w="75" w:type="dxa"/>
            </w:tcMar>
          </w:tcPr>
          <w:p w14:paraId="7B83B795" w14:textId="77777777" w:rsidR="0014577C" w:rsidRDefault="00000000">
            <w:pPr>
              <w:spacing w:after="240"/>
              <w:jc w:val="center"/>
              <w:rPr>
                <w:rFonts w:ascii="Arial" w:eastAsia="Arial" w:hAnsi="Arial" w:cs="Arial"/>
              </w:rPr>
            </w:pPr>
            <w:r>
              <w:rPr>
                <w:rFonts w:ascii="Arial" w:eastAsia="Arial" w:hAnsi="Arial" w:cs="Arial"/>
              </w:rPr>
              <w:t>0.28 (-0.11, 0.68)</w:t>
            </w:r>
          </w:p>
        </w:tc>
        <w:tc>
          <w:tcPr>
            <w:tcW w:w="1747" w:type="dxa"/>
            <w:shd w:val="clear" w:color="auto" w:fill="FFFFFF"/>
            <w:tcMar>
              <w:top w:w="75" w:type="dxa"/>
              <w:left w:w="75" w:type="dxa"/>
              <w:bottom w:w="75" w:type="dxa"/>
              <w:right w:w="75" w:type="dxa"/>
            </w:tcMar>
          </w:tcPr>
          <w:p w14:paraId="0726C5AC" w14:textId="77777777" w:rsidR="0014577C" w:rsidRDefault="00000000">
            <w:pPr>
              <w:spacing w:after="240"/>
              <w:jc w:val="center"/>
              <w:rPr>
                <w:rFonts w:ascii="Arial" w:eastAsia="Arial" w:hAnsi="Arial" w:cs="Arial"/>
              </w:rPr>
            </w:pPr>
            <w:r>
              <w:rPr>
                <w:rFonts w:ascii="Arial" w:eastAsia="Arial" w:hAnsi="Arial" w:cs="Arial"/>
              </w:rPr>
              <w:t>0.37 (-0.12, 0.85)</w:t>
            </w:r>
          </w:p>
        </w:tc>
        <w:tc>
          <w:tcPr>
            <w:tcW w:w="2831" w:type="dxa"/>
            <w:shd w:val="clear" w:color="auto" w:fill="FFFFFF"/>
          </w:tcPr>
          <w:p w14:paraId="757A094F" w14:textId="77777777" w:rsidR="0014577C" w:rsidRDefault="00000000">
            <w:pPr>
              <w:spacing w:after="240"/>
              <w:jc w:val="center"/>
              <w:rPr>
                <w:rFonts w:ascii="Arial" w:eastAsia="Arial" w:hAnsi="Arial" w:cs="Arial"/>
              </w:rPr>
            </w:pPr>
            <w:r>
              <w:rPr>
                <w:rFonts w:ascii="Arial" w:eastAsia="Arial" w:hAnsi="Arial" w:cs="Arial"/>
              </w:rPr>
              <w:t>0.35 (-0.20, 0.89)</w:t>
            </w:r>
          </w:p>
        </w:tc>
      </w:tr>
      <w:tr w:rsidR="0014577C" w14:paraId="73AB76DE" w14:textId="77777777">
        <w:tc>
          <w:tcPr>
            <w:tcW w:w="2916" w:type="dxa"/>
            <w:shd w:val="clear" w:color="auto" w:fill="FFFFFF"/>
            <w:tcMar>
              <w:top w:w="75" w:type="dxa"/>
              <w:left w:w="75" w:type="dxa"/>
              <w:bottom w:w="75" w:type="dxa"/>
              <w:right w:w="75" w:type="dxa"/>
            </w:tcMar>
          </w:tcPr>
          <w:p w14:paraId="2E3BAC6E" w14:textId="77777777" w:rsidR="0014577C" w:rsidRDefault="00000000">
            <w:pPr>
              <w:spacing w:after="240"/>
              <w:jc w:val="center"/>
              <w:rPr>
                <w:rFonts w:ascii="Arial" w:eastAsia="Arial" w:hAnsi="Arial" w:cs="Arial"/>
              </w:rPr>
            </w:pPr>
            <w:r>
              <w:rPr>
                <w:rFonts w:ascii="Arial" w:eastAsia="Arial" w:hAnsi="Arial" w:cs="Arial"/>
              </w:rPr>
              <w:t xml:space="preserve">Heart rate, </w:t>
            </w:r>
            <w:proofErr w:type="spellStart"/>
            <w:r>
              <w:rPr>
                <w:rFonts w:ascii="Arial" w:eastAsia="Arial" w:hAnsi="Arial" w:cs="Arial"/>
              </w:rPr>
              <w:t>AUCi</w:t>
            </w:r>
            <w:proofErr w:type="spellEnd"/>
          </w:p>
        </w:tc>
        <w:tc>
          <w:tcPr>
            <w:tcW w:w="1866" w:type="dxa"/>
            <w:shd w:val="clear" w:color="auto" w:fill="FFFFFF"/>
            <w:tcMar>
              <w:top w:w="75" w:type="dxa"/>
              <w:left w:w="75" w:type="dxa"/>
              <w:bottom w:w="75" w:type="dxa"/>
              <w:right w:w="75" w:type="dxa"/>
            </w:tcMar>
          </w:tcPr>
          <w:p w14:paraId="4252BDF2" w14:textId="77777777" w:rsidR="0014577C" w:rsidRDefault="00000000">
            <w:pPr>
              <w:spacing w:after="240"/>
              <w:jc w:val="center"/>
              <w:rPr>
                <w:rFonts w:ascii="Arial" w:eastAsia="Arial" w:hAnsi="Arial" w:cs="Arial"/>
              </w:rPr>
            </w:pPr>
            <w:r>
              <w:rPr>
                <w:rFonts w:ascii="Arial" w:eastAsia="Arial" w:hAnsi="Arial" w:cs="Arial"/>
              </w:rPr>
              <w:t>-0.20 (-0.63, 0.23)</w:t>
            </w:r>
          </w:p>
        </w:tc>
        <w:tc>
          <w:tcPr>
            <w:tcW w:w="1747" w:type="dxa"/>
            <w:shd w:val="clear" w:color="auto" w:fill="FFFFFF"/>
            <w:tcMar>
              <w:top w:w="75" w:type="dxa"/>
              <w:left w:w="75" w:type="dxa"/>
              <w:bottom w:w="75" w:type="dxa"/>
              <w:right w:w="75" w:type="dxa"/>
            </w:tcMar>
          </w:tcPr>
          <w:p w14:paraId="7B4DB96A" w14:textId="77777777" w:rsidR="0014577C" w:rsidRDefault="00000000">
            <w:pPr>
              <w:spacing w:after="240"/>
              <w:jc w:val="center"/>
              <w:rPr>
                <w:rFonts w:ascii="Arial" w:eastAsia="Arial" w:hAnsi="Arial" w:cs="Arial"/>
              </w:rPr>
            </w:pPr>
            <w:r>
              <w:rPr>
                <w:rFonts w:ascii="Arial" w:eastAsia="Arial" w:hAnsi="Arial" w:cs="Arial"/>
              </w:rPr>
              <w:t>0.16 (-0.41, 0.74)</w:t>
            </w:r>
          </w:p>
        </w:tc>
        <w:tc>
          <w:tcPr>
            <w:tcW w:w="2831" w:type="dxa"/>
            <w:shd w:val="clear" w:color="auto" w:fill="FFFFFF"/>
          </w:tcPr>
          <w:p w14:paraId="6FCF02CD" w14:textId="77777777" w:rsidR="0014577C" w:rsidRDefault="00000000">
            <w:pPr>
              <w:spacing w:after="240"/>
              <w:jc w:val="center"/>
              <w:rPr>
                <w:rFonts w:ascii="Arial" w:eastAsia="Arial" w:hAnsi="Arial" w:cs="Arial"/>
              </w:rPr>
            </w:pPr>
            <w:r>
              <w:rPr>
                <w:rFonts w:ascii="Arial" w:eastAsia="Arial" w:hAnsi="Arial" w:cs="Arial"/>
              </w:rPr>
              <w:t>0.22 (-0.39, 0.83)</w:t>
            </w:r>
          </w:p>
        </w:tc>
      </w:tr>
      <w:tr w:rsidR="0014577C" w14:paraId="1A2DF580" w14:textId="77777777">
        <w:tc>
          <w:tcPr>
            <w:tcW w:w="2916" w:type="dxa"/>
            <w:shd w:val="clear" w:color="auto" w:fill="FFFFFF"/>
            <w:tcMar>
              <w:top w:w="75" w:type="dxa"/>
              <w:left w:w="75" w:type="dxa"/>
              <w:bottom w:w="75" w:type="dxa"/>
              <w:right w:w="75" w:type="dxa"/>
            </w:tcMar>
          </w:tcPr>
          <w:p w14:paraId="13FC215B" w14:textId="77777777" w:rsidR="0014577C" w:rsidRDefault="00000000">
            <w:pPr>
              <w:spacing w:after="240"/>
              <w:jc w:val="center"/>
              <w:rPr>
                <w:rFonts w:ascii="Arial" w:eastAsia="Arial" w:hAnsi="Arial" w:cs="Arial"/>
              </w:rPr>
            </w:pPr>
            <w:r>
              <w:rPr>
                <w:rFonts w:ascii="Arial" w:eastAsia="Arial" w:hAnsi="Arial" w:cs="Arial"/>
              </w:rPr>
              <w:t xml:space="preserve">Systolic blood pressure, </w:t>
            </w:r>
            <w:proofErr w:type="spellStart"/>
            <w:r>
              <w:rPr>
                <w:rFonts w:ascii="Arial" w:eastAsia="Arial" w:hAnsi="Arial" w:cs="Arial"/>
              </w:rPr>
              <w:t>AUCg</w:t>
            </w:r>
            <w:proofErr w:type="spellEnd"/>
          </w:p>
        </w:tc>
        <w:tc>
          <w:tcPr>
            <w:tcW w:w="1866" w:type="dxa"/>
            <w:shd w:val="clear" w:color="auto" w:fill="FFFFFF"/>
            <w:tcMar>
              <w:top w:w="75" w:type="dxa"/>
              <w:left w:w="75" w:type="dxa"/>
              <w:bottom w:w="75" w:type="dxa"/>
              <w:right w:w="75" w:type="dxa"/>
            </w:tcMar>
          </w:tcPr>
          <w:p w14:paraId="4A985987" w14:textId="77777777" w:rsidR="0014577C" w:rsidRDefault="00000000">
            <w:pPr>
              <w:spacing w:after="240"/>
              <w:jc w:val="center"/>
              <w:rPr>
                <w:rFonts w:ascii="Arial" w:eastAsia="Arial" w:hAnsi="Arial" w:cs="Arial"/>
              </w:rPr>
            </w:pPr>
            <w:r>
              <w:rPr>
                <w:rFonts w:ascii="Arial" w:eastAsia="Arial" w:hAnsi="Arial" w:cs="Arial"/>
              </w:rPr>
              <w:t>-0.03 (-0.43, 0.38)</w:t>
            </w:r>
          </w:p>
        </w:tc>
        <w:tc>
          <w:tcPr>
            <w:tcW w:w="1747" w:type="dxa"/>
            <w:shd w:val="clear" w:color="auto" w:fill="FFFFFF"/>
            <w:tcMar>
              <w:top w:w="75" w:type="dxa"/>
              <w:left w:w="75" w:type="dxa"/>
              <w:bottom w:w="75" w:type="dxa"/>
              <w:right w:w="75" w:type="dxa"/>
            </w:tcMar>
          </w:tcPr>
          <w:p w14:paraId="51AF7618" w14:textId="77777777" w:rsidR="0014577C" w:rsidRDefault="00000000">
            <w:pPr>
              <w:spacing w:after="240"/>
              <w:jc w:val="center"/>
              <w:rPr>
                <w:rFonts w:ascii="Arial" w:eastAsia="Arial" w:hAnsi="Arial" w:cs="Arial"/>
                <w:b/>
              </w:rPr>
            </w:pPr>
            <w:r>
              <w:rPr>
                <w:rFonts w:ascii="Arial" w:eastAsia="Arial" w:hAnsi="Arial" w:cs="Arial"/>
                <w:b/>
              </w:rPr>
              <w:t>0.53 (0.02, 1.04)</w:t>
            </w:r>
          </w:p>
        </w:tc>
        <w:tc>
          <w:tcPr>
            <w:tcW w:w="2831" w:type="dxa"/>
            <w:shd w:val="clear" w:color="auto" w:fill="FFFFFF"/>
          </w:tcPr>
          <w:p w14:paraId="53525FB1" w14:textId="77777777" w:rsidR="0014577C" w:rsidRDefault="00000000">
            <w:pPr>
              <w:spacing w:after="240"/>
              <w:jc w:val="center"/>
              <w:rPr>
                <w:rFonts w:ascii="Arial" w:eastAsia="Arial" w:hAnsi="Arial" w:cs="Arial"/>
              </w:rPr>
            </w:pPr>
            <w:r>
              <w:rPr>
                <w:rFonts w:ascii="Arial" w:eastAsia="Arial" w:hAnsi="Arial" w:cs="Arial"/>
              </w:rPr>
              <w:t>0.47 (-0.08, 1.03)</w:t>
            </w:r>
          </w:p>
        </w:tc>
      </w:tr>
      <w:tr w:rsidR="0014577C" w14:paraId="798B690F" w14:textId="77777777">
        <w:tc>
          <w:tcPr>
            <w:tcW w:w="2916" w:type="dxa"/>
            <w:shd w:val="clear" w:color="auto" w:fill="FFFFFF"/>
            <w:tcMar>
              <w:top w:w="75" w:type="dxa"/>
              <w:left w:w="75" w:type="dxa"/>
              <w:bottom w:w="75" w:type="dxa"/>
              <w:right w:w="75" w:type="dxa"/>
            </w:tcMar>
          </w:tcPr>
          <w:p w14:paraId="702FEE10" w14:textId="77777777" w:rsidR="0014577C" w:rsidRDefault="00000000">
            <w:pPr>
              <w:spacing w:after="240"/>
              <w:jc w:val="center"/>
              <w:rPr>
                <w:rFonts w:ascii="Arial" w:eastAsia="Arial" w:hAnsi="Arial" w:cs="Arial"/>
              </w:rPr>
            </w:pPr>
            <w:r>
              <w:rPr>
                <w:rFonts w:ascii="Arial" w:eastAsia="Arial" w:hAnsi="Arial" w:cs="Arial"/>
              </w:rPr>
              <w:t xml:space="preserve">Systolic blood pressure, </w:t>
            </w:r>
            <w:proofErr w:type="spellStart"/>
            <w:r>
              <w:rPr>
                <w:rFonts w:ascii="Arial" w:eastAsia="Arial" w:hAnsi="Arial" w:cs="Arial"/>
              </w:rPr>
              <w:t>AUCi</w:t>
            </w:r>
            <w:proofErr w:type="spellEnd"/>
          </w:p>
        </w:tc>
        <w:tc>
          <w:tcPr>
            <w:tcW w:w="1866" w:type="dxa"/>
            <w:shd w:val="clear" w:color="auto" w:fill="FFFFFF"/>
            <w:tcMar>
              <w:top w:w="75" w:type="dxa"/>
              <w:left w:w="75" w:type="dxa"/>
              <w:bottom w:w="75" w:type="dxa"/>
              <w:right w:w="75" w:type="dxa"/>
            </w:tcMar>
          </w:tcPr>
          <w:p w14:paraId="79CCCF59" w14:textId="77777777" w:rsidR="0014577C" w:rsidRDefault="00000000">
            <w:pPr>
              <w:spacing w:after="240"/>
              <w:jc w:val="center"/>
              <w:rPr>
                <w:rFonts w:ascii="Arial" w:eastAsia="Arial" w:hAnsi="Arial" w:cs="Arial"/>
              </w:rPr>
            </w:pPr>
            <w:r>
              <w:rPr>
                <w:rFonts w:ascii="Arial" w:eastAsia="Arial" w:hAnsi="Arial" w:cs="Arial"/>
              </w:rPr>
              <w:t>-0.09 (-0.50, 0.32)</w:t>
            </w:r>
          </w:p>
        </w:tc>
        <w:tc>
          <w:tcPr>
            <w:tcW w:w="1747" w:type="dxa"/>
            <w:shd w:val="clear" w:color="auto" w:fill="FFFFFF"/>
            <w:tcMar>
              <w:top w:w="75" w:type="dxa"/>
              <w:left w:w="75" w:type="dxa"/>
              <w:bottom w:w="75" w:type="dxa"/>
              <w:right w:w="75" w:type="dxa"/>
            </w:tcMar>
          </w:tcPr>
          <w:p w14:paraId="413B8D22" w14:textId="77777777" w:rsidR="0014577C" w:rsidRDefault="00000000">
            <w:pPr>
              <w:spacing w:after="240"/>
              <w:jc w:val="center"/>
              <w:rPr>
                <w:rFonts w:ascii="Arial" w:eastAsia="Arial" w:hAnsi="Arial" w:cs="Arial"/>
              </w:rPr>
            </w:pPr>
            <w:r>
              <w:rPr>
                <w:rFonts w:ascii="Arial" w:eastAsia="Arial" w:hAnsi="Arial" w:cs="Arial"/>
              </w:rPr>
              <w:t>-0.04 (-0.56, 0.48)</w:t>
            </w:r>
          </w:p>
        </w:tc>
        <w:tc>
          <w:tcPr>
            <w:tcW w:w="2831" w:type="dxa"/>
            <w:shd w:val="clear" w:color="auto" w:fill="FFFFFF"/>
          </w:tcPr>
          <w:p w14:paraId="24A21850" w14:textId="77777777" w:rsidR="0014577C" w:rsidRDefault="00000000">
            <w:pPr>
              <w:spacing w:after="240"/>
              <w:jc w:val="center"/>
              <w:rPr>
                <w:rFonts w:ascii="Arial" w:eastAsia="Arial" w:hAnsi="Arial" w:cs="Arial"/>
              </w:rPr>
            </w:pPr>
            <w:r>
              <w:rPr>
                <w:rFonts w:ascii="Arial" w:eastAsia="Arial" w:hAnsi="Arial" w:cs="Arial"/>
              </w:rPr>
              <w:t>-0.03 (-0.64, 0.58)</w:t>
            </w:r>
          </w:p>
        </w:tc>
      </w:tr>
      <w:tr w:rsidR="0014577C" w14:paraId="485BA333" w14:textId="77777777">
        <w:tc>
          <w:tcPr>
            <w:tcW w:w="2916" w:type="dxa"/>
            <w:shd w:val="clear" w:color="auto" w:fill="FFFFFF"/>
            <w:tcMar>
              <w:top w:w="75" w:type="dxa"/>
              <w:left w:w="75" w:type="dxa"/>
              <w:bottom w:w="75" w:type="dxa"/>
              <w:right w:w="75" w:type="dxa"/>
            </w:tcMar>
          </w:tcPr>
          <w:p w14:paraId="744A66E6" w14:textId="77777777" w:rsidR="0014577C" w:rsidRDefault="00000000">
            <w:pPr>
              <w:spacing w:after="240"/>
              <w:jc w:val="center"/>
              <w:rPr>
                <w:rFonts w:ascii="Arial" w:eastAsia="Arial" w:hAnsi="Arial" w:cs="Arial"/>
              </w:rPr>
            </w:pPr>
            <w:r>
              <w:rPr>
                <w:rFonts w:ascii="Arial" w:eastAsia="Arial" w:hAnsi="Arial" w:cs="Arial"/>
              </w:rPr>
              <w:t xml:space="preserve">Diastolic blood pressure, </w:t>
            </w:r>
            <w:proofErr w:type="spellStart"/>
            <w:r>
              <w:rPr>
                <w:rFonts w:ascii="Arial" w:eastAsia="Arial" w:hAnsi="Arial" w:cs="Arial"/>
              </w:rPr>
              <w:t>AUCg</w:t>
            </w:r>
            <w:proofErr w:type="spellEnd"/>
          </w:p>
        </w:tc>
        <w:tc>
          <w:tcPr>
            <w:tcW w:w="1866" w:type="dxa"/>
            <w:shd w:val="clear" w:color="auto" w:fill="FFFFFF"/>
            <w:tcMar>
              <w:top w:w="75" w:type="dxa"/>
              <w:left w:w="75" w:type="dxa"/>
              <w:bottom w:w="75" w:type="dxa"/>
              <w:right w:w="75" w:type="dxa"/>
            </w:tcMar>
          </w:tcPr>
          <w:p w14:paraId="655A6888" w14:textId="77777777" w:rsidR="0014577C" w:rsidRDefault="00000000">
            <w:pPr>
              <w:spacing w:after="240"/>
              <w:jc w:val="center"/>
              <w:rPr>
                <w:rFonts w:ascii="Arial" w:eastAsia="Arial" w:hAnsi="Arial" w:cs="Arial"/>
              </w:rPr>
            </w:pPr>
            <w:r>
              <w:rPr>
                <w:rFonts w:ascii="Arial" w:eastAsia="Arial" w:hAnsi="Arial" w:cs="Arial"/>
              </w:rPr>
              <w:t>-0.21 (-0.60, 0.18)</w:t>
            </w:r>
          </w:p>
        </w:tc>
        <w:tc>
          <w:tcPr>
            <w:tcW w:w="1747" w:type="dxa"/>
            <w:shd w:val="clear" w:color="auto" w:fill="FFFFFF"/>
            <w:tcMar>
              <w:top w:w="75" w:type="dxa"/>
              <w:left w:w="75" w:type="dxa"/>
              <w:bottom w:w="75" w:type="dxa"/>
              <w:right w:w="75" w:type="dxa"/>
            </w:tcMar>
          </w:tcPr>
          <w:p w14:paraId="586927A9" w14:textId="77777777" w:rsidR="0014577C" w:rsidRDefault="00000000">
            <w:pPr>
              <w:spacing w:after="240"/>
              <w:jc w:val="center"/>
              <w:rPr>
                <w:rFonts w:ascii="Arial" w:eastAsia="Arial" w:hAnsi="Arial" w:cs="Arial"/>
              </w:rPr>
            </w:pPr>
            <w:r>
              <w:rPr>
                <w:rFonts w:ascii="Arial" w:eastAsia="Arial" w:hAnsi="Arial" w:cs="Arial"/>
              </w:rPr>
              <w:t>0.09 (-0.41, 0.58)</w:t>
            </w:r>
          </w:p>
        </w:tc>
        <w:tc>
          <w:tcPr>
            <w:tcW w:w="2831" w:type="dxa"/>
            <w:shd w:val="clear" w:color="auto" w:fill="FFFFFF"/>
          </w:tcPr>
          <w:p w14:paraId="55235AB5" w14:textId="77777777" w:rsidR="0014577C" w:rsidRDefault="00000000">
            <w:pPr>
              <w:spacing w:after="240"/>
              <w:jc w:val="center"/>
              <w:rPr>
                <w:rFonts w:ascii="Arial" w:eastAsia="Arial" w:hAnsi="Arial" w:cs="Arial"/>
              </w:rPr>
            </w:pPr>
            <w:r>
              <w:rPr>
                <w:rFonts w:ascii="Arial" w:eastAsia="Arial" w:hAnsi="Arial" w:cs="Arial"/>
              </w:rPr>
              <w:t>0.02 (-0.53, 0.58)</w:t>
            </w:r>
          </w:p>
        </w:tc>
      </w:tr>
      <w:tr w:rsidR="0014577C" w14:paraId="27169518" w14:textId="77777777">
        <w:tc>
          <w:tcPr>
            <w:tcW w:w="2916" w:type="dxa"/>
            <w:tcBorders>
              <w:bottom w:val="single" w:sz="4" w:space="0" w:color="000000"/>
            </w:tcBorders>
            <w:shd w:val="clear" w:color="auto" w:fill="FFFFFF"/>
            <w:tcMar>
              <w:top w:w="75" w:type="dxa"/>
              <w:left w:w="75" w:type="dxa"/>
              <w:bottom w:w="75" w:type="dxa"/>
              <w:right w:w="75" w:type="dxa"/>
            </w:tcMar>
          </w:tcPr>
          <w:p w14:paraId="7E90C65F" w14:textId="77777777" w:rsidR="0014577C" w:rsidRDefault="00000000">
            <w:pPr>
              <w:spacing w:after="240"/>
              <w:jc w:val="center"/>
              <w:rPr>
                <w:rFonts w:ascii="Arial" w:eastAsia="Arial" w:hAnsi="Arial" w:cs="Arial"/>
              </w:rPr>
            </w:pPr>
            <w:r>
              <w:rPr>
                <w:rFonts w:ascii="Arial" w:eastAsia="Arial" w:hAnsi="Arial" w:cs="Arial"/>
              </w:rPr>
              <w:t xml:space="preserve">Diastolic blood pressure, </w:t>
            </w:r>
            <w:proofErr w:type="spellStart"/>
            <w:r>
              <w:rPr>
                <w:rFonts w:ascii="Arial" w:eastAsia="Arial" w:hAnsi="Arial" w:cs="Arial"/>
              </w:rPr>
              <w:t>AUCi</w:t>
            </w:r>
            <w:proofErr w:type="spellEnd"/>
          </w:p>
        </w:tc>
        <w:tc>
          <w:tcPr>
            <w:tcW w:w="1866" w:type="dxa"/>
            <w:tcBorders>
              <w:bottom w:val="single" w:sz="4" w:space="0" w:color="000000"/>
            </w:tcBorders>
            <w:shd w:val="clear" w:color="auto" w:fill="FFFFFF"/>
            <w:tcMar>
              <w:top w:w="75" w:type="dxa"/>
              <w:left w:w="75" w:type="dxa"/>
              <w:bottom w:w="75" w:type="dxa"/>
              <w:right w:w="75" w:type="dxa"/>
            </w:tcMar>
          </w:tcPr>
          <w:p w14:paraId="13172B77" w14:textId="77777777" w:rsidR="0014577C" w:rsidRDefault="00000000">
            <w:pPr>
              <w:spacing w:after="240"/>
              <w:jc w:val="center"/>
              <w:rPr>
                <w:rFonts w:ascii="Arial" w:eastAsia="Arial" w:hAnsi="Arial" w:cs="Arial"/>
              </w:rPr>
            </w:pPr>
            <w:r>
              <w:rPr>
                <w:rFonts w:ascii="Arial" w:eastAsia="Arial" w:hAnsi="Arial" w:cs="Arial"/>
              </w:rPr>
              <w:t>0.29 (-0.14, 0.71)</w:t>
            </w:r>
          </w:p>
        </w:tc>
        <w:tc>
          <w:tcPr>
            <w:tcW w:w="1747" w:type="dxa"/>
            <w:tcBorders>
              <w:bottom w:val="single" w:sz="4" w:space="0" w:color="000000"/>
            </w:tcBorders>
            <w:shd w:val="clear" w:color="auto" w:fill="FFFFFF"/>
            <w:tcMar>
              <w:top w:w="75" w:type="dxa"/>
              <w:left w:w="75" w:type="dxa"/>
              <w:bottom w:w="75" w:type="dxa"/>
              <w:right w:w="75" w:type="dxa"/>
            </w:tcMar>
          </w:tcPr>
          <w:p w14:paraId="7AEB3EEE" w14:textId="77777777" w:rsidR="0014577C" w:rsidRDefault="00000000">
            <w:pPr>
              <w:spacing w:after="240"/>
              <w:jc w:val="center"/>
              <w:rPr>
                <w:rFonts w:ascii="Arial" w:eastAsia="Arial" w:hAnsi="Arial" w:cs="Arial"/>
              </w:rPr>
            </w:pPr>
            <w:r>
              <w:rPr>
                <w:rFonts w:ascii="Arial" w:eastAsia="Arial" w:hAnsi="Arial" w:cs="Arial"/>
              </w:rPr>
              <w:t>0.25 (-0.33, 0.84)</w:t>
            </w:r>
          </w:p>
        </w:tc>
        <w:tc>
          <w:tcPr>
            <w:tcW w:w="2831" w:type="dxa"/>
            <w:tcBorders>
              <w:bottom w:val="single" w:sz="4" w:space="0" w:color="000000"/>
            </w:tcBorders>
            <w:shd w:val="clear" w:color="auto" w:fill="FFFFFF"/>
          </w:tcPr>
          <w:p w14:paraId="2DDA3456" w14:textId="77777777" w:rsidR="0014577C" w:rsidRDefault="00000000">
            <w:pPr>
              <w:spacing w:after="240"/>
              <w:jc w:val="center"/>
              <w:rPr>
                <w:rFonts w:ascii="Arial" w:eastAsia="Arial" w:hAnsi="Arial" w:cs="Arial"/>
              </w:rPr>
            </w:pPr>
            <w:r>
              <w:rPr>
                <w:rFonts w:ascii="Arial" w:eastAsia="Arial" w:hAnsi="Arial" w:cs="Arial"/>
              </w:rPr>
              <w:t>0.28 (-0.37, 0.93)</w:t>
            </w:r>
          </w:p>
        </w:tc>
      </w:tr>
    </w:tbl>
    <w:p w14:paraId="2B5ADD5C" w14:textId="20A785C7" w:rsidR="0014577C" w:rsidRPr="00455365" w:rsidRDefault="00000000" w:rsidP="00455365">
      <w:pPr>
        <w:spacing w:after="240"/>
        <w:rPr>
          <w:rFonts w:ascii="Arial" w:eastAsia="Arial" w:hAnsi="Arial" w:cs="Arial"/>
          <w:sz w:val="20"/>
          <w:szCs w:val="20"/>
        </w:rPr>
      </w:pPr>
      <w:r>
        <w:rPr>
          <w:rFonts w:ascii="Arial" w:eastAsia="Arial" w:hAnsi="Arial" w:cs="Arial"/>
          <w:sz w:val="20"/>
          <w:szCs w:val="20"/>
        </w:rPr>
        <w:t xml:space="preserve">From linear regressions pooled over 20 multiply imputed datasets. The clinical group includes CHR and FEP participants. </w:t>
      </w:r>
      <w:r w:rsidR="00E33122">
        <w:rPr>
          <w:rFonts w:ascii="Arial" w:eastAsia="Arial" w:hAnsi="Arial" w:cs="Arial"/>
          <w:sz w:val="20"/>
          <w:szCs w:val="20"/>
        </w:rPr>
        <w:t xml:space="preserve">Participants in the sub-threshold symptom group were CHR participants who did not prospectively convert to FEP; participants in the progressive symptom group were FEP participants whose subthreshold psychotic symptoms developed into threshold-level psychotic symptoms. </w:t>
      </w:r>
      <w:r>
        <w:rPr>
          <w:rFonts w:ascii="Arial" w:eastAsia="Arial" w:hAnsi="Arial" w:cs="Arial"/>
          <w:sz w:val="20"/>
          <w:szCs w:val="20"/>
        </w:rPr>
        <w:t>In bold: statistically significant estimates. CHR: Clinical High Risk for psychosis. FEP: first-episode psychosis.</w:t>
      </w:r>
    </w:p>
    <w:sectPr w:rsidR="0014577C" w:rsidRPr="00455365">
      <w:footerReference w:type="even"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1EB7" w14:textId="77777777" w:rsidR="00E73261" w:rsidRDefault="00E73261">
      <w:r>
        <w:separator/>
      </w:r>
    </w:p>
  </w:endnote>
  <w:endnote w:type="continuationSeparator" w:id="0">
    <w:p w14:paraId="7A2742F8" w14:textId="77777777" w:rsidR="00E73261" w:rsidRDefault="00E7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DE44" w14:textId="77777777" w:rsidR="0014577C"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4D4CB5E" w14:textId="77777777" w:rsidR="0014577C" w:rsidRDefault="0014577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DDDF" w14:textId="5C2C52E5" w:rsidR="0014577C" w:rsidRDefault="0014577C" w:rsidP="00455365">
    <w:pPr>
      <w:pBdr>
        <w:top w:val="nil"/>
        <w:left w:val="nil"/>
        <w:bottom w:val="nil"/>
        <w:right w:val="nil"/>
        <w:between w:val="nil"/>
      </w:pBdr>
      <w:tabs>
        <w:tab w:val="center" w:pos="4680"/>
        <w:tab w:val="right" w:pos="9360"/>
      </w:tabs>
      <w:rPr>
        <w:color w:val="000000"/>
      </w:rPr>
    </w:pPr>
  </w:p>
  <w:p w14:paraId="4B8A6EE8" w14:textId="77777777" w:rsidR="0014577C" w:rsidRDefault="0014577C">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931A" w14:textId="77777777" w:rsidR="00E73261" w:rsidRDefault="00E73261">
      <w:r>
        <w:separator/>
      </w:r>
    </w:p>
  </w:footnote>
  <w:footnote w:type="continuationSeparator" w:id="0">
    <w:p w14:paraId="713BAA2B" w14:textId="77777777" w:rsidR="00E73261" w:rsidRDefault="00E7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D1911"/>
    <w:multiLevelType w:val="multilevel"/>
    <w:tmpl w:val="87DC8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137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7C"/>
    <w:rsid w:val="000466EF"/>
    <w:rsid w:val="0014577C"/>
    <w:rsid w:val="00153B92"/>
    <w:rsid w:val="002E35FD"/>
    <w:rsid w:val="003B56D6"/>
    <w:rsid w:val="003C1486"/>
    <w:rsid w:val="00455365"/>
    <w:rsid w:val="00500447"/>
    <w:rsid w:val="005A6B17"/>
    <w:rsid w:val="006D1A69"/>
    <w:rsid w:val="00793BED"/>
    <w:rsid w:val="00796322"/>
    <w:rsid w:val="0080490D"/>
    <w:rsid w:val="009705FB"/>
    <w:rsid w:val="00A93FC4"/>
    <w:rsid w:val="00B3433A"/>
    <w:rsid w:val="00B51E25"/>
    <w:rsid w:val="00B556EA"/>
    <w:rsid w:val="00BC5116"/>
    <w:rsid w:val="00C4677F"/>
    <w:rsid w:val="00C73FE3"/>
    <w:rsid w:val="00D70AA1"/>
    <w:rsid w:val="00E27D36"/>
    <w:rsid w:val="00E33122"/>
    <w:rsid w:val="00E73261"/>
    <w:rsid w:val="00EA7A85"/>
    <w:rsid w:val="00F2599B"/>
    <w:rsid w:val="00F6660F"/>
    <w:rsid w:val="00FA2228"/>
    <w:rsid w:val="00FB05B2"/>
    <w:rsid w:val="00FB5D4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CD8E87"/>
  <w15:docId w15:val="{F9DBFB2C-14B4-3147-B272-92404B7E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455365"/>
    <w:pPr>
      <w:tabs>
        <w:tab w:val="center" w:pos="4680"/>
        <w:tab w:val="right" w:pos="9360"/>
      </w:tabs>
    </w:pPr>
  </w:style>
  <w:style w:type="character" w:customStyle="1" w:styleId="HeaderChar">
    <w:name w:val="Header Char"/>
    <w:basedOn w:val="DefaultParagraphFont"/>
    <w:link w:val="Header"/>
    <w:uiPriority w:val="99"/>
    <w:rsid w:val="00455365"/>
  </w:style>
  <w:style w:type="paragraph" w:styleId="Footer">
    <w:name w:val="footer"/>
    <w:basedOn w:val="Normal"/>
    <w:link w:val="FooterChar"/>
    <w:uiPriority w:val="99"/>
    <w:unhideWhenUsed/>
    <w:rsid w:val="00455365"/>
    <w:pPr>
      <w:tabs>
        <w:tab w:val="center" w:pos="4680"/>
        <w:tab w:val="right" w:pos="9360"/>
      </w:tabs>
    </w:pPr>
  </w:style>
  <w:style w:type="character" w:customStyle="1" w:styleId="FooterChar">
    <w:name w:val="Footer Char"/>
    <w:basedOn w:val="DefaultParagraphFont"/>
    <w:link w:val="Footer"/>
    <w:uiPriority w:val="99"/>
    <w:rsid w:val="00455365"/>
  </w:style>
  <w:style w:type="character" w:styleId="CommentReference">
    <w:name w:val="annotation reference"/>
    <w:basedOn w:val="DefaultParagraphFont"/>
    <w:uiPriority w:val="99"/>
    <w:semiHidden/>
    <w:unhideWhenUsed/>
    <w:rsid w:val="003B56D6"/>
    <w:rPr>
      <w:sz w:val="16"/>
      <w:szCs w:val="16"/>
    </w:rPr>
  </w:style>
  <w:style w:type="paragraph" w:styleId="CommentText">
    <w:name w:val="annotation text"/>
    <w:basedOn w:val="Normal"/>
    <w:link w:val="CommentTextChar"/>
    <w:uiPriority w:val="99"/>
    <w:semiHidden/>
    <w:unhideWhenUsed/>
    <w:rsid w:val="003B56D6"/>
    <w:rPr>
      <w:sz w:val="20"/>
      <w:szCs w:val="20"/>
    </w:rPr>
  </w:style>
  <w:style w:type="character" w:customStyle="1" w:styleId="CommentTextChar">
    <w:name w:val="Comment Text Char"/>
    <w:basedOn w:val="DefaultParagraphFont"/>
    <w:link w:val="CommentText"/>
    <w:uiPriority w:val="99"/>
    <w:semiHidden/>
    <w:rsid w:val="003B56D6"/>
    <w:rPr>
      <w:sz w:val="20"/>
      <w:szCs w:val="20"/>
    </w:rPr>
  </w:style>
  <w:style w:type="paragraph" w:styleId="CommentSubject">
    <w:name w:val="annotation subject"/>
    <w:basedOn w:val="CommentText"/>
    <w:next w:val="CommentText"/>
    <w:link w:val="CommentSubjectChar"/>
    <w:uiPriority w:val="99"/>
    <w:semiHidden/>
    <w:unhideWhenUsed/>
    <w:rsid w:val="003B56D6"/>
    <w:rPr>
      <w:b/>
      <w:bCs/>
    </w:rPr>
  </w:style>
  <w:style w:type="character" w:customStyle="1" w:styleId="CommentSubjectChar">
    <w:name w:val="Comment Subject Char"/>
    <w:basedOn w:val="CommentTextChar"/>
    <w:link w:val="CommentSubject"/>
    <w:uiPriority w:val="99"/>
    <w:semiHidden/>
    <w:rsid w:val="003B56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 Shah, Dr</cp:lastModifiedBy>
  <cp:revision>16</cp:revision>
  <dcterms:created xsi:type="dcterms:W3CDTF">2022-07-17T03:05:00Z</dcterms:created>
  <dcterms:modified xsi:type="dcterms:W3CDTF">2022-12-10T05:24:00Z</dcterms:modified>
</cp:coreProperties>
</file>