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4C57E" w14:textId="53A23AEC" w:rsidR="00152DB4" w:rsidRPr="00391A27" w:rsidRDefault="00152DB4" w:rsidP="00152DB4">
      <w:pPr>
        <w:pStyle w:val="Bibliography"/>
        <w:jc w:val="center"/>
      </w:pPr>
      <w:r w:rsidRPr="00391A27">
        <w:t>Supplemental Materials</w:t>
      </w:r>
    </w:p>
    <w:p w14:paraId="3BE96112" w14:textId="77777777" w:rsidR="00152DB4" w:rsidRPr="00391A27" w:rsidRDefault="00152DB4" w:rsidP="00152DB4">
      <w:pPr>
        <w:spacing w:line="480" w:lineRule="auto"/>
      </w:pPr>
    </w:p>
    <w:p w14:paraId="033DB168" w14:textId="77777777" w:rsidR="00152DB4" w:rsidRPr="00391A27" w:rsidRDefault="00152DB4" w:rsidP="00152DB4">
      <w:pPr>
        <w:spacing w:line="480" w:lineRule="auto"/>
        <w:jc w:val="center"/>
      </w:pPr>
      <w:r w:rsidRPr="00391A27">
        <w:t xml:space="preserve">to accompany </w:t>
      </w:r>
    </w:p>
    <w:p w14:paraId="70CB894B" w14:textId="77777777" w:rsidR="00152DB4" w:rsidRPr="00391A27" w:rsidRDefault="00152DB4" w:rsidP="00152DB4">
      <w:pPr>
        <w:spacing w:line="480" w:lineRule="auto"/>
        <w:jc w:val="center"/>
      </w:pPr>
    </w:p>
    <w:p w14:paraId="4B5EEA06" w14:textId="77777777" w:rsidR="00152DB4" w:rsidRPr="00391A27" w:rsidRDefault="00152DB4" w:rsidP="00152DB4">
      <w:pPr>
        <w:spacing w:line="480" w:lineRule="auto"/>
        <w:jc w:val="center"/>
      </w:pPr>
    </w:p>
    <w:p w14:paraId="1344C89E" w14:textId="77777777" w:rsidR="00152DB4" w:rsidRPr="00391A27" w:rsidRDefault="00152DB4" w:rsidP="00152DB4">
      <w:pPr>
        <w:spacing w:line="480" w:lineRule="auto"/>
        <w:jc w:val="center"/>
      </w:pPr>
    </w:p>
    <w:p w14:paraId="36737F8B" w14:textId="129C3A23" w:rsidR="00152DB4" w:rsidRPr="00391A27" w:rsidRDefault="00152DB4" w:rsidP="00152DB4">
      <w:pPr>
        <w:spacing w:line="480" w:lineRule="auto"/>
      </w:pPr>
    </w:p>
    <w:p w14:paraId="0E6F1EA5" w14:textId="77777777" w:rsidR="00152DB4" w:rsidRPr="00391A27" w:rsidRDefault="00152DB4" w:rsidP="00152DB4">
      <w:pPr>
        <w:spacing w:line="480" w:lineRule="auto"/>
      </w:pPr>
    </w:p>
    <w:p w14:paraId="4CC22DE4" w14:textId="5D3BB69F" w:rsidR="00382D7C" w:rsidRPr="00391A27" w:rsidRDefault="00382D7C" w:rsidP="00382D7C">
      <w:pPr>
        <w:spacing w:line="480" w:lineRule="auto"/>
        <w:jc w:val="center"/>
      </w:pPr>
      <w:r w:rsidRPr="00391A27">
        <w:t xml:space="preserve">Social </w:t>
      </w:r>
      <w:r w:rsidR="00C3461A" w:rsidRPr="00391A27">
        <w:t>experiences</w:t>
      </w:r>
      <w:r w:rsidRPr="00391A27">
        <w:t xml:space="preserve"> and youth psychopathology during the COVID-19 pandemic: </w:t>
      </w:r>
    </w:p>
    <w:p w14:paraId="3A0C3F67" w14:textId="50676AC7" w:rsidR="00152DB4" w:rsidRPr="00391A27" w:rsidRDefault="00382D7C" w:rsidP="00382D7C">
      <w:pPr>
        <w:spacing w:line="480" w:lineRule="auto"/>
        <w:jc w:val="center"/>
      </w:pPr>
      <w:r w:rsidRPr="00391A27">
        <w:t>A longitudinal study</w:t>
      </w:r>
    </w:p>
    <w:p w14:paraId="02E91855" w14:textId="77777777" w:rsidR="00152DB4" w:rsidRPr="00391A27" w:rsidRDefault="00152DB4" w:rsidP="00152DB4">
      <w:pPr>
        <w:spacing w:line="480" w:lineRule="auto"/>
        <w:jc w:val="center"/>
      </w:pPr>
    </w:p>
    <w:p w14:paraId="4357140D" w14:textId="77777777" w:rsidR="00152DB4" w:rsidRPr="00391A27" w:rsidRDefault="00152DB4" w:rsidP="00152DB4">
      <w:pPr>
        <w:spacing w:line="480" w:lineRule="auto"/>
        <w:jc w:val="center"/>
      </w:pPr>
    </w:p>
    <w:p w14:paraId="7EA8FFC7" w14:textId="77777777" w:rsidR="00152DB4" w:rsidRPr="00391A27" w:rsidRDefault="00152DB4" w:rsidP="00152DB4">
      <w:pPr>
        <w:spacing w:line="480" w:lineRule="auto"/>
        <w:jc w:val="center"/>
      </w:pPr>
    </w:p>
    <w:p w14:paraId="711103DB" w14:textId="747C72A3" w:rsidR="003312F7" w:rsidRPr="00391A27" w:rsidRDefault="003312F7" w:rsidP="003312F7">
      <w:pPr>
        <w:spacing w:line="480" w:lineRule="auto"/>
        <w:jc w:val="center"/>
      </w:pPr>
      <w:r w:rsidRPr="00391A27">
        <w:t>Alexandra M. Rodman,</w:t>
      </w:r>
      <w:r w:rsidRPr="00391A27">
        <w:rPr>
          <w:vertAlign w:val="superscript"/>
        </w:rPr>
        <w:t xml:space="preserve"> </w:t>
      </w:r>
      <w:r w:rsidRPr="00391A27">
        <w:t xml:space="preserve">Maya L. Rosen, Steven W. Kasparek, Makeda Mayes, </w:t>
      </w:r>
    </w:p>
    <w:p w14:paraId="34CDDA13" w14:textId="642EA923" w:rsidR="003312F7" w:rsidRPr="00391A27" w:rsidRDefault="003312F7" w:rsidP="003312F7">
      <w:pPr>
        <w:spacing w:line="480" w:lineRule="auto"/>
        <w:jc w:val="center"/>
      </w:pPr>
      <w:r w:rsidRPr="00391A27">
        <w:t>Liliana Lengua, Andrew N. Meltzoff &amp; Katie A. McLaughlin</w:t>
      </w:r>
    </w:p>
    <w:p w14:paraId="0CA96BB0" w14:textId="77777777" w:rsidR="003312F7" w:rsidRPr="00391A27" w:rsidRDefault="003312F7">
      <w:pPr>
        <w:rPr>
          <w:b/>
          <w:bCs/>
        </w:rPr>
      </w:pPr>
      <w:r w:rsidRPr="00391A27">
        <w:rPr>
          <w:b/>
          <w:bCs/>
        </w:rPr>
        <w:br w:type="page"/>
      </w:r>
    </w:p>
    <w:p w14:paraId="697D8EF4" w14:textId="593CCDA0" w:rsidR="00152DB4" w:rsidRPr="00391A27" w:rsidRDefault="00152DB4" w:rsidP="00152DB4">
      <w:pPr>
        <w:spacing w:line="480" w:lineRule="auto"/>
        <w:jc w:val="center"/>
        <w:rPr>
          <w:b/>
          <w:bCs/>
        </w:rPr>
      </w:pPr>
      <w:r w:rsidRPr="00391A27">
        <w:rPr>
          <w:b/>
          <w:bCs/>
        </w:rPr>
        <w:lastRenderedPageBreak/>
        <w:t>Supplemental Materials</w:t>
      </w:r>
    </w:p>
    <w:p w14:paraId="1D3251B9" w14:textId="09777852" w:rsidR="00A727AB" w:rsidRPr="00391A27" w:rsidRDefault="00A727AB" w:rsidP="00152DB4">
      <w:pPr>
        <w:spacing w:line="480" w:lineRule="auto"/>
        <w:rPr>
          <w:b/>
          <w:bCs/>
        </w:rPr>
      </w:pPr>
      <w:r w:rsidRPr="00391A27">
        <w:rPr>
          <w:b/>
          <w:bCs/>
        </w:rPr>
        <w:t>Supplemental Methods</w:t>
      </w:r>
    </w:p>
    <w:p w14:paraId="64CBB908" w14:textId="77777777" w:rsidR="00364D7C" w:rsidRPr="00391A27" w:rsidRDefault="00364D7C" w:rsidP="000B0A81">
      <w:pPr>
        <w:autoSpaceDE w:val="0"/>
        <w:autoSpaceDN w:val="0"/>
        <w:adjustRightInd w:val="0"/>
        <w:rPr>
          <w:i/>
          <w:sz w:val="22"/>
          <w:szCs w:val="22"/>
        </w:rPr>
      </w:pPr>
      <w:r w:rsidRPr="00391A27">
        <w:rPr>
          <w:i/>
          <w:sz w:val="22"/>
          <w:szCs w:val="22"/>
        </w:rPr>
        <w:t>Participants</w:t>
      </w:r>
    </w:p>
    <w:p w14:paraId="540EDD85" w14:textId="6B4C2F9E" w:rsidR="000B0A81" w:rsidRPr="00391A27" w:rsidRDefault="000B0A81" w:rsidP="000B0A81">
      <w:pPr>
        <w:autoSpaceDE w:val="0"/>
        <w:autoSpaceDN w:val="0"/>
        <w:adjustRightInd w:val="0"/>
        <w:rPr>
          <w:iCs/>
          <w:sz w:val="22"/>
          <w:szCs w:val="22"/>
        </w:rPr>
      </w:pPr>
      <w:r w:rsidRPr="00391A27">
        <w:rPr>
          <w:iCs/>
          <w:sz w:val="22"/>
          <w:szCs w:val="22"/>
        </w:rPr>
        <w:t>When comparing participants from the parent studies who completed the COVID study (N=224) to those who did not (N=93), we found no differences in pre-pandemic internalizing or externalizing symptoms (</w:t>
      </w:r>
      <w:r w:rsidRPr="00391A27">
        <w:rPr>
          <w:i/>
          <w:iCs/>
          <w:sz w:val="22"/>
          <w:szCs w:val="22"/>
        </w:rPr>
        <w:t>β</w:t>
      </w:r>
      <w:r w:rsidRPr="00391A27">
        <w:rPr>
          <w:sz w:val="22"/>
          <w:szCs w:val="22"/>
        </w:rPr>
        <w:t>=</w:t>
      </w:r>
      <w:r w:rsidRPr="00391A27">
        <w:rPr>
          <w:iCs/>
          <w:sz w:val="22"/>
          <w:szCs w:val="22"/>
        </w:rPr>
        <w:t>0.051</w:t>
      </w:r>
      <w:r w:rsidRPr="00391A27">
        <w:rPr>
          <w:sz w:val="22"/>
          <w:szCs w:val="22"/>
        </w:rPr>
        <w:t xml:space="preserve">, </w:t>
      </w:r>
      <w:r w:rsidRPr="00391A27">
        <w:rPr>
          <w:i/>
          <w:iCs/>
          <w:sz w:val="22"/>
          <w:szCs w:val="22"/>
        </w:rPr>
        <w:t>p</w:t>
      </w:r>
      <w:r w:rsidRPr="00391A27">
        <w:rPr>
          <w:sz w:val="22"/>
          <w:szCs w:val="22"/>
        </w:rPr>
        <w:t>=.</w:t>
      </w:r>
      <w:r w:rsidRPr="00391A27">
        <w:rPr>
          <w:iCs/>
          <w:sz w:val="22"/>
          <w:szCs w:val="22"/>
        </w:rPr>
        <w:t>369</w:t>
      </w:r>
      <w:r w:rsidRPr="00391A27">
        <w:rPr>
          <w:sz w:val="22"/>
          <w:szCs w:val="22"/>
        </w:rPr>
        <w:t xml:space="preserve"> and </w:t>
      </w:r>
      <w:r w:rsidRPr="00391A27">
        <w:rPr>
          <w:i/>
          <w:iCs/>
          <w:sz w:val="22"/>
          <w:szCs w:val="22"/>
        </w:rPr>
        <w:t>β</w:t>
      </w:r>
      <w:r w:rsidRPr="00391A27">
        <w:rPr>
          <w:sz w:val="22"/>
          <w:szCs w:val="22"/>
        </w:rPr>
        <w:t>=-</w:t>
      </w:r>
      <w:r w:rsidRPr="00391A27">
        <w:rPr>
          <w:iCs/>
          <w:sz w:val="22"/>
          <w:szCs w:val="22"/>
        </w:rPr>
        <w:t>0.005</w:t>
      </w:r>
      <w:r w:rsidRPr="00391A27">
        <w:rPr>
          <w:sz w:val="22"/>
          <w:szCs w:val="22"/>
        </w:rPr>
        <w:t xml:space="preserve">, </w:t>
      </w:r>
      <w:r w:rsidRPr="00391A27">
        <w:rPr>
          <w:i/>
          <w:iCs/>
          <w:sz w:val="22"/>
          <w:szCs w:val="22"/>
        </w:rPr>
        <w:t>p</w:t>
      </w:r>
      <w:r w:rsidRPr="00391A27">
        <w:rPr>
          <w:sz w:val="22"/>
          <w:szCs w:val="22"/>
        </w:rPr>
        <w:t>=.</w:t>
      </w:r>
      <w:r w:rsidRPr="00391A27">
        <w:rPr>
          <w:iCs/>
          <w:sz w:val="22"/>
          <w:szCs w:val="22"/>
        </w:rPr>
        <w:t>925, respectively), nor income-to-needs ratios (</w:t>
      </w:r>
      <w:r w:rsidRPr="00391A27">
        <w:rPr>
          <w:i/>
          <w:iCs/>
          <w:sz w:val="22"/>
          <w:szCs w:val="22"/>
        </w:rPr>
        <w:t>β</w:t>
      </w:r>
      <w:r w:rsidRPr="00391A27">
        <w:rPr>
          <w:iCs/>
          <w:sz w:val="22"/>
          <w:szCs w:val="22"/>
        </w:rPr>
        <w:t xml:space="preserve">=-0.001, </w:t>
      </w:r>
      <w:r w:rsidRPr="00391A27">
        <w:rPr>
          <w:i/>
          <w:sz w:val="22"/>
          <w:szCs w:val="22"/>
        </w:rPr>
        <w:t>p</w:t>
      </w:r>
      <w:r w:rsidRPr="00391A27">
        <w:rPr>
          <w:iCs/>
          <w:sz w:val="22"/>
          <w:szCs w:val="22"/>
        </w:rPr>
        <w:t xml:space="preserve">=0.989). </w:t>
      </w:r>
    </w:p>
    <w:p w14:paraId="1A0C6C2D" w14:textId="77777777" w:rsidR="004935AD" w:rsidRPr="00391A27" w:rsidRDefault="004935AD" w:rsidP="004935AD">
      <w:pPr>
        <w:autoSpaceDE w:val="0"/>
        <w:autoSpaceDN w:val="0"/>
        <w:adjustRightInd w:val="0"/>
        <w:rPr>
          <w:iCs/>
          <w:sz w:val="22"/>
          <w:szCs w:val="22"/>
        </w:rPr>
      </w:pPr>
    </w:p>
    <w:p w14:paraId="57D72E37" w14:textId="0C942D6E" w:rsidR="004935AD" w:rsidRPr="00391A27" w:rsidRDefault="00364D7C" w:rsidP="004935AD">
      <w:pPr>
        <w:autoSpaceDE w:val="0"/>
        <w:autoSpaceDN w:val="0"/>
        <w:adjustRightInd w:val="0"/>
        <w:rPr>
          <w:iCs/>
          <w:sz w:val="22"/>
          <w:szCs w:val="22"/>
        </w:rPr>
      </w:pPr>
      <w:r w:rsidRPr="00391A27">
        <w:rPr>
          <w:i/>
          <w:sz w:val="22"/>
          <w:szCs w:val="22"/>
        </w:rPr>
        <w:t>SDQ Respondent Information</w:t>
      </w:r>
    </w:p>
    <w:tbl>
      <w:tblPr>
        <w:tblW w:w="5740" w:type="dxa"/>
        <w:tblLook w:val="04A0" w:firstRow="1" w:lastRow="0" w:firstColumn="1" w:lastColumn="0" w:noHBand="0" w:noVBand="1"/>
      </w:tblPr>
      <w:tblGrid>
        <w:gridCol w:w="3140"/>
        <w:gridCol w:w="1300"/>
        <w:gridCol w:w="1300"/>
      </w:tblGrid>
      <w:tr w:rsidR="00391A27" w:rsidRPr="00391A27" w14:paraId="0C873B23" w14:textId="77777777" w:rsidTr="00E33A54">
        <w:trPr>
          <w:trHeight w:val="320"/>
        </w:trPr>
        <w:tc>
          <w:tcPr>
            <w:tcW w:w="3140" w:type="dxa"/>
            <w:tcBorders>
              <w:top w:val="nil"/>
              <w:left w:val="nil"/>
              <w:bottom w:val="nil"/>
              <w:right w:val="nil"/>
            </w:tcBorders>
            <w:shd w:val="clear" w:color="auto" w:fill="auto"/>
            <w:noWrap/>
            <w:vAlign w:val="bottom"/>
            <w:hideMark/>
          </w:tcPr>
          <w:p w14:paraId="7514D7A2" w14:textId="77777777" w:rsidR="004935AD" w:rsidRPr="00391A27" w:rsidRDefault="004935AD" w:rsidP="00E33A54">
            <w:pPr>
              <w:rPr>
                <w:b/>
                <w:bCs/>
                <w:i/>
                <w:iCs/>
              </w:rPr>
            </w:pPr>
            <w:r w:rsidRPr="00391A27">
              <w:rPr>
                <w:b/>
                <w:bCs/>
                <w:i/>
                <w:iCs/>
              </w:rPr>
              <w:t>SDQ Informant Information</w:t>
            </w:r>
          </w:p>
        </w:tc>
        <w:tc>
          <w:tcPr>
            <w:tcW w:w="1300" w:type="dxa"/>
            <w:tcBorders>
              <w:top w:val="nil"/>
              <w:left w:val="nil"/>
              <w:bottom w:val="nil"/>
              <w:right w:val="nil"/>
            </w:tcBorders>
            <w:shd w:val="clear" w:color="auto" w:fill="auto"/>
            <w:noWrap/>
            <w:vAlign w:val="bottom"/>
            <w:hideMark/>
          </w:tcPr>
          <w:p w14:paraId="3BA15205" w14:textId="77777777" w:rsidR="004935AD" w:rsidRPr="00391A27" w:rsidRDefault="004935AD" w:rsidP="00E33A54">
            <w:pPr>
              <w:rPr>
                <w:b/>
                <w:bCs/>
                <w:i/>
                <w:iCs/>
              </w:rPr>
            </w:pPr>
          </w:p>
        </w:tc>
        <w:tc>
          <w:tcPr>
            <w:tcW w:w="1300" w:type="dxa"/>
            <w:tcBorders>
              <w:top w:val="nil"/>
              <w:left w:val="nil"/>
              <w:bottom w:val="nil"/>
              <w:right w:val="nil"/>
            </w:tcBorders>
            <w:shd w:val="clear" w:color="auto" w:fill="auto"/>
            <w:noWrap/>
            <w:vAlign w:val="bottom"/>
            <w:hideMark/>
          </w:tcPr>
          <w:p w14:paraId="36D46082" w14:textId="77777777" w:rsidR="004935AD" w:rsidRPr="00391A27" w:rsidRDefault="004935AD" w:rsidP="00E33A54">
            <w:pPr>
              <w:rPr>
                <w:sz w:val="20"/>
                <w:szCs w:val="20"/>
              </w:rPr>
            </w:pPr>
          </w:p>
        </w:tc>
      </w:tr>
      <w:tr w:rsidR="00391A27" w:rsidRPr="00391A27" w14:paraId="1C949D78" w14:textId="77777777" w:rsidTr="00E33A54">
        <w:trPr>
          <w:trHeight w:val="320"/>
        </w:trPr>
        <w:tc>
          <w:tcPr>
            <w:tcW w:w="3140" w:type="dxa"/>
            <w:tcBorders>
              <w:top w:val="single" w:sz="4" w:space="0" w:color="auto"/>
              <w:left w:val="single" w:sz="4" w:space="0" w:color="auto"/>
              <w:bottom w:val="single" w:sz="4" w:space="0" w:color="auto"/>
              <w:right w:val="nil"/>
            </w:tcBorders>
            <w:shd w:val="clear" w:color="auto" w:fill="auto"/>
            <w:noWrap/>
            <w:vAlign w:val="bottom"/>
            <w:hideMark/>
          </w:tcPr>
          <w:p w14:paraId="3AF4745F" w14:textId="77777777" w:rsidR="004935AD" w:rsidRPr="00391A27" w:rsidRDefault="004935AD" w:rsidP="00E33A54">
            <w:r w:rsidRPr="00391A27">
              <w:t> </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14:paraId="4F21455D" w14:textId="77777777" w:rsidR="004935AD" w:rsidRPr="00391A27" w:rsidRDefault="004935AD" w:rsidP="00E33A54">
            <w:r w:rsidRPr="00391A27">
              <w:t>Wave 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A6EED5B" w14:textId="77777777" w:rsidR="004935AD" w:rsidRPr="00391A27" w:rsidRDefault="004935AD" w:rsidP="00E33A54">
            <w:r w:rsidRPr="00391A27">
              <w:t>Wave 2</w:t>
            </w:r>
          </w:p>
        </w:tc>
      </w:tr>
      <w:tr w:rsidR="00391A27" w:rsidRPr="00391A27" w14:paraId="1B2731BE" w14:textId="77777777" w:rsidTr="00E33A54">
        <w:trPr>
          <w:trHeight w:val="320"/>
        </w:trPr>
        <w:tc>
          <w:tcPr>
            <w:tcW w:w="3140" w:type="dxa"/>
            <w:tcBorders>
              <w:top w:val="nil"/>
              <w:left w:val="single" w:sz="4" w:space="0" w:color="auto"/>
              <w:bottom w:val="nil"/>
              <w:right w:val="single" w:sz="4" w:space="0" w:color="auto"/>
            </w:tcBorders>
            <w:shd w:val="clear" w:color="auto" w:fill="auto"/>
            <w:noWrap/>
            <w:vAlign w:val="bottom"/>
            <w:hideMark/>
          </w:tcPr>
          <w:p w14:paraId="0C69BD2B" w14:textId="77777777" w:rsidR="004935AD" w:rsidRPr="00391A27" w:rsidRDefault="004935AD" w:rsidP="00E33A54">
            <w:pPr>
              <w:rPr>
                <w:i/>
                <w:iCs/>
              </w:rPr>
            </w:pPr>
            <w:r w:rsidRPr="00391A27">
              <w:rPr>
                <w:i/>
                <w:iCs/>
              </w:rPr>
              <w:t>Internalizing Symptoms</w:t>
            </w:r>
          </w:p>
        </w:tc>
        <w:tc>
          <w:tcPr>
            <w:tcW w:w="1300" w:type="dxa"/>
            <w:tcBorders>
              <w:top w:val="nil"/>
              <w:left w:val="nil"/>
              <w:bottom w:val="nil"/>
              <w:right w:val="nil"/>
            </w:tcBorders>
            <w:shd w:val="clear" w:color="auto" w:fill="auto"/>
            <w:noWrap/>
            <w:vAlign w:val="bottom"/>
            <w:hideMark/>
          </w:tcPr>
          <w:p w14:paraId="4F8AD36B" w14:textId="77777777" w:rsidR="004935AD" w:rsidRPr="00391A27" w:rsidRDefault="004935AD" w:rsidP="00E33A54">
            <w:r w:rsidRPr="00391A27">
              <w:t> </w:t>
            </w:r>
          </w:p>
        </w:tc>
        <w:tc>
          <w:tcPr>
            <w:tcW w:w="1300" w:type="dxa"/>
            <w:tcBorders>
              <w:top w:val="nil"/>
              <w:left w:val="nil"/>
              <w:bottom w:val="nil"/>
              <w:right w:val="single" w:sz="4" w:space="0" w:color="auto"/>
            </w:tcBorders>
            <w:shd w:val="clear" w:color="auto" w:fill="auto"/>
            <w:noWrap/>
            <w:vAlign w:val="bottom"/>
            <w:hideMark/>
          </w:tcPr>
          <w:p w14:paraId="1BDD7D93" w14:textId="77777777" w:rsidR="004935AD" w:rsidRPr="00391A27" w:rsidRDefault="004935AD" w:rsidP="00E33A54">
            <w:r w:rsidRPr="00391A27">
              <w:t> </w:t>
            </w:r>
          </w:p>
        </w:tc>
      </w:tr>
      <w:tr w:rsidR="00391A27" w:rsidRPr="00391A27" w14:paraId="5993C3A7" w14:textId="77777777" w:rsidTr="00E33A54">
        <w:trPr>
          <w:trHeight w:val="320"/>
        </w:trPr>
        <w:tc>
          <w:tcPr>
            <w:tcW w:w="3140" w:type="dxa"/>
            <w:tcBorders>
              <w:top w:val="nil"/>
              <w:left w:val="single" w:sz="4" w:space="0" w:color="auto"/>
              <w:bottom w:val="nil"/>
              <w:right w:val="single" w:sz="4" w:space="0" w:color="auto"/>
            </w:tcBorders>
            <w:shd w:val="clear" w:color="auto" w:fill="auto"/>
            <w:noWrap/>
            <w:vAlign w:val="bottom"/>
            <w:hideMark/>
          </w:tcPr>
          <w:p w14:paraId="49AC087C" w14:textId="77777777" w:rsidR="004935AD" w:rsidRPr="00391A27" w:rsidRDefault="004935AD" w:rsidP="00E33A54">
            <w:pPr>
              <w:ind w:firstLineChars="100" w:firstLine="240"/>
            </w:pPr>
            <w:r w:rsidRPr="00391A27">
              <w:t>Youth report used</w:t>
            </w:r>
          </w:p>
        </w:tc>
        <w:tc>
          <w:tcPr>
            <w:tcW w:w="1300" w:type="dxa"/>
            <w:tcBorders>
              <w:top w:val="nil"/>
              <w:left w:val="nil"/>
              <w:bottom w:val="nil"/>
              <w:right w:val="nil"/>
            </w:tcBorders>
            <w:shd w:val="clear" w:color="auto" w:fill="auto"/>
            <w:noWrap/>
            <w:vAlign w:val="center"/>
            <w:hideMark/>
          </w:tcPr>
          <w:p w14:paraId="67CE5B4E" w14:textId="77777777" w:rsidR="004935AD" w:rsidRPr="00391A27" w:rsidRDefault="004935AD" w:rsidP="00E33A54">
            <w:pPr>
              <w:jc w:val="center"/>
              <w:rPr>
                <w:sz w:val="22"/>
                <w:szCs w:val="22"/>
              </w:rPr>
            </w:pPr>
            <w:r w:rsidRPr="00391A27">
              <w:rPr>
                <w:iCs/>
                <w:sz w:val="22"/>
                <w:szCs w:val="22"/>
              </w:rPr>
              <w:t>46%</w:t>
            </w:r>
          </w:p>
        </w:tc>
        <w:tc>
          <w:tcPr>
            <w:tcW w:w="1300" w:type="dxa"/>
            <w:tcBorders>
              <w:top w:val="nil"/>
              <w:left w:val="nil"/>
              <w:bottom w:val="nil"/>
              <w:right w:val="single" w:sz="4" w:space="0" w:color="auto"/>
            </w:tcBorders>
            <w:shd w:val="clear" w:color="auto" w:fill="auto"/>
            <w:noWrap/>
            <w:vAlign w:val="center"/>
            <w:hideMark/>
          </w:tcPr>
          <w:p w14:paraId="7291AC81" w14:textId="77777777" w:rsidR="004935AD" w:rsidRPr="00391A27" w:rsidRDefault="004935AD" w:rsidP="00E33A54">
            <w:pPr>
              <w:jc w:val="center"/>
              <w:rPr>
                <w:sz w:val="22"/>
                <w:szCs w:val="22"/>
              </w:rPr>
            </w:pPr>
            <w:r w:rsidRPr="00391A27">
              <w:rPr>
                <w:iCs/>
                <w:sz w:val="22"/>
                <w:szCs w:val="22"/>
              </w:rPr>
              <w:t>47%</w:t>
            </w:r>
          </w:p>
        </w:tc>
      </w:tr>
      <w:tr w:rsidR="00391A27" w:rsidRPr="00391A27" w14:paraId="5B493D87" w14:textId="77777777" w:rsidTr="00E33A54">
        <w:trPr>
          <w:trHeight w:val="320"/>
        </w:trPr>
        <w:tc>
          <w:tcPr>
            <w:tcW w:w="3140" w:type="dxa"/>
            <w:tcBorders>
              <w:top w:val="nil"/>
              <w:left w:val="single" w:sz="4" w:space="0" w:color="auto"/>
              <w:bottom w:val="nil"/>
              <w:right w:val="single" w:sz="4" w:space="0" w:color="auto"/>
            </w:tcBorders>
            <w:shd w:val="clear" w:color="auto" w:fill="auto"/>
            <w:noWrap/>
            <w:vAlign w:val="bottom"/>
            <w:hideMark/>
          </w:tcPr>
          <w:p w14:paraId="14C5C200" w14:textId="77777777" w:rsidR="004935AD" w:rsidRPr="00391A27" w:rsidRDefault="004935AD" w:rsidP="00E33A54">
            <w:pPr>
              <w:ind w:firstLineChars="100" w:firstLine="240"/>
            </w:pPr>
            <w:r w:rsidRPr="00391A27">
              <w:t>Parent report used</w:t>
            </w:r>
          </w:p>
        </w:tc>
        <w:tc>
          <w:tcPr>
            <w:tcW w:w="1300" w:type="dxa"/>
            <w:tcBorders>
              <w:top w:val="nil"/>
              <w:left w:val="nil"/>
              <w:bottom w:val="nil"/>
              <w:right w:val="nil"/>
            </w:tcBorders>
            <w:shd w:val="clear" w:color="auto" w:fill="auto"/>
            <w:noWrap/>
            <w:vAlign w:val="center"/>
            <w:hideMark/>
          </w:tcPr>
          <w:p w14:paraId="01B035CC" w14:textId="77777777" w:rsidR="004935AD" w:rsidRPr="00391A27" w:rsidRDefault="004935AD" w:rsidP="00E33A54">
            <w:pPr>
              <w:jc w:val="center"/>
              <w:rPr>
                <w:sz w:val="22"/>
                <w:szCs w:val="22"/>
              </w:rPr>
            </w:pPr>
            <w:r w:rsidRPr="00391A27">
              <w:rPr>
                <w:iCs/>
                <w:sz w:val="22"/>
                <w:szCs w:val="22"/>
              </w:rPr>
              <w:t>42%</w:t>
            </w:r>
          </w:p>
        </w:tc>
        <w:tc>
          <w:tcPr>
            <w:tcW w:w="1300" w:type="dxa"/>
            <w:tcBorders>
              <w:top w:val="nil"/>
              <w:left w:val="nil"/>
              <w:bottom w:val="nil"/>
              <w:right w:val="single" w:sz="4" w:space="0" w:color="auto"/>
            </w:tcBorders>
            <w:shd w:val="clear" w:color="auto" w:fill="auto"/>
            <w:noWrap/>
            <w:vAlign w:val="center"/>
            <w:hideMark/>
          </w:tcPr>
          <w:p w14:paraId="600C84A3" w14:textId="77777777" w:rsidR="004935AD" w:rsidRPr="00391A27" w:rsidRDefault="004935AD" w:rsidP="00E33A54">
            <w:pPr>
              <w:jc w:val="center"/>
              <w:rPr>
                <w:sz w:val="22"/>
                <w:szCs w:val="22"/>
              </w:rPr>
            </w:pPr>
            <w:r w:rsidRPr="00391A27">
              <w:rPr>
                <w:iCs/>
                <w:sz w:val="22"/>
                <w:szCs w:val="22"/>
              </w:rPr>
              <w:t>42%</w:t>
            </w:r>
          </w:p>
        </w:tc>
      </w:tr>
      <w:tr w:rsidR="00391A27" w:rsidRPr="00391A27" w14:paraId="25E0188E" w14:textId="77777777" w:rsidTr="00E33A54">
        <w:trPr>
          <w:trHeight w:val="32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23CA4C7F" w14:textId="77777777" w:rsidR="004935AD" w:rsidRPr="00391A27" w:rsidRDefault="004935AD" w:rsidP="00E33A54">
            <w:pPr>
              <w:ind w:firstLineChars="100" w:firstLine="240"/>
            </w:pPr>
            <w:r w:rsidRPr="00391A27">
              <w:t>Equivalent scores</w:t>
            </w:r>
          </w:p>
        </w:tc>
        <w:tc>
          <w:tcPr>
            <w:tcW w:w="1300" w:type="dxa"/>
            <w:tcBorders>
              <w:top w:val="nil"/>
              <w:left w:val="nil"/>
              <w:bottom w:val="single" w:sz="4" w:space="0" w:color="auto"/>
              <w:right w:val="nil"/>
            </w:tcBorders>
            <w:shd w:val="clear" w:color="auto" w:fill="auto"/>
            <w:noWrap/>
            <w:vAlign w:val="center"/>
            <w:hideMark/>
          </w:tcPr>
          <w:p w14:paraId="22E55F8F" w14:textId="77777777" w:rsidR="004935AD" w:rsidRPr="00391A27" w:rsidRDefault="004935AD" w:rsidP="00E33A54">
            <w:pPr>
              <w:jc w:val="center"/>
              <w:rPr>
                <w:sz w:val="22"/>
                <w:szCs w:val="22"/>
              </w:rPr>
            </w:pPr>
            <w:r w:rsidRPr="00391A27">
              <w:rPr>
                <w:iCs/>
                <w:sz w:val="22"/>
                <w:szCs w:val="22"/>
              </w:rPr>
              <w:t>12%</w:t>
            </w:r>
          </w:p>
        </w:tc>
        <w:tc>
          <w:tcPr>
            <w:tcW w:w="1300" w:type="dxa"/>
            <w:tcBorders>
              <w:top w:val="nil"/>
              <w:left w:val="nil"/>
              <w:bottom w:val="single" w:sz="4" w:space="0" w:color="auto"/>
              <w:right w:val="single" w:sz="4" w:space="0" w:color="auto"/>
            </w:tcBorders>
            <w:shd w:val="clear" w:color="auto" w:fill="auto"/>
            <w:noWrap/>
            <w:vAlign w:val="center"/>
            <w:hideMark/>
          </w:tcPr>
          <w:p w14:paraId="548FA5FF" w14:textId="77777777" w:rsidR="004935AD" w:rsidRPr="00391A27" w:rsidRDefault="004935AD" w:rsidP="00E33A54">
            <w:pPr>
              <w:jc w:val="center"/>
              <w:rPr>
                <w:sz w:val="22"/>
                <w:szCs w:val="22"/>
              </w:rPr>
            </w:pPr>
            <w:r w:rsidRPr="00391A27">
              <w:rPr>
                <w:iCs/>
                <w:sz w:val="22"/>
                <w:szCs w:val="22"/>
              </w:rPr>
              <w:t>11%</w:t>
            </w:r>
          </w:p>
        </w:tc>
      </w:tr>
      <w:tr w:rsidR="00391A27" w:rsidRPr="00391A27" w14:paraId="0290B6F4" w14:textId="77777777" w:rsidTr="00E33A54">
        <w:trPr>
          <w:trHeight w:val="320"/>
        </w:trPr>
        <w:tc>
          <w:tcPr>
            <w:tcW w:w="3140" w:type="dxa"/>
            <w:tcBorders>
              <w:top w:val="nil"/>
              <w:left w:val="single" w:sz="4" w:space="0" w:color="auto"/>
              <w:bottom w:val="nil"/>
              <w:right w:val="single" w:sz="4" w:space="0" w:color="auto"/>
            </w:tcBorders>
            <w:shd w:val="clear" w:color="auto" w:fill="auto"/>
            <w:noWrap/>
            <w:vAlign w:val="bottom"/>
            <w:hideMark/>
          </w:tcPr>
          <w:p w14:paraId="211ACF29" w14:textId="77777777" w:rsidR="004935AD" w:rsidRPr="00391A27" w:rsidRDefault="004935AD" w:rsidP="00E33A54">
            <w:pPr>
              <w:rPr>
                <w:i/>
                <w:iCs/>
              </w:rPr>
            </w:pPr>
            <w:r w:rsidRPr="00391A27">
              <w:rPr>
                <w:i/>
                <w:iCs/>
              </w:rPr>
              <w:t>Externalizing Symptoms</w:t>
            </w:r>
          </w:p>
        </w:tc>
        <w:tc>
          <w:tcPr>
            <w:tcW w:w="1300" w:type="dxa"/>
            <w:tcBorders>
              <w:top w:val="nil"/>
              <w:left w:val="nil"/>
              <w:bottom w:val="nil"/>
              <w:right w:val="nil"/>
            </w:tcBorders>
            <w:shd w:val="clear" w:color="auto" w:fill="auto"/>
            <w:noWrap/>
            <w:vAlign w:val="bottom"/>
            <w:hideMark/>
          </w:tcPr>
          <w:p w14:paraId="1C8A2DFD" w14:textId="77777777" w:rsidR="004935AD" w:rsidRPr="00391A27" w:rsidRDefault="004935AD" w:rsidP="00E33A54">
            <w:pPr>
              <w:rPr>
                <w:i/>
                <w:iCs/>
              </w:rPr>
            </w:pPr>
          </w:p>
        </w:tc>
        <w:tc>
          <w:tcPr>
            <w:tcW w:w="1300" w:type="dxa"/>
            <w:tcBorders>
              <w:top w:val="nil"/>
              <w:left w:val="nil"/>
              <w:bottom w:val="nil"/>
              <w:right w:val="single" w:sz="4" w:space="0" w:color="auto"/>
            </w:tcBorders>
            <w:shd w:val="clear" w:color="auto" w:fill="auto"/>
            <w:noWrap/>
            <w:vAlign w:val="bottom"/>
            <w:hideMark/>
          </w:tcPr>
          <w:p w14:paraId="7C13116F" w14:textId="77777777" w:rsidR="004935AD" w:rsidRPr="00391A27" w:rsidRDefault="004935AD" w:rsidP="00E33A54">
            <w:r w:rsidRPr="00391A27">
              <w:t> </w:t>
            </w:r>
          </w:p>
        </w:tc>
      </w:tr>
      <w:tr w:rsidR="00391A27" w:rsidRPr="00391A27" w14:paraId="61178885" w14:textId="77777777" w:rsidTr="00E33A54">
        <w:trPr>
          <w:trHeight w:val="320"/>
        </w:trPr>
        <w:tc>
          <w:tcPr>
            <w:tcW w:w="3140" w:type="dxa"/>
            <w:tcBorders>
              <w:top w:val="nil"/>
              <w:left w:val="single" w:sz="4" w:space="0" w:color="auto"/>
              <w:bottom w:val="nil"/>
              <w:right w:val="single" w:sz="4" w:space="0" w:color="auto"/>
            </w:tcBorders>
            <w:shd w:val="clear" w:color="auto" w:fill="auto"/>
            <w:noWrap/>
            <w:vAlign w:val="bottom"/>
            <w:hideMark/>
          </w:tcPr>
          <w:p w14:paraId="04C76A36" w14:textId="77777777" w:rsidR="004935AD" w:rsidRPr="00391A27" w:rsidRDefault="004935AD" w:rsidP="00E33A54">
            <w:pPr>
              <w:ind w:firstLineChars="100" w:firstLine="240"/>
            </w:pPr>
            <w:r w:rsidRPr="00391A27">
              <w:t>Youth report used</w:t>
            </w:r>
          </w:p>
        </w:tc>
        <w:tc>
          <w:tcPr>
            <w:tcW w:w="1300" w:type="dxa"/>
            <w:tcBorders>
              <w:top w:val="nil"/>
              <w:left w:val="nil"/>
              <w:bottom w:val="nil"/>
              <w:right w:val="nil"/>
            </w:tcBorders>
            <w:shd w:val="clear" w:color="auto" w:fill="auto"/>
            <w:noWrap/>
            <w:vAlign w:val="center"/>
            <w:hideMark/>
          </w:tcPr>
          <w:p w14:paraId="71425C9A" w14:textId="77777777" w:rsidR="004935AD" w:rsidRPr="00391A27" w:rsidRDefault="004935AD" w:rsidP="00E33A54">
            <w:pPr>
              <w:jc w:val="center"/>
              <w:rPr>
                <w:sz w:val="22"/>
                <w:szCs w:val="22"/>
              </w:rPr>
            </w:pPr>
            <w:r w:rsidRPr="00391A27">
              <w:rPr>
                <w:iCs/>
                <w:sz w:val="22"/>
                <w:szCs w:val="22"/>
              </w:rPr>
              <w:t>44%</w:t>
            </w:r>
          </w:p>
        </w:tc>
        <w:tc>
          <w:tcPr>
            <w:tcW w:w="1300" w:type="dxa"/>
            <w:tcBorders>
              <w:top w:val="nil"/>
              <w:left w:val="nil"/>
              <w:bottom w:val="nil"/>
              <w:right w:val="single" w:sz="4" w:space="0" w:color="auto"/>
            </w:tcBorders>
            <w:shd w:val="clear" w:color="auto" w:fill="auto"/>
            <w:noWrap/>
            <w:vAlign w:val="center"/>
            <w:hideMark/>
          </w:tcPr>
          <w:p w14:paraId="19E77F9E" w14:textId="77777777" w:rsidR="004935AD" w:rsidRPr="00391A27" w:rsidRDefault="004935AD" w:rsidP="00E33A54">
            <w:pPr>
              <w:jc w:val="center"/>
              <w:rPr>
                <w:sz w:val="22"/>
                <w:szCs w:val="22"/>
              </w:rPr>
            </w:pPr>
            <w:r w:rsidRPr="00391A27">
              <w:rPr>
                <w:iCs/>
                <w:sz w:val="22"/>
                <w:szCs w:val="22"/>
              </w:rPr>
              <w:t>41%</w:t>
            </w:r>
          </w:p>
        </w:tc>
      </w:tr>
      <w:tr w:rsidR="00391A27" w:rsidRPr="00391A27" w14:paraId="618A4173" w14:textId="77777777" w:rsidTr="00E33A54">
        <w:trPr>
          <w:trHeight w:val="320"/>
        </w:trPr>
        <w:tc>
          <w:tcPr>
            <w:tcW w:w="3140" w:type="dxa"/>
            <w:tcBorders>
              <w:top w:val="nil"/>
              <w:left w:val="single" w:sz="4" w:space="0" w:color="auto"/>
              <w:bottom w:val="nil"/>
              <w:right w:val="single" w:sz="4" w:space="0" w:color="auto"/>
            </w:tcBorders>
            <w:shd w:val="clear" w:color="auto" w:fill="auto"/>
            <w:noWrap/>
            <w:vAlign w:val="bottom"/>
            <w:hideMark/>
          </w:tcPr>
          <w:p w14:paraId="5EDD3207" w14:textId="77777777" w:rsidR="004935AD" w:rsidRPr="00391A27" w:rsidRDefault="004935AD" w:rsidP="00E33A54">
            <w:pPr>
              <w:ind w:firstLineChars="100" w:firstLine="240"/>
            </w:pPr>
            <w:r w:rsidRPr="00391A27">
              <w:t>Parent report used</w:t>
            </w:r>
          </w:p>
        </w:tc>
        <w:tc>
          <w:tcPr>
            <w:tcW w:w="1300" w:type="dxa"/>
            <w:tcBorders>
              <w:top w:val="nil"/>
              <w:left w:val="nil"/>
              <w:bottom w:val="nil"/>
              <w:right w:val="nil"/>
            </w:tcBorders>
            <w:shd w:val="clear" w:color="auto" w:fill="auto"/>
            <w:noWrap/>
            <w:vAlign w:val="center"/>
            <w:hideMark/>
          </w:tcPr>
          <w:p w14:paraId="66D51CF8" w14:textId="77777777" w:rsidR="004935AD" w:rsidRPr="00391A27" w:rsidRDefault="004935AD" w:rsidP="00E33A54">
            <w:pPr>
              <w:jc w:val="center"/>
              <w:rPr>
                <w:sz w:val="22"/>
                <w:szCs w:val="22"/>
              </w:rPr>
            </w:pPr>
            <w:r w:rsidRPr="00391A27">
              <w:rPr>
                <w:iCs/>
                <w:sz w:val="22"/>
                <w:szCs w:val="22"/>
              </w:rPr>
              <w:t>44%</w:t>
            </w:r>
          </w:p>
        </w:tc>
        <w:tc>
          <w:tcPr>
            <w:tcW w:w="1300" w:type="dxa"/>
            <w:tcBorders>
              <w:top w:val="nil"/>
              <w:left w:val="nil"/>
              <w:bottom w:val="nil"/>
              <w:right w:val="single" w:sz="4" w:space="0" w:color="auto"/>
            </w:tcBorders>
            <w:shd w:val="clear" w:color="auto" w:fill="auto"/>
            <w:noWrap/>
            <w:vAlign w:val="center"/>
            <w:hideMark/>
          </w:tcPr>
          <w:p w14:paraId="18C53B8D" w14:textId="77777777" w:rsidR="004935AD" w:rsidRPr="00391A27" w:rsidRDefault="004935AD" w:rsidP="00E33A54">
            <w:pPr>
              <w:jc w:val="center"/>
              <w:rPr>
                <w:sz w:val="22"/>
                <w:szCs w:val="22"/>
              </w:rPr>
            </w:pPr>
            <w:r w:rsidRPr="00391A27">
              <w:rPr>
                <w:iCs/>
                <w:sz w:val="22"/>
                <w:szCs w:val="22"/>
              </w:rPr>
              <w:t>49%</w:t>
            </w:r>
          </w:p>
        </w:tc>
      </w:tr>
      <w:tr w:rsidR="004935AD" w:rsidRPr="00391A27" w14:paraId="34795BC4" w14:textId="77777777" w:rsidTr="00E33A54">
        <w:trPr>
          <w:trHeight w:val="32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0FFDBF95" w14:textId="77777777" w:rsidR="004935AD" w:rsidRPr="00391A27" w:rsidRDefault="004935AD" w:rsidP="00E33A54">
            <w:pPr>
              <w:ind w:firstLineChars="100" w:firstLine="240"/>
            </w:pPr>
            <w:r w:rsidRPr="00391A27">
              <w:t>Equivalent scores</w:t>
            </w:r>
          </w:p>
        </w:tc>
        <w:tc>
          <w:tcPr>
            <w:tcW w:w="1300" w:type="dxa"/>
            <w:tcBorders>
              <w:top w:val="nil"/>
              <w:left w:val="nil"/>
              <w:bottom w:val="single" w:sz="4" w:space="0" w:color="auto"/>
              <w:right w:val="nil"/>
            </w:tcBorders>
            <w:shd w:val="clear" w:color="auto" w:fill="auto"/>
            <w:noWrap/>
            <w:vAlign w:val="center"/>
            <w:hideMark/>
          </w:tcPr>
          <w:p w14:paraId="14AB72B3" w14:textId="77777777" w:rsidR="004935AD" w:rsidRPr="00391A27" w:rsidRDefault="004935AD" w:rsidP="00E33A54">
            <w:pPr>
              <w:jc w:val="center"/>
              <w:rPr>
                <w:sz w:val="22"/>
                <w:szCs w:val="22"/>
              </w:rPr>
            </w:pPr>
            <w:r w:rsidRPr="00391A27">
              <w:rPr>
                <w:iCs/>
                <w:sz w:val="22"/>
                <w:szCs w:val="22"/>
              </w:rPr>
              <w:t>12%</w:t>
            </w:r>
          </w:p>
        </w:tc>
        <w:tc>
          <w:tcPr>
            <w:tcW w:w="1300" w:type="dxa"/>
            <w:tcBorders>
              <w:top w:val="nil"/>
              <w:left w:val="nil"/>
              <w:bottom w:val="single" w:sz="4" w:space="0" w:color="auto"/>
              <w:right w:val="single" w:sz="4" w:space="0" w:color="auto"/>
            </w:tcBorders>
            <w:shd w:val="clear" w:color="auto" w:fill="auto"/>
            <w:noWrap/>
            <w:vAlign w:val="center"/>
            <w:hideMark/>
          </w:tcPr>
          <w:p w14:paraId="105C0004" w14:textId="77777777" w:rsidR="004935AD" w:rsidRPr="00391A27" w:rsidRDefault="004935AD" w:rsidP="00E33A54">
            <w:pPr>
              <w:jc w:val="center"/>
              <w:rPr>
                <w:sz w:val="22"/>
                <w:szCs w:val="22"/>
              </w:rPr>
            </w:pPr>
            <w:r w:rsidRPr="00391A27">
              <w:rPr>
                <w:iCs/>
                <w:sz w:val="22"/>
                <w:szCs w:val="22"/>
              </w:rPr>
              <w:t>11%</w:t>
            </w:r>
          </w:p>
        </w:tc>
      </w:tr>
    </w:tbl>
    <w:p w14:paraId="4A767237" w14:textId="77777777" w:rsidR="004935AD" w:rsidRPr="00391A27" w:rsidRDefault="004935AD" w:rsidP="004935AD">
      <w:pPr>
        <w:autoSpaceDE w:val="0"/>
        <w:autoSpaceDN w:val="0"/>
        <w:adjustRightInd w:val="0"/>
        <w:rPr>
          <w:iCs/>
          <w:sz w:val="22"/>
          <w:szCs w:val="22"/>
        </w:rPr>
      </w:pPr>
    </w:p>
    <w:tbl>
      <w:tblPr>
        <w:tblW w:w="4440" w:type="dxa"/>
        <w:tblLook w:val="04A0" w:firstRow="1" w:lastRow="0" w:firstColumn="1" w:lastColumn="0" w:noHBand="0" w:noVBand="1"/>
      </w:tblPr>
      <w:tblGrid>
        <w:gridCol w:w="3750"/>
        <w:gridCol w:w="690"/>
      </w:tblGrid>
      <w:tr w:rsidR="00391A27" w:rsidRPr="00391A27" w14:paraId="086C5DDB" w14:textId="77777777" w:rsidTr="00E33A54">
        <w:trPr>
          <w:trHeight w:val="320"/>
        </w:trPr>
        <w:tc>
          <w:tcPr>
            <w:tcW w:w="4440" w:type="dxa"/>
            <w:gridSpan w:val="2"/>
            <w:tcBorders>
              <w:top w:val="nil"/>
              <w:left w:val="nil"/>
              <w:bottom w:val="nil"/>
              <w:right w:val="nil"/>
            </w:tcBorders>
            <w:shd w:val="clear" w:color="auto" w:fill="auto"/>
            <w:noWrap/>
            <w:vAlign w:val="bottom"/>
            <w:hideMark/>
          </w:tcPr>
          <w:p w14:paraId="3D08748F" w14:textId="77777777" w:rsidR="004935AD" w:rsidRPr="00391A27" w:rsidRDefault="004935AD" w:rsidP="00E33A54">
            <w:pPr>
              <w:rPr>
                <w:b/>
                <w:bCs/>
                <w:i/>
                <w:iCs/>
              </w:rPr>
            </w:pPr>
            <w:r w:rsidRPr="00391A27">
              <w:rPr>
                <w:b/>
                <w:bCs/>
                <w:i/>
                <w:iCs/>
              </w:rPr>
              <w:t>SDQ Informant from Wave 1 to Wave 2</w:t>
            </w:r>
          </w:p>
        </w:tc>
      </w:tr>
      <w:tr w:rsidR="00391A27" w:rsidRPr="00391A27" w14:paraId="1E8CE0D5" w14:textId="77777777" w:rsidTr="00E33A54">
        <w:trPr>
          <w:trHeight w:val="320"/>
        </w:trPr>
        <w:tc>
          <w:tcPr>
            <w:tcW w:w="3750" w:type="dxa"/>
            <w:tcBorders>
              <w:top w:val="single" w:sz="4" w:space="0" w:color="auto"/>
              <w:left w:val="single" w:sz="4" w:space="0" w:color="auto"/>
              <w:bottom w:val="nil"/>
              <w:right w:val="single" w:sz="4" w:space="0" w:color="auto"/>
            </w:tcBorders>
            <w:shd w:val="clear" w:color="auto" w:fill="auto"/>
            <w:noWrap/>
            <w:vAlign w:val="bottom"/>
            <w:hideMark/>
          </w:tcPr>
          <w:p w14:paraId="40594E1C" w14:textId="77777777" w:rsidR="004935AD" w:rsidRPr="00391A27" w:rsidRDefault="004935AD" w:rsidP="00E33A54">
            <w:pPr>
              <w:rPr>
                <w:i/>
                <w:iCs/>
              </w:rPr>
            </w:pPr>
            <w:r w:rsidRPr="00391A27">
              <w:rPr>
                <w:i/>
                <w:iCs/>
              </w:rPr>
              <w:t>Internalizing Symptoms</w:t>
            </w:r>
          </w:p>
        </w:tc>
        <w:tc>
          <w:tcPr>
            <w:tcW w:w="690" w:type="dxa"/>
            <w:tcBorders>
              <w:top w:val="single" w:sz="4" w:space="0" w:color="auto"/>
              <w:left w:val="nil"/>
              <w:bottom w:val="nil"/>
              <w:right w:val="single" w:sz="4" w:space="0" w:color="auto"/>
            </w:tcBorders>
            <w:shd w:val="clear" w:color="auto" w:fill="auto"/>
            <w:noWrap/>
            <w:vAlign w:val="bottom"/>
            <w:hideMark/>
          </w:tcPr>
          <w:p w14:paraId="3D1660D0" w14:textId="77777777" w:rsidR="004935AD" w:rsidRPr="00391A27" w:rsidRDefault="004935AD" w:rsidP="00E33A54">
            <w:r w:rsidRPr="00391A27">
              <w:t> </w:t>
            </w:r>
          </w:p>
        </w:tc>
      </w:tr>
      <w:tr w:rsidR="00391A27" w:rsidRPr="00391A27" w14:paraId="20DC123F"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1D9A19FB" w14:textId="77777777" w:rsidR="004935AD" w:rsidRPr="00391A27" w:rsidRDefault="004935AD" w:rsidP="00E33A54">
            <w:pPr>
              <w:ind w:firstLineChars="100" w:firstLine="240"/>
            </w:pPr>
            <w:r w:rsidRPr="00391A27">
              <w:t>Child-child</w:t>
            </w:r>
          </w:p>
        </w:tc>
        <w:tc>
          <w:tcPr>
            <w:tcW w:w="690" w:type="dxa"/>
            <w:tcBorders>
              <w:top w:val="nil"/>
              <w:left w:val="nil"/>
              <w:bottom w:val="nil"/>
              <w:right w:val="single" w:sz="4" w:space="0" w:color="auto"/>
            </w:tcBorders>
            <w:shd w:val="clear" w:color="auto" w:fill="auto"/>
            <w:noWrap/>
            <w:vAlign w:val="center"/>
            <w:hideMark/>
          </w:tcPr>
          <w:p w14:paraId="3BE37A6A" w14:textId="77777777" w:rsidR="004935AD" w:rsidRPr="00391A27" w:rsidRDefault="004935AD" w:rsidP="00E33A54">
            <w:pPr>
              <w:jc w:val="center"/>
              <w:rPr>
                <w:sz w:val="22"/>
                <w:szCs w:val="22"/>
              </w:rPr>
            </w:pPr>
            <w:r w:rsidRPr="00391A27">
              <w:rPr>
                <w:iCs/>
                <w:sz w:val="22"/>
                <w:szCs w:val="22"/>
              </w:rPr>
              <w:t>29%</w:t>
            </w:r>
          </w:p>
        </w:tc>
      </w:tr>
      <w:tr w:rsidR="00391A27" w:rsidRPr="00391A27" w14:paraId="108A55E3"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35B4B748" w14:textId="77777777" w:rsidR="004935AD" w:rsidRPr="00391A27" w:rsidRDefault="004935AD" w:rsidP="00E33A54">
            <w:pPr>
              <w:ind w:firstLineChars="100" w:firstLine="240"/>
            </w:pPr>
            <w:r w:rsidRPr="00391A27">
              <w:t>Child-parent</w:t>
            </w:r>
          </w:p>
        </w:tc>
        <w:tc>
          <w:tcPr>
            <w:tcW w:w="690" w:type="dxa"/>
            <w:tcBorders>
              <w:top w:val="nil"/>
              <w:left w:val="nil"/>
              <w:bottom w:val="nil"/>
              <w:right w:val="single" w:sz="4" w:space="0" w:color="auto"/>
            </w:tcBorders>
            <w:shd w:val="clear" w:color="auto" w:fill="auto"/>
            <w:noWrap/>
            <w:vAlign w:val="center"/>
            <w:hideMark/>
          </w:tcPr>
          <w:p w14:paraId="70E80811" w14:textId="77777777" w:rsidR="004935AD" w:rsidRPr="00391A27" w:rsidRDefault="004935AD" w:rsidP="00E33A54">
            <w:pPr>
              <w:jc w:val="center"/>
              <w:rPr>
                <w:sz w:val="22"/>
                <w:szCs w:val="22"/>
              </w:rPr>
            </w:pPr>
            <w:r w:rsidRPr="00391A27">
              <w:rPr>
                <w:iCs/>
                <w:sz w:val="22"/>
                <w:szCs w:val="22"/>
              </w:rPr>
              <w:t>23%</w:t>
            </w:r>
          </w:p>
        </w:tc>
      </w:tr>
      <w:tr w:rsidR="00391A27" w:rsidRPr="00391A27" w14:paraId="0D6CC6F9"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260D938C" w14:textId="77777777" w:rsidR="004935AD" w:rsidRPr="00391A27" w:rsidRDefault="004935AD" w:rsidP="00E33A54">
            <w:pPr>
              <w:ind w:firstLineChars="100" w:firstLine="240"/>
            </w:pPr>
            <w:r w:rsidRPr="00391A27">
              <w:t>Parent-child</w:t>
            </w:r>
          </w:p>
        </w:tc>
        <w:tc>
          <w:tcPr>
            <w:tcW w:w="690" w:type="dxa"/>
            <w:tcBorders>
              <w:top w:val="nil"/>
              <w:left w:val="nil"/>
              <w:bottom w:val="nil"/>
              <w:right w:val="single" w:sz="4" w:space="0" w:color="auto"/>
            </w:tcBorders>
            <w:shd w:val="clear" w:color="auto" w:fill="auto"/>
            <w:noWrap/>
            <w:vAlign w:val="center"/>
            <w:hideMark/>
          </w:tcPr>
          <w:p w14:paraId="71E23088" w14:textId="77777777" w:rsidR="004935AD" w:rsidRPr="00391A27" w:rsidRDefault="004935AD" w:rsidP="00E33A54">
            <w:pPr>
              <w:jc w:val="center"/>
              <w:rPr>
                <w:sz w:val="22"/>
                <w:szCs w:val="22"/>
              </w:rPr>
            </w:pPr>
            <w:r w:rsidRPr="00391A27">
              <w:rPr>
                <w:iCs/>
                <w:sz w:val="22"/>
                <w:szCs w:val="22"/>
              </w:rPr>
              <w:t>14%</w:t>
            </w:r>
          </w:p>
        </w:tc>
      </w:tr>
      <w:tr w:rsidR="00391A27" w:rsidRPr="00391A27" w14:paraId="4A9520BF"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2119F1C9" w14:textId="77777777" w:rsidR="004935AD" w:rsidRPr="00391A27" w:rsidRDefault="004935AD" w:rsidP="00E33A54">
            <w:pPr>
              <w:ind w:firstLineChars="100" w:firstLine="240"/>
            </w:pPr>
            <w:r w:rsidRPr="00391A27">
              <w:t>Parent-parent</w:t>
            </w:r>
          </w:p>
        </w:tc>
        <w:tc>
          <w:tcPr>
            <w:tcW w:w="690" w:type="dxa"/>
            <w:tcBorders>
              <w:top w:val="nil"/>
              <w:left w:val="nil"/>
              <w:bottom w:val="nil"/>
              <w:right w:val="single" w:sz="4" w:space="0" w:color="auto"/>
            </w:tcBorders>
            <w:shd w:val="clear" w:color="auto" w:fill="auto"/>
            <w:noWrap/>
            <w:vAlign w:val="center"/>
            <w:hideMark/>
          </w:tcPr>
          <w:p w14:paraId="7B5D6FC0" w14:textId="77777777" w:rsidR="004935AD" w:rsidRPr="00391A27" w:rsidRDefault="004935AD" w:rsidP="00E33A54">
            <w:pPr>
              <w:jc w:val="center"/>
              <w:rPr>
                <w:sz w:val="22"/>
                <w:szCs w:val="22"/>
              </w:rPr>
            </w:pPr>
            <w:r w:rsidRPr="00391A27">
              <w:rPr>
                <w:iCs/>
                <w:sz w:val="22"/>
                <w:szCs w:val="22"/>
              </w:rPr>
              <w:t>14%</w:t>
            </w:r>
          </w:p>
        </w:tc>
      </w:tr>
      <w:tr w:rsidR="00391A27" w:rsidRPr="00391A27" w14:paraId="0CF85759" w14:textId="77777777" w:rsidTr="00E33A54">
        <w:trPr>
          <w:trHeight w:val="320"/>
        </w:trPr>
        <w:tc>
          <w:tcPr>
            <w:tcW w:w="3750" w:type="dxa"/>
            <w:tcBorders>
              <w:top w:val="nil"/>
              <w:left w:val="single" w:sz="4" w:space="0" w:color="auto"/>
              <w:bottom w:val="single" w:sz="4" w:space="0" w:color="auto"/>
              <w:right w:val="single" w:sz="4" w:space="0" w:color="auto"/>
            </w:tcBorders>
            <w:shd w:val="clear" w:color="auto" w:fill="auto"/>
            <w:noWrap/>
            <w:vAlign w:val="bottom"/>
            <w:hideMark/>
          </w:tcPr>
          <w:p w14:paraId="56160CF0" w14:textId="77777777" w:rsidR="004935AD" w:rsidRPr="00391A27" w:rsidRDefault="004935AD" w:rsidP="00E33A54">
            <w:pPr>
              <w:ind w:firstLineChars="100" w:firstLine="240"/>
            </w:pPr>
            <w:r w:rsidRPr="00391A27">
              <w:t>Equivalent scores</w:t>
            </w:r>
          </w:p>
        </w:tc>
        <w:tc>
          <w:tcPr>
            <w:tcW w:w="690" w:type="dxa"/>
            <w:tcBorders>
              <w:top w:val="nil"/>
              <w:left w:val="nil"/>
              <w:bottom w:val="single" w:sz="4" w:space="0" w:color="auto"/>
              <w:right w:val="single" w:sz="4" w:space="0" w:color="auto"/>
            </w:tcBorders>
            <w:shd w:val="clear" w:color="auto" w:fill="auto"/>
            <w:noWrap/>
            <w:vAlign w:val="center"/>
            <w:hideMark/>
          </w:tcPr>
          <w:p w14:paraId="26FB2CF4" w14:textId="77777777" w:rsidR="004935AD" w:rsidRPr="00391A27" w:rsidRDefault="004935AD" w:rsidP="00E33A54">
            <w:pPr>
              <w:jc w:val="center"/>
              <w:rPr>
                <w:sz w:val="22"/>
                <w:szCs w:val="22"/>
              </w:rPr>
            </w:pPr>
            <w:r w:rsidRPr="00391A27">
              <w:rPr>
                <w:iCs/>
                <w:sz w:val="22"/>
                <w:szCs w:val="22"/>
              </w:rPr>
              <w:t>11%</w:t>
            </w:r>
          </w:p>
        </w:tc>
      </w:tr>
      <w:tr w:rsidR="00391A27" w:rsidRPr="00391A27" w14:paraId="48410B0B"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2E3BA87B" w14:textId="77777777" w:rsidR="004935AD" w:rsidRPr="00391A27" w:rsidRDefault="004935AD" w:rsidP="00E33A54">
            <w:pPr>
              <w:rPr>
                <w:i/>
                <w:iCs/>
              </w:rPr>
            </w:pPr>
            <w:r w:rsidRPr="00391A27">
              <w:rPr>
                <w:i/>
                <w:iCs/>
              </w:rPr>
              <w:t>Externalizing Symptoms</w:t>
            </w:r>
          </w:p>
        </w:tc>
        <w:tc>
          <w:tcPr>
            <w:tcW w:w="690" w:type="dxa"/>
            <w:tcBorders>
              <w:top w:val="nil"/>
              <w:left w:val="nil"/>
              <w:bottom w:val="nil"/>
              <w:right w:val="single" w:sz="4" w:space="0" w:color="auto"/>
            </w:tcBorders>
            <w:shd w:val="clear" w:color="auto" w:fill="auto"/>
            <w:noWrap/>
            <w:vAlign w:val="bottom"/>
            <w:hideMark/>
          </w:tcPr>
          <w:p w14:paraId="41BB4489" w14:textId="77777777" w:rsidR="004935AD" w:rsidRPr="00391A27" w:rsidRDefault="004935AD" w:rsidP="00E33A54">
            <w:r w:rsidRPr="00391A27">
              <w:t> </w:t>
            </w:r>
          </w:p>
        </w:tc>
      </w:tr>
      <w:tr w:rsidR="00391A27" w:rsidRPr="00391A27" w14:paraId="66E05B0F"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02518595" w14:textId="77777777" w:rsidR="004935AD" w:rsidRPr="00391A27" w:rsidRDefault="004935AD" w:rsidP="00E33A54">
            <w:pPr>
              <w:ind w:firstLineChars="100" w:firstLine="240"/>
            </w:pPr>
            <w:r w:rsidRPr="00391A27">
              <w:t>Child-child</w:t>
            </w:r>
          </w:p>
        </w:tc>
        <w:tc>
          <w:tcPr>
            <w:tcW w:w="690" w:type="dxa"/>
            <w:tcBorders>
              <w:top w:val="nil"/>
              <w:left w:val="nil"/>
              <w:bottom w:val="nil"/>
              <w:right w:val="single" w:sz="4" w:space="0" w:color="auto"/>
            </w:tcBorders>
            <w:shd w:val="clear" w:color="auto" w:fill="auto"/>
            <w:noWrap/>
            <w:vAlign w:val="center"/>
            <w:hideMark/>
          </w:tcPr>
          <w:p w14:paraId="0C7E5DC7" w14:textId="77777777" w:rsidR="004935AD" w:rsidRPr="00391A27" w:rsidRDefault="004935AD" w:rsidP="00E33A54">
            <w:pPr>
              <w:jc w:val="center"/>
              <w:rPr>
                <w:sz w:val="22"/>
                <w:szCs w:val="22"/>
              </w:rPr>
            </w:pPr>
            <w:r w:rsidRPr="00391A27">
              <w:rPr>
                <w:iCs/>
                <w:sz w:val="22"/>
                <w:szCs w:val="22"/>
              </w:rPr>
              <w:t>23%</w:t>
            </w:r>
          </w:p>
        </w:tc>
      </w:tr>
      <w:tr w:rsidR="00391A27" w:rsidRPr="00391A27" w14:paraId="0C0229F3"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48122F06" w14:textId="77777777" w:rsidR="004935AD" w:rsidRPr="00391A27" w:rsidRDefault="004935AD" w:rsidP="00E33A54">
            <w:pPr>
              <w:ind w:firstLineChars="100" w:firstLine="240"/>
            </w:pPr>
            <w:r w:rsidRPr="00391A27">
              <w:t>Child-parent</w:t>
            </w:r>
          </w:p>
        </w:tc>
        <w:tc>
          <w:tcPr>
            <w:tcW w:w="690" w:type="dxa"/>
            <w:tcBorders>
              <w:top w:val="nil"/>
              <w:left w:val="nil"/>
              <w:bottom w:val="nil"/>
              <w:right w:val="single" w:sz="4" w:space="0" w:color="auto"/>
            </w:tcBorders>
            <w:shd w:val="clear" w:color="auto" w:fill="auto"/>
            <w:noWrap/>
            <w:vAlign w:val="center"/>
            <w:hideMark/>
          </w:tcPr>
          <w:p w14:paraId="7CA2C8E6" w14:textId="77777777" w:rsidR="004935AD" w:rsidRPr="00391A27" w:rsidRDefault="004935AD" w:rsidP="00E33A54">
            <w:pPr>
              <w:jc w:val="center"/>
              <w:rPr>
                <w:sz w:val="22"/>
                <w:szCs w:val="22"/>
              </w:rPr>
            </w:pPr>
            <w:r w:rsidRPr="00391A27">
              <w:rPr>
                <w:iCs/>
                <w:sz w:val="22"/>
                <w:szCs w:val="22"/>
              </w:rPr>
              <w:t>28%</w:t>
            </w:r>
          </w:p>
        </w:tc>
      </w:tr>
      <w:tr w:rsidR="00391A27" w:rsidRPr="00391A27" w14:paraId="2EBE6FDC"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4A1015A2" w14:textId="77777777" w:rsidR="004935AD" w:rsidRPr="00391A27" w:rsidRDefault="004935AD" w:rsidP="00E33A54">
            <w:pPr>
              <w:ind w:firstLineChars="100" w:firstLine="240"/>
            </w:pPr>
            <w:r w:rsidRPr="00391A27">
              <w:t>Parent-child</w:t>
            </w:r>
          </w:p>
        </w:tc>
        <w:tc>
          <w:tcPr>
            <w:tcW w:w="690" w:type="dxa"/>
            <w:tcBorders>
              <w:top w:val="nil"/>
              <w:left w:val="nil"/>
              <w:bottom w:val="nil"/>
              <w:right w:val="single" w:sz="4" w:space="0" w:color="auto"/>
            </w:tcBorders>
            <w:shd w:val="clear" w:color="auto" w:fill="auto"/>
            <w:noWrap/>
            <w:vAlign w:val="center"/>
            <w:hideMark/>
          </w:tcPr>
          <w:p w14:paraId="661AD731" w14:textId="77777777" w:rsidR="004935AD" w:rsidRPr="00391A27" w:rsidRDefault="004935AD" w:rsidP="00E33A54">
            <w:pPr>
              <w:jc w:val="center"/>
              <w:rPr>
                <w:sz w:val="22"/>
                <w:szCs w:val="22"/>
              </w:rPr>
            </w:pPr>
            <w:r w:rsidRPr="00391A27">
              <w:rPr>
                <w:iCs/>
                <w:sz w:val="22"/>
                <w:szCs w:val="22"/>
              </w:rPr>
              <w:t>16%</w:t>
            </w:r>
          </w:p>
        </w:tc>
      </w:tr>
      <w:tr w:rsidR="00391A27" w:rsidRPr="00391A27" w14:paraId="550C1A1A" w14:textId="77777777" w:rsidTr="00E33A54">
        <w:trPr>
          <w:trHeight w:val="320"/>
        </w:trPr>
        <w:tc>
          <w:tcPr>
            <w:tcW w:w="3750" w:type="dxa"/>
            <w:tcBorders>
              <w:top w:val="nil"/>
              <w:left w:val="single" w:sz="4" w:space="0" w:color="auto"/>
              <w:bottom w:val="nil"/>
              <w:right w:val="single" w:sz="4" w:space="0" w:color="auto"/>
            </w:tcBorders>
            <w:shd w:val="clear" w:color="auto" w:fill="auto"/>
            <w:noWrap/>
            <w:vAlign w:val="bottom"/>
            <w:hideMark/>
          </w:tcPr>
          <w:p w14:paraId="5AD60477" w14:textId="77777777" w:rsidR="004935AD" w:rsidRPr="00391A27" w:rsidRDefault="004935AD" w:rsidP="00E33A54">
            <w:pPr>
              <w:ind w:firstLineChars="100" w:firstLine="240"/>
            </w:pPr>
            <w:r w:rsidRPr="00391A27">
              <w:t>Parent-parent</w:t>
            </w:r>
          </w:p>
        </w:tc>
        <w:tc>
          <w:tcPr>
            <w:tcW w:w="690" w:type="dxa"/>
            <w:tcBorders>
              <w:top w:val="nil"/>
              <w:left w:val="nil"/>
              <w:bottom w:val="nil"/>
              <w:right w:val="single" w:sz="4" w:space="0" w:color="auto"/>
            </w:tcBorders>
            <w:shd w:val="clear" w:color="auto" w:fill="auto"/>
            <w:noWrap/>
            <w:vAlign w:val="center"/>
            <w:hideMark/>
          </w:tcPr>
          <w:p w14:paraId="5F763640" w14:textId="77777777" w:rsidR="004935AD" w:rsidRPr="00391A27" w:rsidRDefault="004935AD" w:rsidP="00E33A54">
            <w:pPr>
              <w:jc w:val="center"/>
              <w:rPr>
                <w:sz w:val="22"/>
                <w:szCs w:val="22"/>
              </w:rPr>
            </w:pPr>
            <w:r w:rsidRPr="00391A27">
              <w:rPr>
                <w:iCs/>
                <w:sz w:val="22"/>
                <w:szCs w:val="22"/>
              </w:rPr>
              <w:t>12%</w:t>
            </w:r>
          </w:p>
        </w:tc>
      </w:tr>
      <w:tr w:rsidR="004935AD" w:rsidRPr="00391A27" w14:paraId="53FA8CDB" w14:textId="77777777" w:rsidTr="00E33A54">
        <w:trPr>
          <w:trHeight w:val="320"/>
        </w:trPr>
        <w:tc>
          <w:tcPr>
            <w:tcW w:w="3750" w:type="dxa"/>
            <w:tcBorders>
              <w:top w:val="nil"/>
              <w:left w:val="single" w:sz="4" w:space="0" w:color="auto"/>
              <w:bottom w:val="single" w:sz="4" w:space="0" w:color="auto"/>
              <w:right w:val="single" w:sz="4" w:space="0" w:color="auto"/>
            </w:tcBorders>
            <w:shd w:val="clear" w:color="auto" w:fill="auto"/>
            <w:noWrap/>
            <w:vAlign w:val="bottom"/>
            <w:hideMark/>
          </w:tcPr>
          <w:p w14:paraId="4C524404" w14:textId="77777777" w:rsidR="004935AD" w:rsidRPr="00391A27" w:rsidRDefault="004935AD" w:rsidP="00E33A54">
            <w:pPr>
              <w:ind w:firstLineChars="100" w:firstLine="240"/>
            </w:pPr>
            <w:r w:rsidRPr="00391A27">
              <w:t>Equivalent scores</w:t>
            </w:r>
          </w:p>
        </w:tc>
        <w:tc>
          <w:tcPr>
            <w:tcW w:w="690" w:type="dxa"/>
            <w:tcBorders>
              <w:top w:val="nil"/>
              <w:left w:val="nil"/>
              <w:bottom w:val="single" w:sz="4" w:space="0" w:color="auto"/>
              <w:right w:val="single" w:sz="4" w:space="0" w:color="auto"/>
            </w:tcBorders>
            <w:shd w:val="clear" w:color="auto" w:fill="auto"/>
            <w:noWrap/>
            <w:vAlign w:val="center"/>
            <w:hideMark/>
          </w:tcPr>
          <w:p w14:paraId="0B082EDD" w14:textId="77777777" w:rsidR="004935AD" w:rsidRPr="00391A27" w:rsidRDefault="004935AD" w:rsidP="00E33A54">
            <w:pPr>
              <w:jc w:val="center"/>
              <w:rPr>
                <w:sz w:val="22"/>
                <w:szCs w:val="22"/>
              </w:rPr>
            </w:pPr>
            <w:r w:rsidRPr="00391A27">
              <w:rPr>
                <w:iCs/>
                <w:sz w:val="22"/>
                <w:szCs w:val="22"/>
              </w:rPr>
              <w:t>11%</w:t>
            </w:r>
          </w:p>
        </w:tc>
      </w:tr>
    </w:tbl>
    <w:p w14:paraId="4DFA8CB8" w14:textId="77777777" w:rsidR="004935AD" w:rsidRPr="00391A27" w:rsidRDefault="004935AD" w:rsidP="004935AD">
      <w:pPr>
        <w:autoSpaceDE w:val="0"/>
        <w:autoSpaceDN w:val="0"/>
        <w:adjustRightInd w:val="0"/>
        <w:rPr>
          <w:iCs/>
          <w:sz w:val="22"/>
          <w:szCs w:val="22"/>
        </w:rPr>
      </w:pPr>
    </w:p>
    <w:p w14:paraId="6115CEFD" w14:textId="77777777" w:rsidR="004935AD" w:rsidRPr="00391A27" w:rsidRDefault="004935AD" w:rsidP="004935AD">
      <w:pPr>
        <w:autoSpaceDE w:val="0"/>
        <w:autoSpaceDN w:val="0"/>
        <w:adjustRightInd w:val="0"/>
        <w:rPr>
          <w:iCs/>
          <w:sz w:val="22"/>
          <w:szCs w:val="22"/>
        </w:rPr>
      </w:pPr>
      <w:r w:rsidRPr="00391A27">
        <w:rPr>
          <w:iCs/>
          <w:sz w:val="22"/>
          <w:szCs w:val="22"/>
        </w:rPr>
        <w:t>For internalizing symptoms, parent and child report were highly correlated at wave 1 and wave 2 of the pandemic (</w:t>
      </w:r>
      <w:r w:rsidRPr="00391A27">
        <w:rPr>
          <w:i/>
          <w:sz w:val="22"/>
          <w:szCs w:val="22"/>
        </w:rPr>
        <w:t>r</w:t>
      </w:r>
      <w:r w:rsidRPr="00391A27">
        <w:rPr>
          <w:iCs/>
          <w:sz w:val="22"/>
          <w:szCs w:val="22"/>
        </w:rPr>
        <w:t xml:space="preserve">=0.43, </w:t>
      </w:r>
      <w:r w:rsidRPr="00391A27">
        <w:rPr>
          <w:i/>
          <w:sz w:val="22"/>
          <w:szCs w:val="22"/>
        </w:rPr>
        <w:t>p</w:t>
      </w:r>
      <w:r w:rsidRPr="00391A27">
        <w:rPr>
          <w:iCs/>
          <w:sz w:val="22"/>
          <w:szCs w:val="22"/>
        </w:rPr>
        <w:t xml:space="preserve">&lt;.001, </w:t>
      </w:r>
      <w:r w:rsidRPr="00391A27">
        <w:rPr>
          <w:i/>
          <w:sz w:val="22"/>
          <w:szCs w:val="22"/>
        </w:rPr>
        <w:t>r</w:t>
      </w:r>
      <w:r w:rsidRPr="00391A27">
        <w:rPr>
          <w:iCs/>
          <w:sz w:val="22"/>
          <w:szCs w:val="22"/>
        </w:rPr>
        <w:t xml:space="preserve">=0.61, </w:t>
      </w:r>
      <w:r w:rsidRPr="00391A27">
        <w:rPr>
          <w:i/>
          <w:sz w:val="22"/>
          <w:szCs w:val="22"/>
        </w:rPr>
        <w:t>p</w:t>
      </w:r>
      <w:r w:rsidRPr="00391A27">
        <w:rPr>
          <w:iCs/>
          <w:sz w:val="22"/>
          <w:szCs w:val="22"/>
        </w:rPr>
        <w:t>&lt;.001, respectively). Similarly, parent and child report of externalizing symptoms were also highly correlated at wave 1 and 2 of the pandemic (</w:t>
      </w:r>
      <w:r w:rsidRPr="00391A27">
        <w:rPr>
          <w:i/>
          <w:sz w:val="22"/>
          <w:szCs w:val="22"/>
        </w:rPr>
        <w:t>r=</w:t>
      </w:r>
      <w:r w:rsidRPr="00391A27">
        <w:rPr>
          <w:iCs/>
          <w:sz w:val="22"/>
          <w:szCs w:val="22"/>
        </w:rPr>
        <w:t xml:space="preserve">0.60, </w:t>
      </w:r>
      <w:r w:rsidRPr="00391A27">
        <w:rPr>
          <w:i/>
          <w:sz w:val="22"/>
          <w:szCs w:val="22"/>
        </w:rPr>
        <w:t>p</w:t>
      </w:r>
      <w:r w:rsidRPr="00391A27">
        <w:rPr>
          <w:iCs/>
          <w:sz w:val="22"/>
          <w:szCs w:val="22"/>
        </w:rPr>
        <w:t xml:space="preserve">&lt;.001, </w:t>
      </w:r>
      <w:r w:rsidRPr="00391A27">
        <w:rPr>
          <w:i/>
          <w:sz w:val="22"/>
          <w:szCs w:val="22"/>
        </w:rPr>
        <w:t>r=</w:t>
      </w:r>
      <w:r w:rsidRPr="00391A27">
        <w:rPr>
          <w:iCs/>
          <w:sz w:val="22"/>
          <w:szCs w:val="22"/>
        </w:rPr>
        <w:t xml:space="preserve">0.47, </w:t>
      </w:r>
      <w:r w:rsidRPr="00391A27">
        <w:rPr>
          <w:i/>
          <w:sz w:val="22"/>
          <w:szCs w:val="22"/>
        </w:rPr>
        <w:t>p</w:t>
      </w:r>
      <w:r w:rsidRPr="00391A27">
        <w:rPr>
          <w:iCs/>
          <w:sz w:val="22"/>
          <w:szCs w:val="22"/>
        </w:rPr>
        <w:t>&lt;.001, respectively).</w:t>
      </w:r>
    </w:p>
    <w:p w14:paraId="0E0EF8C6" w14:textId="77777777" w:rsidR="006A643C" w:rsidRPr="00391A27" w:rsidRDefault="006A643C" w:rsidP="000B0A81">
      <w:pPr>
        <w:autoSpaceDE w:val="0"/>
        <w:autoSpaceDN w:val="0"/>
        <w:adjustRightInd w:val="0"/>
        <w:rPr>
          <w:iCs/>
          <w:sz w:val="22"/>
          <w:szCs w:val="22"/>
        </w:rPr>
      </w:pPr>
    </w:p>
    <w:p w14:paraId="3ABCC468" w14:textId="76C7A770" w:rsidR="004935AD" w:rsidRPr="00391A27" w:rsidRDefault="00A727AB">
      <w:pPr>
        <w:rPr>
          <w:b/>
          <w:bCs/>
        </w:rPr>
      </w:pPr>
      <w:r w:rsidRPr="00391A27">
        <w:rPr>
          <w:b/>
          <w:bCs/>
        </w:rPr>
        <w:br w:type="page"/>
      </w:r>
    </w:p>
    <w:p w14:paraId="217547E7" w14:textId="415BF3D7" w:rsidR="00152DB4" w:rsidRPr="00391A27" w:rsidRDefault="00152DB4" w:rsidP="00152DB4">
      <w:pPr>
        <w:spacing w:line="480" w:lineRule="auto"/>
        <w:rPr>
          <w:b/>
          <w:bCs/>
        </w:rPr>
      </w:pPr>
      <w:r w:rsidRPr="00391A27">
        <w:rPr>
          <w:b/>
          <w:bCs/>
        </w:rPr>
        <w:lastRenderedPageBreak/>
        <w:t xml:space="preserve">Supplemental </w:t>
      </w:r>
      <w:r w:rsidR="00B74C22" w:rsidRPr="00391A27">
        <w:rPr>
          <w:b/>
          <w:bCs/>
        </w:rPr>
        <w:t>Analyses</w:t>
      </w:r>
    </w:p>
    <w:p w14:paraId="62DB7239" w14:textId="38280552" w:rsidR="00F35BA7" w:rsidRPr="00391A27" w:rsidRDefault="00F35BA7" w:rsidP="00B74C22">
      <w:pPr>
        <w:spacing w:line="480" w:lineRule="auto"/>
        <w:rPr>
          <w:b/>
          <w:bCs/>
          <w:i/>
          <w:iCs/>
        </w:rPr>
      </w:pPr>
      <w:r w:rsidRPr="00391A27">
        <w:rPr>
          <w:b/>
          <w:bCs/>
          <w:i/>
          <w:iCs/>
        </w:rPr>
        <w:t xml:space="preserve">Secondary Analyses </w:t>
      </w:r>
    </w:p>
    <w:p w14:paraId="30677A74" w14:textId="71093582" w:rsidR="00FD44AE" w:rsidRPr="00391A27" w:rsidRDefault="00F35BA7" w:rsidP="00AE335A">
      <w:pPr>
        <w:spacing w:line="480" w:lineRule="auto"/>
        <w:ind w:firstLine="720"/>
        <w:rPr>
          <w:iCs/>
        </w:rPr>
      </w:pPr>
      <w:r w:rsidRPr="00391A27">
        <w:rPr>
          <w:iCs/>
        </w:rPr>
        <w:t xml:space="preserve">As a secondary analysis, we examined </w:t>
      </w:r>
      <w:r w:rsidRPr="00391A27">
        <w:rPr>
          <w:i/>
        </w:rPr>
        <w:t>absolute levels socialization</w:t>
      </w:r>
      <w:r w:rsidRPr="00391A27">
        <w:rPr>
          <w:iCs/>
        </w:rPr>
        <w:t xml:space="preserve"> </w:t>
      </w:r>
      <w:r w:rsidR="00901BFA" w:rsidRPr="00391A27">
        <w:rPr>
          <w:iCs/>
        </w:rPr>
        <w:t xml:space="preserve">and </w:t>
      </w:r>
      <w:r w:rsidR="00901BFA" w:rsidRPr="00391A27">
        <w:rPr>
          <w:i/>
        </w:rPr>
        <w:t>parental support</w:t>
      </w:r>
      <w:r w:rsidR="00901BFA" w:rsidRPr="00391A27">
        <w:rPr>
          <w:iCs/>
        </w:rPr>
        <w:t xml:space="preserve"> </w:t>
      </w:r>
      <w:r w:rsidRPr="00391A27">
        <w:rPr>
          <w:iCs/>
        </w:rPr>
        <w:t xml:space="preserve">during </w:t>
      </w:r>
      <w:r w:rsidR="009C187B" w:rsidRPr="00391A27">
        <w:rPr>
          <w:iCs/>
        </w:rPr>
        <w:t xml:space="preserve">Wave 1 of </w:t>
      </w:r>
      <w:r w:rsidRPr="00391A27">
        <w:rPr>
          <w:iCs/>
        </w:rPr>
        <w:t>the pandemic</w:t>
      </w:r>
      <w:r w:rsidR="00493EE9" w:rsidRPr="00391A27">
        <w:rPr>
          <w:iCs/>
        </w:rPr>
        <w:t xml:space="preserve">. </w:t>
      </w:r>
      <w:r w:rsidR="00CF5035" w:rsidRPr="00391A27">
        <w:rPr>
          <w:iCs/>
        </w:rPr>
        <w:t>As described in the main text, participants completed a novel survey and were asked to report the frequency and duration with which they socialized with friends in</w:t>
      </w:r>
      <w:r w:rsidR="00D556CF" w:rsidRPr="00391A27">
        <w:rPr>
          <w:iCs/>
        </w:rPr>
        <w:t>-</w:t>
      </w:r>
      <w:r w:rsidR="00CF5035" w:rsidRPr="00391A27">
        <w:rPr>
          <w:iCs/>
        </w:rPr>
        <w:t xml:space="preserve">person </w:t>
      </w:r>
      <w:r w:rsidR="00FD44AE" w:rsidRPr="00391A27">
        <w:rPr>
          <w:iCs/>
        </w:rPr>
        <w:t>(</w:t>
      </w:r>
      <w:r w:rsidR="00FD44AE" w:rsidRPr="00391A27">
        <w:rPr>
          <w:i/>
        </w:rPr>
        <w:t>M</w:t>
      </w:r>
      <w:r w:rsidR="00FD44AE" w:rsidRPr="00391A27">
        <w:rPr>
          <w:iCs/>
        </w:rPr>
        <w:t xml:space="preserve">=6.945, </w:t>
      </w:r>
      <w:r w:rsidR="00FD44AE" w:rsidRPr="00391A27">
        <w:rPr>
          <w:i/>
        </w:rPr>
        <w:t>SD</w:t>
      </w:r>
      <w:r w:rsidR="00FD44AE" w:rsidRPr="00391A27">
        <w:rPr>
          <w:iCs/>
        </w:rPr>
        <w:t xml:space="preserve">=6.081, </w:t>
      </w:r>
      <w:r w:rsidR="00FD44AE" w:rsidRPr="00391A27">
        <w:rPr>
          <w:i/>
        </w:rPr>
        <w:t>range</w:t>
      </w:r>
      <w:r w:rsidR="00FD44AE" w:rsidRPr="00391A27">
        <w:rPr>
          <w:iCs/>
        </w:rPr>
        <w:t xml:space="preserve">: 1-30) </w:t>
      </w:r>
      <w:r w:rsidR="00CF5035" w:rsidRPr="00391A27">
        <w:rPr>
          <w:iCs/>
        </w:rPr>
        <w:t xml:space="preserve">and </w:t>
      </w:r>
      <w:r w:rsidR="004F5C19" w:rsidRPr="00391A27">
        <w:rPr>
          <w:iCs/>
        </w:rPr>
        <w:t>by</w:t>
      </w:r>
      <w:r w:rsidR="00CF5035" w:rsidRPr="00391A27">
        <w:rPr>
          <w:iCs/>
        </w:rPr>
        <w:t xml:space="preserve"> digital means (i.e., phone call, text, messaging apps, and other platforms</w:t>
      </w:r>
      <w:r w:rsidR="00FD44AE" w:rsidRPr="00391A27">
        <w:rPr>
          <w:iCs/>
        </w:rPr>
        <w:t xml:space="preserve">; </w:t>
      </w:r>
      <w:r w:rsidR="00FD44AE" w:rsidRPr="00391A27">
        <w:rPr>
          <w:i/>
        </w:rPr>
        <w:t>M</w:t>
      </w:r>
      <w:r w:rsidR="00FD44AE" w:rsidRPr="00391A27">
        <w:rPr>
          <w:iCs/>
        </w:rPr>
        <w:t xml:space="preserve">=12.192, </w:t>
      </w:r>
      <w:r w:rsidR="00FD44AE" w:rsidRPr="00391A27">
        <w:rPr>
          <w:i/>
        </w:rPr>
        <w:t>SD</w:t>
      </w:r>
      <w:r w:rsidR="00FD44AE" w:rsidRPr="00391A27">
        <w:rPr>
          <w:iCs/>
        </w:rPr>
        <w:t xml:space="preserve">=8.872, </w:t>
      </w:r>
      <w:r w:rsidR="00FD44AE" w:rsidRPr="00391A27">
        <w:rPr>
          <w:i/>
        </w:rPr>
        <w:t>range</w:t>
      </w:r>
      <w:r w:rsidR="00FD44AE" w:rsidRPr="00391A27">
        <w:rPr>
          <w:iCs/>
        </w:rPr>
        <w:t>: 1-36</w:t>
      </w:r>
      <w:r w:rsidR="00CF5035" w:rsidRPr="00391A27">
        <w:rPr>
          <w:iCs/>
        </w:rPr>
        <w:t>)</w:t>
      </w:r>
      <w:r w:rsidR="0081538C" w:rsidRPr="00391A27">
        <w:rPr>
          <w:iCs/>
        </w:rPr>
        <w:t xml:space="preserve"> during the </w:t>
      </w:r>
      <w:r w:rsidR="001608FD" w:rsidRPr="00391A27">
        <w:rPr>
          <w:iCs/>
        </w:rPr>
        <w:t xml:space="preserve">initial stay-at-home orders of the </w:t>
      </w:r>
      <w:r w:rsidR="0081538C" w:rsidRPr="00391A27">
        <w:rPr>
          <w:iCs/>
        </w:rPr>
        <w:t>pandemic</w:t>
      </w:r>
      <w:r w:rsidR="00CF5035" w:rsidRPr="00391A27">
        <w:rPr>
          <w:iCs/>
        </w:rPr>
        <w:t>.</w:t>
      </w:r>
    </w:p>
    <w:p w14:paraId="700897A2" w14:textId="0C06C471" w:rsidR="008D694A" w:rsidRPr="00391A27" w:rsidRDefault="00B45DD2" w:rsidP="007451BF">
      <w:pPr>
        <w:spacing w:line="480" w:lineRule="auto"/>
        <w:ind w:firstLine="720"/>
        <w:rPr>
          <w:iCs/>
        </w:rPr>
      </w:pPr>
      <w:r w:rsidRPr="00391A27">
        <w:rPr>
          <w:iCs/>
        </w:rPr>
        <w:t xml:space="preserve">Parental support was </w:t>
      </w:r>
      <w:r w:rsidR="008D694A" w:rsidRPr="00391A27">
        <w:rPr>
          <w:iCs/>
        </w:rPr>
        <w:t xml:space="preserve">assessed using a validated measure of six items </w:t>
      </w:r>
      <w:r w:rsidR="008D694A" w:rsidRPr="00391A27">
        <w:rPr>
          <w:iCs/>
        </w:rPr>
        <w:fldChar w:fldCharType="begin"/>
      </w:r>
      <w:r w:rsidR="008D694A" w:rsidRPr="00391A27">
        <w:rPr>
          <w:iCs/>
        </w:rPr>
        <w:instrText xml:space="preserve"> ADDIN ZOTERO_ITEM CSL_CITATION {"citationID":"BdNmVSb2","properties":{"formattedCitation":"(Harter, 1985)","plainCitation":"(Harter, 1985)","noteIndex":0},"citationItems":[{"id":1386,"uris":["http://zotero.org/users/3867002/items/RAD8RG47"],"itemData":{"id":1386,"type":"book","publisher":"University of Denver","title":"The Social Support Scale for Children and Adolescents: Manual and Questionnaire","URL":"https://portfolio.du.edu/SusanHarter/page/44343","author":[{"family":"Harter","given":"Susan"}],"issued":{"date-parts":[["1985"]]}}}],"schema":"https://github.com/citation-style-language/schema/raw/master/csl-citation.json"} </w:instrText>
      </w:r>
      <w:r w:rsidR="008D694A" w:rsidRPr="00391A27">
        <w:rPr>
          <w:iCs/>
        </w:rPr>
        <w:fldChar w:fldCharType="separate"/>
      </w:r>
      <w:r w:rsidR="008D694A" w:rsidRPr="00391A27">
        <w:rPr>
          <w:iCs/>
        </w:rPr>
        <w:t>(Harter, 1985)</w:t>
      </w:r>
      <w:r w:rsidR="008D694A" w:rsidRPr="00391A27">
        <w:rPr>
          <w:iCs/>
        </w:rPr>
        <w:fldChar w:fldCharType="end"/>
      </w:r>
      <w:r w:rsidR="008D694A" w:rsidRPr="00391A27">
        <w:rPr>
          <w:iCs/>
        </w:rPr>
        <w:t xml:space="preserve"> that probed relationship quality and perceived emotional support from parents</w:t>
      </w:r>
      <w:r w:rsidR="00C0342E" w:rsidRPr="00391A27">
        <w:rPr>
          <w:iCs/>
        </w:rPr>
        <w:t xml:space="preserve"> (</w:t>
      </w:r>
      <w:r w:rsidR="00C0342E" w:rsidRPr="00391A27">
        <w:rPr>
          <w:i/>
        </w:rPr>
        <w:t>M</w:t>
      </w:r>
      <w:r w:rsidR="00C0342E" w:rsidRPr="00391A27">
        <w:rPr>
          <w:iCs/>
        </w:rPr>
        <w:t xml:space="preserve">=3.285, </w:t>
      </w:r>
      <w:r w:rsidR="00C0342E" w:rsidRPr="00391A27">
        <w:rPr>
          <w:i/>
        </w:rPr>
        <w:t>SD</w:t>
      </w:r>
      <w:r w:rsidR="00C0342E" w:rsidRPr="00391A27">
        <w:rPr>
          <w:iCs/>
        </w:rPr>
        <w:t xml:space="preserve">=0.539, </w:t>
      </w:r>
      <w:r w:rsidR="00C0342E" w:rsidRPr="00391A27">
        <w:rPr>
          <w:i/>
        </w:rPr>
        <w:t>range</w:t>
      </w:r>
      <w:r w:rsidR="00C0342E" w:rsidRPr="00391A27">
        <w:rPr>
          <w:iCs/>
        </w:rPr>
        <w:t>: 1.33-4.00)</w:t>
      </w:r>
      <w:r w:rsidR="008D694A" w:rsidRPr="00391A27">
        <w:rPr>
          <w:iCs/>
        </w:rPr>
        <w:t>. Items included whether participants had parents who “understand them,” “want to hear about their problems,” “care about my feelings,” “treat them like they really matter,” “like them the way they are,” and “act like what they do is important” scored on a 1-4 Likert scale from “Strongly disagree” to “Strongly agree.”</w:t>
      </w:r>
      <w:r w:rsidR="0047786F" w:rsidRPr="00391A27">
        <w:rPr>
          <w:iCs/>
        </w:rPr>
        <w:t xml:space="preserve"> Items were summed and had moderately high reliability (</w:t>
      </w:r>
      <w:r w:rsidR="0047786F" w:rsidRPr="00391A27">
        <w:rPr>
          <w:i/>
        </w:rPr>
        <w:t>alpha</w:t>
      </w:r>
      <w:r w:rsidR="0047786F" w:rsidRPr="00391A27">
        <w:rPr>
          <w:iCs/>
        </w:rPr>
        <w:t>=0.80).</w:t>
      </w:r>
    </w:p>
    <w:p w14:paraId="1D9FCA2B" w14:textId="7C4DEDE0" w:rsidR="004A73F6" w:rsidRPr="00391A27" w:rsidRDefault="00493EE9" w:rsidP="00491140">
      <w:pPr>
        <w:spacing w:line="480" w:lineRule="auto"/>
        <w:ind w:firstLine="720"/>
      </w:pPr>
      <w:r w:rsidRPr="00391A27">
        <w:rPr>
          <w:iCs/>
        </w:rPr>
        <w:t>All analyses followed the same statistical approach as in the main text, examining socialization</w:t>
      </w:r>
      <w:r w:rsidR="003A0DAE" w:rsidRPr="00391A27">
        <w:rPr>
          <w:iCs/>
        </w:rPr>
        <w:t xml:space="preserve"> or parental support</w:t>
      </w:r>
      <w:r w:rsidRPr="00391A27">
        <w:rPr>
          <w:iCs/>
        </w:rPr>
        <w:t xml:space="preserve"> as both predictor</w:t>
      </w:r>
      <w:r w:rsidR="000A5FD9" w:rsidRPr="00391A27">
        <w:rPr>
          <w:iCs/>
        </w:rPr>
        <w:t>s</w:t>
      </w:r>
      <w:r w:rsidRPr="00391A27">
        <w:rPr>
          <w:iCs/>
        </w:rPr>
        <w:t xml:space="preserve"> of psychopathology and moderator</w:t>
      </w:r>
      <w:r w:rsidR="000A5FD9" w:rsidRPr="00391A27">
        <w:rPr>
          <w:iCs/>
        </w:rPr>
        <w:t>s</w:t>
      </w:r>
      <w:r w:rsidRPr="00391A27">
        <w:rPr>
          <w:iCs/>
        </w:rPr>
        <w:t xml:space="preserve"> of the relationship between pandemic-related stress and psychopathology. We again </w:t>
      </w:r>
      <w:r w:rsidRPr="00391A27">
        <w:t xml:space="preserve">examined age-related differences to these models to test whether associations differed </w:t>
      </w:r>
      <w:r w:rsidR="006D2A6C" w:rsidRPr="00391A27">
        <w:t>across age</w:t>
      </w:r>
      <w:r w:rsidRPr="00391A27">
        <w:t xml:space="preserve">. </w:t>
      </w:r>
      <w:r w:rsidR="00901BFA" w:rsidRPr="00391A27">
        <w:t>S</w:t>
      </w:r>
      <w:r w:rsidR="00F35BA7" w:rsidRPr="00391A27">
        <w:t>ummary statistics</w:t>
      </w:r>
      <w:r w:rsidR="00DF3B27" w:rsidRPr="00391A27">
        <w:t xml:space="preserve"> and plots</w:t>
      </w:r>
      <w:r w:rsidR="00F35BA7" w:rsidRPr="00391A27">
        <w:t xml:space="preserve"> </w:t>
      </w:r>
      <w:r w:rsidR="00901BFA" w:rsidRPr="00391A27">
        <w:t xml:space="preserve">for these secondary models </w:t>
      </w:r>
      <w:r w:rsidR="00F35BA7" w:rsidRPr="00391A27">
        <w:t xml:space="preserve">can be found in Table </w:t>
      </w:r>
      <w:r w:rsidR="00901BFA" w:rsidRPr="00391A27">
        <w:t>S3</w:t>
      </w:r>
      <w:r w:rsidR="00DF3B27" w:rsidRPr="00391A27">
        <w:t xml:space="preserve"> and Figure S1</w:t>
      </w:r>
      <w:r w:rsidR="00901BFA" w:rsidRPr="00391A27">
        <w:t>.</w:t>
      </w:r>
      <w:r w:rsidR="00F35BA7" w:rsidRPr="00391A27">
        <w:t xml:space="preserve"> </w:t>
      </w:r>
    </w:p>
    <w:p w14:paraId="3DD1E570" w14:textId="326E0778" w:rsidR="004A73F6" w:rsidRPr="00391A27" w:rsidRDefault="004A73F6" w:rsidP="00901BFA">
      <w:pPr>
        <w:spacing w:line="480" w:lineRule="auto"/>
        <w:ind w:firstLine="720"/>
      </w:pPr>
    </w:p>
    <w:p w14:paraId="422145AF" w14:textId="117B2DAC" w:rsidR="00460144" w:rsidRPr="00391A27" w:rsidRDefault="00460144" w:rsidP="00901BFA">
      <w:pPr>
        <w:spacing w:line="480" w:lineRule="auto"/>
        <w:ind w:firstLine="720"/>
      </w:pPr>
    </w:p>
    <w:p w14:paraId="3D93C83F" w14:textId="77777777" w:rsidR="00460144" w:rsidRPr="00391A27" w:rsidRDefault="00460144" w:rsidP="00901BFA">
      <w:pPr>
        <w:spacing w:line="480" w:lineRule="auto"/>
        <w:ind w:firstLine="720"/>
      </w:pPr>
    </w:p>
    <w:p w14:paraId="3C872E72" w14:textId="77777777" w:rsidR="00901BFA" w:rsidRPr="00391A27" w:rsidRDefault="00901BFA" w:rsidP="00901BFA">
      <w:pPr>
        <w:spacing w:line="480" w:lineRule="auto"/>
        <w:rPr>
          <w:i/>
          <w:iCs/>
        </w:rPr>
      </w:pPr>
      <w:r w:rsidRPr="00391A27">
        <w:rPr>
          <w:i/>
          <w:iCs/>
        </w:rPr>
        <w:lastRenderedPageBreak/>
        <w:t>Absolute Levels of Socialization during the Pandemic</w:t>
      </w:r>
    </w:p>
    <w:p w14:paraId="61AE19A7" w14:textId="74366325" w:rsidR="00E10062" w:rsidRPr="00391A27" w:rsidRDefault="00383C74" w:rsidP="00E10062">
      <w:pPr>
        <w:spacing w:line="480" w:lineRule="auto"/>
        <w:ind w:firstLine="720"/>
      </w:pPr>
      <w:r w:rsidRPr="00391A27">
        <w:t xml:space="preserve">We examined how in-person and digital socialization during </w:t>
      </w:r>
      <w:r w:rsidR="0065453D" w:rsidRPr="00391A27">
        <w:t xml:space="preserve">the initial </w:t>
      </w:r>
      <w:r w:rsidRPr="00391A27">
        <w:t>stay-at-home orders were associated with psychopathology, while controlling for pre-pandemic symptoms. Lower levels of in-person socialization during this time were associated with greater concurrent internalizing (</w:t>
      </w:r>
      <w:r w:rsidRPr="00391A27">
        <w:rPr>
          <w:i/>
          <w:iCs/>
        </w:rPr>
        <w:t>β</w:t>
      </w:r>
      <w:r w:rsidRPr="00391A27">
        <w:t xml:space="preserve">=-0.160, </w:t>
      </w:r>
      <w:r w:rsidRPr="00391A27">
        <w:rPr>
          <w:i/>
          <w:iCs/>
        </w:rPr>
        <w:t>p</w:t>
      </w:r>
      <w:r w:rsidRPr="00391A27">
        <w:t>=.012) but not externalizing (</w:t>
      </w:r>
      <w:r w:rsidRPr="00391A27">
        <w:rPr>
          <w:i/>
          <w:iCs/>
        </w:rPr>
        <w:t>β=</w:t>
      </w:r>
      <w:r w:rsidRPr="00391A27">
        <w:t xml:space="preserve">-0.005, </w:t>
      </w:r>
      <w:r w:rsidRPr="00391A27">
        <w:rPr>
          <w:i/>
          <w:iCs/>
        </w:rPr>
        <w:t>p</w:t>
      </w:r>
      <w:r w:rsidRPr="00391A27">
        <w:t>=.934) symptoms. Levels of in-person socialization were not prospectively associated with internalizing symptoms six months later (</w:t>
      </w:r>
      <w:r w:rsidRPr="00391A27">
        <w:rPr>
          <w:i/>
          <w:iCs/>
        </w:rPr>
        <w:t>β=</w:t>
      </w:r>
      <w:r w:rsidRPr="00391A27">
        <w:t xml:space="preserve">-0.137, </w:t>
      </w:r>
      <w:r w:rsidRPr="00391A27">
        <w:rPr>
          <w:i/>
          <w:iCs/>
        </w:rPr>
        <w:t>p</w:t>
      </w:r>
      <w:r w:rsidRPr="00391A27">
        <w:t>=.061). Meanwhile, lower levels of digital socialization during the pandemic were not significantly related to concurrent internalizing symptoms (</w:t>
      </w:r>
      <w:r w:rsidRPr="00391A27">
        <w:rPr>
          <w:i/>
          <w:iCs/>
        </w:rPr>
        <w:t>β</w:t>
      </w:r>
      <w:r w:rsidRPr="00391A27">
        <w:t xml:space="preserve">=-0.131, </w:t>
      </w:r>
      <w:r w:rsidRPr="00391A27">
        <w:rPr>
          <w:i/>
          <w:iCs/>
        </w:rPr>
        <w:t>p</w:t>
      </w:r>
      <w:r w:rsidRPr="00391A27">
        <w:t>=.065) or externalizing symptoms at either time-point (</w:t>
      </w:r>
      <w:r w:rsidRPr="00391A27">
        <w:rPr>
          <w:i/>
          <w:iCs/>
        </w:rPr>
        <w:t>p</w:t>
      </w:r>
      <w:r w:rsidRPr="00391A27">
        <w:t xml:space="preserve">s=.340-.888), but prospectively predicted greater internalizing symptoms six months later, after the </w:t>
      </w:r>
      <w:r w:rsidR="00A13255" w:rsidRPr="00391A27">
        <w:t xml:space="preserve">initial </w:t>
      </w:r>
      <w:r w:rsidRPr="00391A27">
        <w:t>stay-at-home order</w:t>
      </w:r>
      <w:r w:rsidR="00A13255" w:rsidRPr="00391A27">
        <w:t>s</w:t>
      </w:r>
      <w:r w:rsidRPr="00391A27">
        <w:t xml:space="preserve"> </w:t>
      </w:r>
      <w:r w:rsidR="00A13255" w:rsidRPr="00391A27">
        <w:t>were lifted</w:t>
      </w:r>
      <w:r w:rsidRPr="00391A27">
        <w:t xml:space="preserve"> (</w:t>
      </w:r>
      <w:r w:rsidRPr="00391A27">
        <w:rPr>
          <w:i/>
          <w:iCs/>
        </w:rPr>
        <w:t>β</w:t>
      </w:r>
      <w:r w:rsidRPr="00391A27">
        <w:t xml:space="preserve">=-0.193, </w:t>
      </w:r>
      <w:r w:rsidRPr="00391A27">
        <w:rPr>
          <w:i/>
          <w:iCs/>
        </w:rPr>
        <w:t>p</w:t>
      </w:r>
      <w:r w:rsidRPr="00391A27">
        <w:t>=.017). There were no age-related differences in the association between socialization and psychopathology (</w:t>
      </w:r>
      <w:r w:rsidRPr="00391A27">
        <w:rPr>
          <w:i/>
          <w:iCs/>
        </w:rPr>
        <w:t>p</w:t>
      </w:r>
      <w:r w:rsidRPr="00391A27">
        <w:t>s&gt;.155).</w:t>
      </w:r>
      <w:r w:rsidR="00E10062" w:rsidRPr="00391A27">
        <w:t xml:space="preserve"> When examining levels of socialization as a moderator, we did not find a significant effect of absolute levels of socialization (in-person or digital) on the relationship between pandemic-related stress and psychopathology (</w:t>
      </w:r>
      <w:r w:rsidR="00E10062" w:rsidRPr="00391A27">
        <w:rPr>
          <w:i/>
          <w:iCs/>
        </w:rPr>
        <w:t>p</w:t>
      </w:r>
      <w:r w:rsidR="00E10062" w:rsidRPr="00391A27">
        <w:t>s&gt;.09</w:t>
      </w:r>
      <w:r w:rsidR="00FF6E1C" w:rsidRPr="00391A27">
        <w:t>0</w:t>
      </w:r>
      <w:r w:rsidR="00E10062" w:rsidRPr="00391A27">
        <w:t>), nor any moderating effects by age (</w:t>
      </w:r>
      <w:r w:rsidR="00E10062" w:rsidRPr="00391A27">
        <w:rPr>
          <w:i/>
        </w:rPr>
        <w:t>p</w:t>
      </w:r>
      <w:r w:rsidR="00E10062" w:rsidRPr="00391A27">
        <w:t>s&gt;.</w:t>
      </w:r>
      <w:r w:rsidR="00FF6E1C" w:rsidRPr="00391A27">
        <w:t>06</w:t>
      </w:r>
      <w:r w:rsidR="00531878" w:rsidRPr="00391A27">
        <w:t>1</w:t>
      </w:r>
      <w:r w:rsidR="00E10062" w:rsidRPr="00391A27">
        <w:t>).</w:t>
      </w:r>
    </w:p>
    <w:p w14:paraId="53D570E2" w14:textId="6F1B023E" w:rsidR="00F35BA7" w:rsidRPr="00391A27" w:rsidRDefault="00F35BA7" w:rsidP="009C6B16">
      <w:pPr>
        <w:spacing w:line="480" w:lineRule="auto"/>
        <w:ind w:firstLine="720"/>
      </w:pPr>
    </w:p>
    <w:p w14:paraId="0AFC1C0C" w14:textId="610C6DE9" w:rsidR="009C6B16" w:rsidRPr="00391A27" w:rsidRDefault="00F35BA7" w:rsidP="00E10062">
      <w:pPr>
        <w:spacing w:line="480" w:lineRule="auto"/>
        <w:rPr>
          <w:i/>
          <w:iCs/>
        </w:rPr>
      </w:pPr>
      <w:r w:rsidRPr="00391A27">
        <w:rPr>
          <w:i/>
          <w:iCs/>
        </w:rPr>
        <w:t>Parental Support during the Pandemic</w:t>
      </w:r>
    </w:p>
    <w:p w14:paraId="68180069" w14:textId="2D5787D7" w:rsidR="00B74C22" w:rsidRPr="00391A27" w:rsidRDefault="009C6B16" w:rsidP="00E10062">
      <w:pPr>
        <w:spacing w:line="480" w:lineRule="auto"/>
        <w:ind w:firstLine="720"/>
      </w:pPr>
      <w:r w:rsidRPr="00391A27">
        <w:t xml:space="preserve">We also examined perceived support from parents during the pandemic </w:t>
      </w:r>
      <w:r w:rsidR="00713134" w:rsidRPr="00391A27">
        <w:t xml:space="preserve">and initial </w:t>
      </w:r>
      <w:r w:rsidRPr="00391A27">
        <w:t>stay-at-home order period. Lower levels of parent support were concurrently and prospectively associated with greater internalizing symptoms (</w:t>
      </w:r>
      <w:r w:rsidRPr="00391A27">
        <w:rPr>
          <w:i/>
          <w:iCs/>
        </w:rPr>
        <w:t>β</w:t>
      </w:r>
      <w:r w:rsidRPr="00391A27">
        <w:t xml:space="preserve">=-0.304, </w:t>
      </w:r>
      <w:r w:rsidRPr="00391A27">
        <w:rPr>
          <w:i/>
          <w:iCs/>
        </w:rPr>
        <w:t>p</w:t>
      </w:r>
      <w:r w:rsidRPr="00391A27">
        <w:t xml:space="preserve">&lt;.001 and </w:t>
      </w:r>
      <w:r w:rsidRPr="00391A27">
        <w:rPr>
          <w:i/>
          <w:iCs/>
        </w:rPr>
        <w:t>β</w:t>
      </w:r>
      <w:r w:rsidRPr="00391A27">
        <w:t xml:space="preserve">=-0.344, </w:t>
      </w:r>
      <w:r w:rsidRPr="00391A27">
        <w:rPr>
          <w:i/>
          <w:iCs/>
        </w:rPr>
        <w:t>p</w:t>
      </w:r>
      <w:r w:rsidRPr="00391A27">
        <w:t>&lt;.001, respectively). Additionally, lower parent support was concurrently and prospectively associated with greater externalizing symptoms (</w:t>
      </w:r>
      <w:r w:rsidRPr="00391A27">
        <w:rPr>
          <w:i/>
          <w:iCs/>
        </w:rPr>
        <w:t>β</w:t>
      </w:r>
      <w:r w:rsidRPr="00391A27">
        <w:t xml:space="preserve">=-0.245, </w:t>
      </w:r>
      <w:r w:rsidRPr="00391A27">
        <w:rPr>
          <w:i/>
          <w:iCs/>
        </w:rPr>
        <w:t>p</w:t>
      </w:r>
      <w:r w:rsidRPr="00391A27">
        <w:t xml:space="preserve">&lt;.001 and </w:t>
      </w:r>
      <w:r w:rsidRPr="00391A27">
        <w:rPr>
          <w:i/>
          <w:iCs/>
        </w:rPr>
        <w:t>β</w:t>
      </w:r>
      <w:r w:rsidRPr="00391A27">
        <w:t xml:space="preserve">=-0.263, </w:t>
      </w:r>
      <w:r w:rsidRPr="00391A27">
        <w:rPr>
          <w:i/>
          <w:iCs/>
        </w:rPr>
        <w:t>p</w:t>
      </w:r>
      <w:r w:rsidRPr="00391A27">
        <w:t>&lt;.001, respectively). Children reported greater support from parents than adolescents (</w:t>
      </w:r>
      <w:r w:rsidRPr="00391A27">
        <w:rPr>
          <w:i/>
          <w:iCs/>
        </w:rPr>
        <w:t>β</w:t>
      </w:r>
      <w:r w:rsidRPr="00391A27">
        <w:t xml:space="preserve">=-0.252, </w:t>
      </w:r>
      <w:r w:rsidRPr="00391A27">
        <w:rPr>
          <w:i/>
          <w:iCs/>
        </w:rPr>
        <w:t>p</w:t>
      </w:r>
      <w:r w:rsidRPr="00391A27">
        <w:t xml:space="preserve">&lt;.001). No other </w:t>
      </w:r>
      <w:r w:rsidRPr="00391A27">
        <w:lastRenderedPageBreak/>
        <w:t>age interactions were found (</w:t>
      </w:r>
      <w:r w:rsidRPr="00391A27">
        <w:rPr>
          <w:i/>
          <w:iCs/>
        </w:rPr>
        <w:t>p</w:t>
      </w:r>
      <w:r w:rsidRPr="00391A27">
        <w:t>s&gt;.</w:t>
      </w:r>
      <w:r w:rsidR="009171D5" w:rsidRPr="00391A27">
        <w:t>334</w:t>
      </w:r>
      <w:r w:rsidRPr="00391A27">
        <w:t xml:space="preserve">). </w:t>
      </w:r>
      <w:r w:rsidR="00E10062" w:rsidRPr="00391A27">
        <w:t>P</w:t>
      </w:r>
      <w:r w:rsidR="00B74C22" w:rsidRPr="00391A27">
        <w:t>arental support did not interact with pandemic-related stressors to predict psychopathology (</w:t>
      </w:r>
      <w:r w:rsidR="00B74C22" w:rsidRPr="00391A27">
        <w:rPr>
          <w:i/>
        </w:rPr>
        <w:t>p</w:t>
      </w:r>
      <w:r w:rsidR="00B74C22" w:rsidRPr="00391A27">
        <w:t>s&gt;.</w:t>
      </w:r>
      <w:r w:rsidR="009171D5" w:rsidRPr="00391A27">
        <w:t>282</w:t>
      </w:r>
      <w:r w:rsidR="00B74C22" w:rsidRPr="00391A27">
        <w:t>)</w:t>
      </w:r>
      <w:r w:rsidR="00BA6F16" w:rsidRPr="00391A27">
        <w:t xml:space="preserve">, nor did we find a moderating effect by age </w:t>
      </w:r>
      <w:r w:rsidR="00B74C22" w:rsidRPr="00391A27">
        <w:t>(</w:t>
      </w:r>
      <w:r w:rsidR="00B74C22" w:rsidRPr="00391A27">
        <w:rPr>
          <w:i/>
        </w:rPr>
        <w:t>p</w:t>
      </w:r>
      <w:r w:rsidR="00B74C22" w:rsidRPr="00391A27">
        <w:t>s&gt;.</w:t>
      </w:r>
      <w:r w:rsidR="009171D5" w:rsidRPr="00391A27">
        <w:t>209</w:t>
      </w:r>
      <w:r w:rsidR="00B74C22" w:rsidRPr="00391A27">
        <w:t>).</w:t>
      </w:r>
    </w:p>
    <w:p w14:paraId="20A98EDC" w14:textId="694699D6" w:rsidR="00BF320E" w:rsidRPr="00391A27" w:rsidRDefault="00BF320E" w:rsidP="00BF320E">
      <w:pPr>
        <w:spacing w:line="480" w:lineRule="auto"/>
        <w:rPr>
          <w:b/>
          <w:bCs/>
        </w:rPr>
      </w:pPr>
      <w:r w:rsidRPr="00391A27">
        <w:rPr>
          <w:b/>
          <w:bCs/>
        </w:rPr>
        <w:t>Supplemental Figures</w:t>
      </w:r>
    </w:p>
    <w:p w14:paraId="54888E4B" w14:textId="53A56F2B" w:rsidR="00BF320E" w:rsidRPr="00391A27" w:rsidRDefault="00BF320E" w:rsidP="00BF320E">
      <w:pPr>
        <w:spacing w:line="480" w:lineRule="auto"/>
        <w:rPr>
          <w:b/>
          <w:bCs/>
        </w:rPr>
      </w:pPr>
      <w:r w:rsidRPr="00391A27">
        <w:rPr>
          <w:b/>
          <w:bCs/>
          <w:noProof/>
        </w:rPr>
        <w:drawing>
          <wp:inline distT="0" distB="0" distL="0" distR="0" wp14:anchorId="0CA69CF7" wp14:editId="14635D0F">
            <wp:extent cx="5462124" cy="4234313"/>
            <wp:effectExtent l="0" t="0" r="0" b="0"/>
            <wp:docPr id="1" name="Picture 1"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application&#10;&#10;Description automatically generated"/>
                    <pic:cNvPicPr/>
                  </pic:nvPicPr>
                  <pic:blipFill>
                    <a:blip r:embed="rId5"/>
                    <a:stretch>
                      <a:fillRect/>
                    </a:stretch>
                  </pic:blipFill>
                  <pic:spPr>
                    <a:xfrm>
                      <a:off x="0" y="0"/>
                      <a:ext cx="5474545" cy="4243942"/>
                    </a:xfrm>
                    <a:prstGeom prst="rect">
                      <a:avLst/>
                    </a:prstGeom>
                  </pic:spPr>
                </pic:pic>
              </a:graphicData>
            </a:graphic>
          </wp:inline>
        </w:drawing>
      </w:r>
    </w:p>
    <w:p w14:paraId="09D3AEE3" w14:textId="735C3D04" w:rsidR="00BF320E" w:rsidRPr="00391A27" w:rsidRDefault="00BF320E" w:rsidP="00D353F9">
      <w:pPr>
        <w:spacing w:line="360" w:lineRule="auto"/>
      </w:pPr>
      <w:r w:rsidRPr="00391A27">
        <w:t xml:space="preserve">Figure S1. Associations between absolute levels of in-person and digital socialization and parental support with psychopathology. Less in-person and digital socialization during the pandemic was associated with </w:t>
      </w:r>
      <w:r w:rsidR="00EA7409" w:rsidRPr="00391A27">
        <w:t>worsened</w:t>
      </w:r>
      <w:r w:rsidRPr="00391A27">
        <w:t xml:space="preserve"> internalizing symptoms at Wave 1 and Wave 2, respectively (A, B). Lower levels of parental support during the pandemic were associated with worsened internalizing and externalizing symptoms at Wave 1 and Wave 2 (C-F) Shaded region indicates SE.</w:t>
      </w:r>
      <w:r w:rsidRPr="00391A27">
        <w:rPr>
          <w:b/>
          <w:bCs/>
        </w:rPr>
        <w:br w:type="page"/>
      </w:r>
    </w:p>
    <w:p w14:paraId="46EFBF16" w14:textId="60788002" w:rsidR="00B74C22" w:rsidRPr="00391A27" w:rsidRDefault="00B74C22" w:rsidP="00B74C22">
      <w:pPr>
        <w:spacing w:line="480" w:lineRule="auto"/>
        <w:rPr>
          <w:b/>
          <w:bCs/>
        </w:rPr>
      </w:pPr>
      <w:r w:rsidRPr="00391A27">
        <w:rPr>
          <w:b/>
          <w:bCs/>
        </w:rPr>
        <w:lastRenderedPageBreak/>
        <w:t>Supplemental Tables</w:t>
      </w:r>
    </w:p>
    <w:p w14:paraId="1D4E00FE" w14:textId="4BBCB782" w:rsidR="00304E9C" w:rsidRPr="00391A27" w:rsidRDefault="00C60265" w:rsidP="005A568D">
      <w:pPr>
        <w:rPr>
          <w:noProof/>
        </w:rPr>
      </w:pPr>
      <w:r w:rsidRPr="00391A27">
        <w:rPr>
          <w:noProof/>
          <w:sz w:val="22"/>
          <w:szCs w:val="22"/>
        </w:rPr>
        <w:drawing>
          <wp:inline distT="0" distB="0" distL="0" distR="0" wp14:anchorId="6EF05ACA" wp14:editId="1CAD2111">
            <wp:extent cx="6073698" cy="24858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6"/>
                    <a:srcRect l="3122" t="5687" r="38015" b="57078"/>
                    <a:stretch/>
                  </pic:blipFill>
                  <pic:spPr bwMode="auto">
                    <a:xfrm>
                      <a:off x="0" y="0"/>
                      <a:ext cx="6102908" cy="2497806"/>
                    </a:xfrm>
                    <a:prstGeom prst="rect">
                      <a:avLst/>
                    </a:prstGeom>
                    <a:ln>
                      <a:noFill/>
                    </a:ln>
                    <a:extLst>
                      <a:ext uri="{53640926-AAD7-44D8-BBD7-CCE9431645EC}">
                        <a14:shadowObscured xmlns:a14="http://schemas.microsoft.com/office/drawing/2010/main"/>
                      </a:ext>
                    </a:extLst>
                  </pic:spPr>
                </pic:pic>
              </a:graphicData>
            </a:graphic>
          </wp:inline>
        </w:drawing>
      </w:r>
      <w:r w:rsidR="00824D08" w:rsidRPr="00391A27">
        <w:rPr>
          <w:noProof/>
        </w:rPr>
        <w:drawing>
          <wp:inline distT="0" distB="0" distL="0" distR="0" wp14:anchorId="6A191294" wp14:editId="39EA7752">
            <wp:extent cx="3022496" cy="17462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7">
                      <a:extLst>
                        <a:ext uri="{28A0092B-C50C-407E-A947-70E740481C1C}">
                          <a14:useLocalDpi xmlns:a14="http://schemas.microsoft.com/office/drawing/2010/main" val="0"/>
                        </a:ext>
                      </a:extLst>
                    </a:blip>
                    <a:srcRect l="4252" t="6430" r="69341" b="69990"/>
                    <a:stretch/>
                  </pic:blipFill>
                  <pic:spPr bwMode="auto">
                    <a:xfrm>
                      <a:off x="0" y="0"/>
                      <a:ext cx="3035612" cy="1753828"/>
                    </a:xfrm>
                    <a:prstGeom prst="rect">
                      <a:avLst/>
                    </a:prstGeom>
                    <a:ln>
                      <a:noFill/>
                    </a:ln>
                    <a:extLst>
                      <a:ext uri="{53640926-AAD7-44D8-BBD7-CCE9431645EC}">
                        <a14:shadowObscured xmlns:a14="http://schemas.microsoft.com/office/drawing/2010/main"/>
                      </a:ext>
                    </a:extLst>
                  </pic:spPr>
                </pic:pic>
              </a:graphicData>
            </a:graphic>
          </wp:inline>
        </w:drawing>
      </w:r>
      <w:r w:rsidR="00180526" w:rsidRPr="00391A27">
        <w:rPr>
          <w:noProof/>
        </w:rPr>
        <w:drawing>
          <wp:inline distT="0" distB="0" distL="0" distR="0" wp14:anchorId="445BE364" wp14:editId="2DB6E3BB">
            <wp:extent cx="5832993" cy="35685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
                      <a:extLst>
                        <a:ext uri="{28A0092B-C50C-407E-A947-70E740481C1C}">
                          <a14:useLocalDpi xmlns:a14="http://schemas.microsoft.com/office/drawing/2010/main" val="0"/>
                        </a:ext>
                      </a:extLst>
                    </a:blip>
                    <a:srcRect l="3077" t="5944" r="44743" b="44716"/>
                    <a:stretch/>
                  </pic:blipFill>
                  <pic:spPr bwMode="auto">
                    <a:xfrm>
                      <a:off x="0" y="0"/>
                      <a:ext cx="5892138" cy="3604772"/>
                    </a:xfrm>
                    <a:prstGeom prst="rect">
                      <a:avLst/>
                    </a:prstGeom>
                    <a:ln>
                      <a:noFill/>
                    </a:ln>
                    <a:extLst>
                      <a:ext uri="{53640926-AAD7-44D8-BBD7-CCE9431645EC}">
                        <a14:shadowObscured xmlns:a14="http://schemas.microsoft.com/office/drawing/2010/main"/>
                      </a:ext>
                    </a:extLst>
                  </pic:spPr>
                </pic:pic>
              </a:graphicData>
            </a:graphic>
          </wp:inline>
        </w:drawing>
      </w:r>
      <w:r w:rsidR="001F1179" w:rsidRPr="00391A27">
        <w:rPr>
          <w:noProof/>
        </w:rPr>
        <w:t xml:space="preserve"> </w:t>
      </w:r>
      <w:r w:rsidR="001F1179" w:rsidRPr="00391A27">
        <w:rPr>
          <w:noProof/>
        </w:rPr>
        <w:lastRenderedPageBreak/>
        <w:drawing>
          <wp:inline distT="0" distB="0" distL="0" distR="0" wp14:anchorId="6CA895AD" wp14:editId="114DF5DB">
            <wp:extent cx="6012382" cy="18148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
                      <a:extLst>
                        <a:ext uri="{28A0092B-C50C-407E-A947-70E740481C1C}">
                          <a14:useLocalDpi xmlns:a14="http://schemas.microsoft.com/office/drawing/2010/main" val="0"/>
                        </a:ext>
                      </a:extLst>
                    </a:blip>
                    <a:srcRect l="2821" t="6737" r="27949" b="60964"/>
                    <a:stretch/>
                  </pic:blipFill>
                  <pic:spPr bwMode="auto">
                    <a:xfrm>
                      <a:off x="0" y="0"/>
                      <a:ext cx="6070551" cy="1832405"/>
                    </a:xfrm>
                    <a:prstGeom prst="rect">
                      <a:avLst/>
                    </a:prstGeom>
                    <a:ln>
                      <a:noFill/>
                    </a:ln>
                    <a:extLst>
                      <a:ext uri="{53640926-AAD7-44D8-BBD7-CCE9431645EC}">
                        <a14:shadowObscured xmlns:a14="http://schemas.microsoft.com/office/drawing/2010/main"/>
                      </a:ext>
                    </a:extLst>
                  </pic:spPr>
                </pic:pic>
              </a:graphicData>
            </a:graphic>
          </wp:inline>
        </w:drawing>
      </w:r>
      <w:r w:rsidR="001F1179" w:rsidRPr="00391A27">
        <w:rPr>
          <w:noProof/>
        </w:rPr>
        <w:drawing>
          <wp:inline distT="0" distB="0" distL="0" distR="0" wp14:anchorId="40702934" wp14:editId="08256E96">
            <wp:extent cx="5476687" cy="3002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a:extLst>
                        <a:ext uri="{28A0092B-C50C-407E-A947-70E740481C1C}">
                          <a14:useLocalDpi xmlns:a14="http://schemas.microsoft.com/office/drawing/2010/main" val="0"/>
                        </a:ext>
                      </a:extLst>
                    </a:blip>
                    <a:srcRect l="3205" t="6539" r="54230" b="57398"/>
                    <a:stretch/>
                  </pic:blipFill>
                  <pic:spPr bwMode="auto">
                    <a:xfrm>
                      <a:off x="0" y="0"/>
                      <a:ext cx="5580325" cy="3059094"/>
                    </a:xfrm>
                    <a:prstGeom prst="rect">
                      <a:avLst/>
                    </a:prstGeom>
                    <a:ln>
                      <a:noFill/>
                    </a:ln>
                    <a:extLst>
                      <a:ext uri="{53640926-AAD7-44D8-BBD7-CCE9431645EC}">
                        <a14:shadowObscured xmlns:a14="http://schemas.microsoft.com/office/drawing/2010/main"/>
                      </a:ext>
                    </a:extLst>
                  </pic:spPr>
                </pic:pic>
              </a:graphicData>
            </a:graphic>
          </wp:inline>
        </w:drawing>
      </w:r>
    </w:p>
    <w:p w14:paraId="773782BB" w14:textId="423341CF" w:rsidR="001F1179" w:rsidRPr="00391A27" w:rsidRDefault="00304E9C" w:rsidP="00304E9C">
      <w:pPr>
        <w:rPr>
          <w:noProof/>
          <w:sz w:val="16"/>
          <w:szCs w:val="16"/>
        </w:rPr>
      </w:pPr>
      <w:r w:rsidRPr="00391A27">
        <w:rPr>
          <w:noProof/>
        </w:rPr>
        <w:t xml:space="preserve">  </w:t>
      </w:r>
      <w:r w:rsidRPr="00391A27">
        <w:rPr>
          <w:noProof/>
          <w:sz w:val="16"/>
          <w:szCs w:val="16"/>
        </w:rPr>
        <w:t>Table S6. Zero-order correlations between social factors</w:t>
      </w:r>
    </w:p>
    <w:p w14:paraId="43706E54" w14:textId="2A57A456" w:rsidR="00D27945" w:rsidRPr="00391A27" w:rsidRDefault="00D27945" w:rsidP="00304E9C">
      <w:pPr>
        <w:rPr>
          <w:noProof/>
          <w:sz w:val="16"/>
          <w:szCs w:val="16"/>
        </w:rPr>
      </w:pPr>
      <w:r w:rsidRPr="00391A27">
        <w:rPr>
          <w:noProof/>
          <w:sz w:val="16"/>
          <w:szCs w:val="16"/>
        </w:rPr>
        <w:drawing>
          <wp:inline distT="0" distB="0" distL="0" distR="0" wp14:anchorId="7F484E61" wp14:editId="06EEC272">
            <wp:extent cx="5335558" cy="1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3271" t="6741" r="53362" b="77340"/>
                    <a:stretch/>
                  </pic:blipFill>
                  <pic:spPr bwMode="auto">
                    <a:xfrm>
                      <a:off x="0" y="0"/>
                      <a:ext cx="5490584" cy="1304019"/>
                    </a:xfrm>
                    <a:prstGeom prst="rect">
                      <a:avLst/>
                    </a:prstGeom>
                    <a:ln>
                      <a:noFill/>
                    </a:ln>
                    <a:extLst>
                      <a:ext uri="{53640926-AAD7-44D8-BBD7-CCE9431645EC}">
                        <a14:shadowObscured xmlns:a14="http://schemas.microsoft.com/office/drawing/2010/main"/>
                      </a:ext>
                    </a:extLst>
                  </pic:spPr>
                </pic:pic>
              </a:graphicData>
            </a:graphic>
          </wp:inline>
        </w:drawing>
      </w:r>
    </w:p>
    <w:p w14:paraId="222B3970" w14:textId="77777777" w:rsidR="00304E9C" w:rsidRPr="00391A27" w:rsidRDefault="00304E9C" w:rsidP="00304E9C">
      <w:pPr>
        <w:rPr>
          <w:noProof/>
        </w:rPr>
      </w:pPr>
    </w:p>
    <w:p w14:paraId="75B0864A" w14:textId="38C7C580" w:rsidR="006C5A9A" w:rsidRPr="00391A27" w:rsidRDefault="006C5A9A" w:rsidP="00180526">
      <w:pPr>
        <w:spacing w:line="480" w:lineRule="auto"/>
        <w:rPr>
          <w:noProof/>
        </w:rPr>
      </w:pPr>
      <w:r w:rsidRPr="00391A27">
        <w:rPr>
          <w:noProof/>
        </w:rPr>
        <w:lastRenderedPageBreak/>
        <w:drawing>
          <wp:inline distT="0" distB="0" distL="0" distR="0" wp14:anchorId="62F09C42" wp14:editId="4D5E9CD4">
            <wp:extent cx="6022209" cy="366569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2">
                      <a:extLst>
                        <a:ext uri="{28A0092B-C50C-407E-A947-70E740481C1C}">
                          <a14:useLocalDpi xmlns:a14="http://schemas.microsoft.com/office/drawing/2010/main" val="0"/>
                        </a:ext>
                      </a:extLst>
                    </a:blip>
                    <a:srcRect l="3077" t="6737" r="37949" b="37781"/>
                    <a:stretch/>
                  </pic:blipFill>
                  <pic:spPr bwMode="auto">
                    <a:xfrm>
                      <a:off x="0" y="0"/>
                      <a:ext cx="6056405" cy="3686507"/>
                    </a:xfrm>
                    <a:prstGeom prst="rect">
                      <a:avLst/>
                    </a:prstGeom>
                    <a:ln>
                      <a:noFill/>
                    </a:ln>
                    <a:extLst>
                      <a:ext uri="{53640926-AAD7-44D8-BBD7-CCE9431645EC}">
                        <a14:shadowObscured xmlns:a14="http://schemas.microsoft.com/office/drawing/2010/main"/>
                      </a:ext>
                    </a:extLst>
                  </pic:spPr>
                </pic:pic>
              </a:graphicData>
            </a:graphic>
          </wp:inline>
        </w:drawing>
      </w:r>
    </w:p>
    <w:sectPr w:rsidR="006C5A9A" w:rsidRPr="00391A27" w:rsidSect="00077B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2F2E83"/>
    <w:multiLevelType w:val="hybridMultilevel"/>
    <w:tmpl w:val="28B2C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8526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A3"/>
    <w:rsid w:val="00020E42"/>
    <w:rsid w:val="00025543"/>
    <w:rsid w:val="00037D49"/>
    <w:rsid w:val="00063121"/>
    <w:rsid w:val="00076B90"/>
    <w:rsid w:val="00077BC0"/>
    <w:rsid w:val="000A5FD9"/>
    <w:rsid w:val="000B0A81"/>
    <w:rsid w:val="000D3CFB"/>
    <w:rsid w:val="00115EA9"/>
    <w:rsid w:val="00117059"/>
    <w:rsid w:val="00152DB4"/>
    <w:rsid w:val="001608FD"/>
    <w:rsid w:val="00167247"/>
    <w:rsid w:val="00180526"/>
    <w:rsid w:val="001A1A71"/>
    <w:rsid w:val="001C05A3"/>
    <w:rsid w:val="001E2AD2"/>
    <w:rsid w:val="001F1179"/>
    <w:rsid w:val="0028180B"/>
    <w:rsid w:val="002A4F96"/>
    <w:rsid w:val="002C1E82"/>
    <w:rsid w:val="002F6085"/>
    <w:rsid w:val="00304E9C"/>
    <w:rsid w:val="003165A9"/>
    <w:rsid w:val="003246B9"/>
    <w:rsid w:val="003312F7"/>
    <w:rsid w:val="003422C5"/>
    <w:rsid w:val="00364D7C"/>
    <w:rsid w:val="00382D7C"/>
    <w:rsid w:val="00383C74"/>
    <w:rsid w:val="00391A27"/>
    <w:rsid w:val="003A0DAE"/>
    <w:rsid w:val="003D6FCE"/>
    <w:rsid w:val="00460144"/>
    <w:rsid w:val="0047786F"/>
    <w:rsid w:val="00491140"/>
    <w:rsid w:val="004935AD"/>
    <w:rsid w:val="00493EE9"/>
    <w:rsid w:val="004A7389"/>
    <w:rsid w:val="004A73F6"/>
    <w:rsid w:val="004D0361"/>
    <w:rsid w:val="004E4D39"/>
    <w:rsid w:val="004F5C19"/>
    <w:rsid w:val="00504353"/>
    <w:rsid w:val="00527F0F"/>
    <w:rsid w:val="00531878"/>
    <w:rsid w:val="00541821"/>
    <w:rsid w:val="005A568D"/>
    <w:rsid w:val="005D2076"/>
    <w:rsid w:val="005F53DC"/>
    <w:rsid w:val="0060174D"/>
    <w:rsid w:val="006475E2"/>
    <w:rsid w:val="00652520"/>
    <w:rsid w:val="0065453D"/>
    <w:rsid w:val="00654AC1"/>
    <w:rsid w:val="00694349"/>
    <w:rsid w:val="006A643C"/>
    <w:rsid w:val="006C5A9A"/>
    <w:rsid w:val="006D2A6C"/>
    <w:rsid w:val="007102AF"/>
    <w:rsid w:val="00713134"/>
    <w:rsid w:val="0072153A"/>
    <w:rsid w:val="007451BF"/>
    <w:rsid w:val="00760177"/>
    <w:rsid w:val="00793E88"/>
    <w:rsid w:val="007D2864"/>
    <w:rsid w:val="0081538C"/>
    <w:rsid w:val="00824D08"/>
    <w:rsid w:val="0082773A"/>
    <w:rsid w:val="008555F1"/>
    <w:rsid w:val="00882121"/>
    <w:rsid w:val="0089036E"/>
    <w:rsid w:val="008D694A"/>
    <w:rsid w:val="00901BFA"/>
    <w:rsid w:val="0090205E"/>
    <w:rsid w:val="009171D5"/>
    <w:rsid w:val="009630D3"/>
    <w:rsid w:val="00967A9E"/>
    <w:rsid w:val="009A5221"/>
    <w:rsid w:val="009B5B4D"/>
    <w:rsid w:val="009C187B"/>
    <w:rsid w:val="009C6B16"/>
    <w:rsid w:val="00A13255"/>
    <w:rsid w:val="00A344E2"/>
    <w:rsid w:val="00A448B6"/>
    <w:rsid w:val="00A56DFC"/>
    <w:rsid w:val="00A727AB"/>
    <w:rsid w:val="00A82B80"/>
    <w:rsid w:val="00AA0BAB"/>
    <w:rsid w:val="00AE335A"/>
    <w:rsid w:val="00B45DD2"/>
    <w:rsid w:val="00B74C22"/>
    <w:rsid w:val="00B967A2"/>
    <w:rsid w:val="00BA6F16"/>
    <w:rsid w:val="00BC5424"/>
    <w:rsid w:val="00BF320E"/>
    <w:rsid w:val="00C0342E"/>
    <w:rsid w:val="00C3461A"/>
    <w:rsid w:val="00C40BFE"/>
    <w:rsid w:val="00C44559"/>
    <w:rsid w:val="00C60265"/>
    <w:rsid w:val="00C6313A"/>
    <w:rsid w:val="00CE0607"/>
    <w:rsid w:val="00CF5035"/>
    <w:rsid w:val="00D124EA"/>
    <w:rsid w:val="00D2673A"/>
    <w:rsid w:val="00D27945"/>
    <w:rsid w:val="00D30D2C"/>
    <w:rsid w:val="00D353F9"/>
    <w:rsid w:val="00D45EAD"/>
    <w:rsid w:val="00D556CF"/>
    <w:rsid w:val="00D56D5B"/>
    <w:rsid w:val="00D810BD"/>
    <w:rsid w:val="00DB51C1"/>
    <w:rsid w:val="00DD109C"/>
    <w:rsid w:val="00DF3B27"/>
    <w:rsid w:val="00DF78ED"/>
    <w:rsid w:val="00E10062"/>
    <w:rsid w:val="00E15C94"/>
    <w:rsid w:val="00E47C31"/>
    <w:rsid w:val="00E57F8B"/>
    <w:rsid w:val="00EA7409"/>
    <w:rsid w:val="00EF1AF7"/>
    <w:rsid w:val="00F26965"/>
    <w:rsid w:val="00F35BA7"/>
    <w:rsid w:val="00F456B0"/>
    <w:rsid w:val="00F51D3D"/>
    <w:rsid w:val="00FA2F3B"/>
    <w:rsid w:val="00FC3ECF"/>
    <w:rsid w:val="00FD44AE"/>
    <w:rsid w:val="00FF6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61333"/>
  <w15:chartTrackingRefBased/>
  <w15:docId w15:val="{8C874A4D-CEE8-4F42-B277-54676AF8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5A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0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05A3"/>
    <w:rPr>
      <w:sz w:val="16"/>
      <w:szCs w:val="16"/>
    </w:rPr>
  </w:style>
  <w:style w:type="paragraph" w:styleId="CommentText">
    <w:name w:val="annotation text"/>
    <w:basedOn w:val="Normal"/>
    <w:link w:val="CommentTextChar"/>
    <w:uiPriority w:val="99"/>
    <w:unhideWhenUsed/>
    <w:rsid w:val="001C05A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C05A3"/>
    <w:rPr>
      <w:sz w:val="20"/>
      <w:szCs w:val="20"/>
    </w:rPr>
  </w:style>
  <w:style w:type="paragraph" w:styleId="Bibliography">
    <w:name w:val="Bibliography"/>
    <w:basedOn w:val="Normal"/>
    <w:next w:val="Normal"/>
    <w:uiPriority w:val="37"/>
    <w:unhideWhenUsed/>
    <w:rsid w:val="00152DB4"/>
    <w:pPr>
      <w:tabs>
        <w:tab w:val="left" w:pos="380"/>
      </w:tabs>
      <w:spacing w:line="480" w:lineRule="auto"/>
      <w:ind w:left="720" w:hanging="720"/>
    </w:pPr>
  </w:style>
  <w:style w:type="paragraph" w:styleId="CommentSubject">
    <w:name w:val="annotation subject"/>
    <w:basedOn w:val="CommentText"/>
    <w:next w:val="CommentText"/>
    <w:link w:val="CommentSubjectChar"/>
    <w:uiPriority w:val="99"/>
    <w:semiHidden/>
    <w:unhideWhenUsed/>
    <w:rsid w:val="002A4F96"/>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2A4F9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A4F96"/>
    <w:rPr>
      <w:sz w:val="18"/>
      <w:szCs w:val="18"/>
    </w:rPr>
  </w:style>
  <w:style w:type="character" w:customStyle="1" w:styleId="BalloonTextChar">
    <w:name w:val="Balloon Text Char"/>
    <w:basedOn w:val="DefaultParagraphFont"/>
    <w:link w:val="BalloonText"/>
    <w:uiPriority w:val="99"/>
    <w:semiHidden/>
    <w:rsid w:val="002A4F96"/>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15C94"/>
    <w:rPr>
      <w:color w:val="0563C1" w:themeColor="hyperlink"/>
      <w:u w:val="single"/>
    </w:rPr>
  </w:style>
  <w:style w:type="paragraph" w:styleId="ListParagraph">
    <w:name w:val="List Paragraph"/>
    <w:basedOn w:val="Normal"/>
    <w:uiPriority w:val="34"/>
    <w:qFormat/>
    <w:rsid w:val="00493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518371">
      <w:bodyDiv w:val="1"/>
      <w:marLeft w:val="0"/>
      <w:marRight w:val="0"/>
      <w:marTop w:val="0"/>
      <w:marBottom w:val="0"/>
      <w:divBdr>
        <w:top w:val="none" w:sz="0" w:space="0" w:color="auto"/>
        <w:left w:val="none" w:sz="0" w:space="0" w:color="auto"/>
        <w:bottom w:val="none" w:sz="0" w:space="0" w:color="auto"/>
        <w:right w:val="none" w:sz="0" w:space="0" w:color="auto"/>
      </w:divBdr>
    </w:div>
    <w:div w:id="176915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Mayorca Rodman</dc:creator>
  <cp:keywords/>
  <dc:description/>
  <cp:lastModifiedBy>Rodman, Alexandra Mayorca</cp:lastModifiedBy>
  <cp:revision>23</cp:revision>
  <dcterms:created xsi:type="dcterms:W3CDTF">2022-10-17T17:27:00Z</dcterms:created>
  <dcterms:modified xsi:type="dcterms:W3CDTF">2022-10-21T00:59:00Z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id="fEvmNF7I"/&gt;&lt;style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