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A1C8" w14:textId="05A4F65F" w:rsidR="0052522E" w:rsidRPr="0052522E" w:rsidRDefault="0052522E" w:rsidP="00CC0C1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345605"/>
      <w:r w:rsidRPr="0052522E">
        <w:rPr>
          <w:rFonts w:ascii="Times New Roman" w:hAnsi="Times New Roman" w:cs="Times New Roman"/>
          <w:b/>
          <w:bCs/>
          <w:sz w:val="24"/>
          <w:szCs w:val="24"/>
        </w:rPr>
        <w:t>Supplementary Material for Bifactor Model of Internalizing Symptoms at Age 19</w:t>
      </w:r>
    </w:p>
    <w:p w14:paraId="73336CDE" w14:textId="2DCFEFFF" w:rsidR="0036163A" w:rsidRPr="0036163A" w:rsidRDefault="0036163A" w:rsidP="0052522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63A">
        <w:rPr>
          <w:rFonts w:ascii="Times New Roman" w:hAnsi="Times New Roman" w:cs="Times New Roman"/>
          <w:sz w:val="24"/>
          <w:szCs w:val="24"/>
        </w:rPr>
        <w:t xml:space="preserve">Using Confirmatory Factor Analysis (CFA), we tested a bifactor model to examine the structure of internalizing psychopathology in our sample using </w:t>
      </w:r>
      <w:proofErr w:type="spellStart"/>
      <w:r w:rsidRPr="0036163A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Pr="0036163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36163A">
        <w:rPr>
          <w:rFonts w:ascii="Times New Roman" w:hAnsi="Times New Roman" w:cs="Times New Roman"/>
          <w:sz w:val="24"/>
          <w:szCs w:val="24"/>
        </w:rPr>
        <w:t xml:space="preserve"> We used the weighted least square means and variance adjusted (WLSMV) algorithm (</w:t>
      </w:r>
      <w:proofErr w:type="spellStart"/>
      <w:r w:rsidR="009D2AB1" w:rsidRPr="009D2AB1">
        <w:rPr>
          <w:rFonts w:ascii="Times New Roman" w:hAnsi="Times New Roman" w:cs="Times New Roman"/>
          <w:sz w:val="24"/>
          <w:szCs w:val="24"/>
        </w:rPr>
        <w:t>Asparouhov</w:t>
      </w:r>
      <w:proofErr w:type="spellEnd"/>
      <w:r w:rsidR="009D2AB1" w:rsidRPr="009D2AB1">
        <w:rPr>
          <w:rFonts w:ascii="Times New Roman" w:hAnsi="Times New Roman" w:cs="Times New Roman"/>
          <w:sz w:val="24"/>
          <w:szCs w:val="24"/>
        </w:rPr>
        <w:t xml:space="preserve"> </w:t>
      </w:r>
      <w:r w:rsidR="009D2AB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9D2AB1" w:rsidRPr="009D2AB1">
        <w:rPr>
          <w:rFonts w:ascii="Times New Roman" w:hAnsi="Times New Roman" w:cs="Times New Roman"/>
          <w:sz w:val="24"/>
          <w:szCs w:val="24"/>
        </w:rPr>
        <w:t>Muthen</w:t>
      </w:r>
      <w:proofErr w:type="spellEnd"/>
      <w:r w:rsidR="009D2AB1">
        <w:rPr>
          <w:rFonts w:ascii="Times New Roman" w:hAnsi="Times New Roman" w:cs="Times New Roman"/>
          <w:sz w:val="24"/>
          <w:szCs w:val="24"/>
        </w:rPr>
        <w:t>, 2010</w:t>
      </w:r>
      <w:r w:rsidRPr="0036163A">
        <w:rPr>
          <w:rFonts w:ascii="Times New Roman" w:hAnsi="Times New Roman" w:cs="Times New Roman"/>
          <w:sz w:val="24"/>
          <w:szCs w:val="24"/>
        </w:rPr>
        <w:t xml:space="preserve">). Model fit was assessed using various indicators, including chi-square, CFI, TLI, </w:t>
      </w:r>
      <w:r w:rsidR="0052522E">
        <w:rPr>
          <w:rFonts w:ascii="Times New Roman" w:hAnsi="Times New Roman" w:cs="Times New Roman"/>
          <w:sz w:val="24"/>
          <w:szCs w:val="24"/>
        </w:rPr>
        <w:t xml:space="preserve">and </w:t>
      </w:r>
      <w:r w:rsidRPr="0036163A">
        <w:rPr>
          <w:rFonts w:ascii="Times New Roman" w:hAnsi="Times New Roman" w:cs="Times New Roman"/>
          <w:sz w:val="24"/>
          <w:szCs w:val="24"/>
        </w:rPr>
        <w:t>RMSEA. CFI greater than .</w:t>
      </w:r>
      <w:r w:rsidR="009D2AB1">
        <w:rPr>
          <w:rFonts w:ascii="Times New Roman" w:hAnsi="Times New Roman" w:cs="Times New Roman"/>
          <w:sz w:val="24"/>
          <w:szCs w:val="24"/>
        </w:rPr>
        <w:t>95,</w:t>
      </w:r>
      <w:r w:rsidRPr="0036163A">
        <w:rPr>
          <w:rFonts w:ascii="Times New Roman" w:hAnsi="Times New Roman" w:cs="Times New Roman"/>
          <w:sz w:val="24"/>
          <w:szCs w:val="24"/>
        </w:rPr>
        <w:t xml:space="preserve"> TLI greater than </w:t>
      </w:r>
      <w:r w:rsidR="009D2AB1">
        <w:rPr>
          <w:rFonts w:ascii="Times New Roman" w:hAnsi="Times New Roman" w:cs="Times New Roman"/>
          <w:sz w:val="24"/>
          <w:szCs w:val="24"/>
        </w:rPr>
        <w:t>.95, and RMSEA less than .05 are considered good fit (</w:t>
      </w:r>
      <w:proofErr w:type="spellStart"/>
      <w:r w:rsidR="009D2AB1" w:rsidRPr="009D2AB1">
        <w:rPr>
          <w:rFonts w:ascii="Times New Roman" w:hAnsi="Times New Roman" w:cs="Times New Roman"/>
          <w:sz w:val="24"/>
          <w:szCs w:val="24"/>
        </w:rPr>
        <w:t>Bollen</w:t>
      </w:r>
      <w:proofErr w:type="spellEnd"/>
      <w:r w:rsidR="009D2AB1">
        <w:rPr>
          <w:rFonts w:ascii="Times New Roman" w:hAnsi="Times New Roman" w:cs="Times New Roman"/>
          <w:sz w:val="24"/>
          <w:szCs w:val="24"/>
        </w:rPr>
        <w:t xml:space="preserve"> &amp; </w:t>
      </w:r>
      <w:r w:rsidR="009D2AB1" w:rsidRPr="009D2AB1">
        <w:rPr>
          <w:rFonts w:ascii="Times New Roman" w:hAnsi="Times New Roman" w:cs="Times New Roman"/>
          <w:sz w:val="24"/>
          <w:szCs w:val="24"/>
        </w:rPr>
        <w:t>Curran</w:t>
      </w:r>
      <w:r w:rsidR="009D2AB1">
        <w:rPr>
          <w:rFonts w:ascii="Times New Roman" w:hAnsi="Times New Roman" w:cs="Times New Roman"/>
          <w:sz w:val="24"/>
          <w:szCs w:val="24"/>
        </w:rPr>
        <w:t xml:space="preserve">, 2006).  </w:t>
      </w:r>
      <w:r w:rsidRPr="00361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034F1" w14:textId="5AF56181" w:rsidR="00E70D99" w:rsidRDefault="0036163A" w:rsidP="003616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63A">
        <w:rPr>
          <w:rFonts w:ascii="Times New Roman" w:hAnsi="Times New Roman" w:cs="Times New Roman"/>
          <w:sz w:val="24"/>
          <w:szCs w:val="24"/>
        </w:rPr>
        <w:t>The bifactor model tests whether the item measures reflect both general internalizing latent factor and two symptom-specific psychopathologies (i.e., depression-specific and anxiety-specific latent factors).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items from </w:t>
      </w:r>
      <w:r w:rsidR="00C05B08">
        <w:rPr>
          <w:rFonts w:ascii="Times New Roman" w:hAnsi="Times New Roman" w:cs="Times New Roman"/>
          <w:sz w:val="24"/>
          <w:szCs w:val="24"/>
        </w:rPr>
        <w:t xml:space="preserve">the </w:t>
      </w:r>
      <w:r w:rsidR="00154C2F">
        <w:rPr>
          <w:rFonts w:ascii="Times New Roman" w:hAnsi="Times New Roman" w:cs="Times New Roman"/>
          <w:sz w:val="24"/>
          <w:szCs w:val="24"/>
        </w:rPr>
        <w:t>Youth Self-Report</w:t>
      </w:r>
      <w:r w:rsidR="00F448ED">
        <w:rPr>
          <w:rFonts w:ascii="Times New Roman" w:hAnsi="Times New Roman" w:cs="Times New Roman"/>
          <w:sz w:val="24"/>
          <w:szCs w:val="24"/>
        </w:rPr>
        <w:t xml:space="preserve"> </w:t>
      </w:r>
      <w:r w:rsidR="00154C2F">
        <w:rPr>
          <w:rFonts w:ascii="Times New Roman" w:hAnsi="Times New Roman" w:cs="Times New Roman"/>
          <w:sz w:val="24"/>
          <w:szCs w:val="24"/>
        </w:rPr>
        <w:t>(YSR)</w:t>
      </w:r>
      <w:r>
        <w:rPr>
          <w:rFonts w:ascii="Times New Roman" w:hAnsi="Times New Roman" w:cs="Times New Roman"/>
          <w:sz w:val="24"/>
          <w:szCs w:val="24"/>
        </w:rPr>
        <w:t xml:space="preserve"> DSM-oriented depression and anxiety </w:t>
      </w:r>
      <w:r w:rsidRPr="000373A4">
        <w:rPr>
          <w:rFonts w:ascii="Times New Roman" w:hAnsi="Times New Roman" w:cs="Times New Roman"/>
          <w:sz w:val="24"/>
          <w:szCs w:val="24"/>
        </w:rPr>
        <w:t>subscales</w:t>
      </w:r>
      <w:r w:rsidR="0065357F" w:rsidRPr="000373A4">
        <w:rPr>
          <w:rFonts w:ascii="Times New Roman" w:hAnsi="Times New Roman" w:cs="Times New Roman"/>
          <w:sz w:val="24"/>
          <w:szCs w:val="24"/>
        </w:rPr>
        <w:t xml:space="preserve"> (</w:t>
      </w:r>
      <w:r w:rsidR="00790078" w:rsidRPr="000373A4">
        <w:rPr>
          <w:rFonts w:ascii="Times New Roman" w:hAnsi="Times New Roman" w:cs="Times New Roman"/>
          <w:noProof/>
          <w:sz w:val="24"/>
          <w:szCs w:val="24"/>
        </w:rPr>
        <w:t>Achenbach et al., 2003</w:t>
      </w:r>
      <w:r w:rsidR="0065357F" w:rsidRPr="000373A4">
        <w:rPr>
          <w:rFonts w:ascii="Times New Roman" w:hAnsi="Times New Roman" w:cs="Times New Roman"/>
          <w:sz w:val="24"/>
          <w:szCs w:val="24"/>
        </w:rPr>
        <w:t>)</w:t>
      </w:r>
      <w:r w:rsidRPr="00037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set to load on both the general internalizing and symptom-specific latent variables. Consistent with the bifactor modeling approach, general internalizing</w:t>
      </w:r>
      <w:r w:rsidR="00C05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symptom-specific latent factors were not allowed to correlate</w:t>
      </w:r>
      <w:r w:rsidR="00551A8E">
        <w:rPr>
          <w:rFonts w:ascii="Times New Roman" w:hAnsi="Times New Roman" w:cs="Times New Roman"/>
          <w:sz w:val="24"/>
          <w:szCs w:val="24"/>
        </w:rPr>
        <w:t xml:space="preserve"> one another. </w:t>
      </w:r>
    </w:p>
    <w:p w14:paraId="233F8BD3" w14:textId="7C323779" w:rsidR="00154C2F" w:rsidRDefault="00551A8E" w:rsidP="001969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the bifactor modeling indicated good fit: </w:t>
      </w:r>
      <w:r w:rsidRPr="00551A8E">
        <w:rPr>
          <w:rFonts w:ascii="Times New Roman" w:hAnsi="Times New Roman" w:cs="Times New Roman"/>
          <w:sz w:val="24"/>
          <w:szCs w:val="24"/>
        </w:rPr>
        <w:t>RMSEA = .044 (CI = .22 - .61); CFI = 0.980, TLI = 0.974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4C2F">
        <w:rPr>
          <w:rFonts w:ascii="Times New Roman" w:hAnsi="Times New Roman" w:cs="Times New Roman"/>
          <w:sz w:val="24"/>
          <w:szCs w:val="24"/>
        </w:rPr>
        <w:t>The model reflects both general internalizing latent factor and specific symptom-level latent factors. Specifically, g</w:t>
      </w:r>
      <w:r w:rsidR="00A66DAD">
        <w:rPr>
          <w:rFonts w:ascii="Times New Roman" w:hAnsi="Times New Roman" w:cs="Times New Roman"/>
          <w:sz w:val="24"/>
          <w:szCs w:val="24"/>
        </w:rPr>
        <w:t>eneral internalizing</w:t>
      </w:r>
      <w:r w:rsidR="00154C2F">
        <w:rPr>
          <w:rFonts w:ascii="Times New Roman" w:hAnsi="Times New Roman" w:cs="Times New Roman"/>
          <w:sz w:val="24"/>
          <w:szCs w:val="24"/>
        </w:rPr>
        <w:t xml:space="preserve"> variable</w:t>
      </w:r>
      <w:r w:rsidR="00A66DAD">
        <w:rPr>
          <w:rFonts w:ascii="Times New Roman" w:hAnsi="Times New Roman" w:cs="Times New Roman"/>
          <w:sz w:val="24"/>
          <w:szCs w:val="24"/>
        </w:rPr>
        <w:t xml:space="preserve"> is represented by </w:t>
      </w:r>
      <w:r w:rsidR="00154C2F">
        <w:rPr>
          <w:rFonts w:ascii="Times New Roman" w:hAnsi="Times New Roman" w:cs="Times New Roman"/>
          <w:sz w:val="24"/>
          <w:szCs w:val="24"/>
        </w:rPr>
        <w:t xml:space="preserve">a factor that directly influences all of the depression and anxiety items in the YSR. Loadings on the general internalizing latent factor were all positive, all </w:t>
      </w:r>
      <w:proofErr w:type="spellStart"/>
      <w:r w:rsidR="00154C2F" w:rsidRPr="00154C2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54C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54C2F">
        <w:rPr>
          <w:rFonts w:ascii="Times New Roman" w:hAnsi="Times New Roman" w:cs="Times New Roman"/>
          <w:sz w:val="24"/>
          <w:szCs w:val="24"/>
        </w:rPr>
        <w:t xml:space="preserve"> were statistically significant, and had average loading of .62 (please see below table for model fit statistics and standardized factor loadings</w:t>
      </w:r>
      <w:r w:rsidR="0065357F">
        <w:rPr>
          <w:rFonts w:ascii="Times New Roman" w:hAnsi="Times New Roman" w:cs="Times New Roman"/>
          <w:sz w:val="24"/>
          <w:szCs w:val="24"/>
        </w:rPr>
        <w:t>)</w:t>
      </w:r>
      <w:r w:rsidR="00154C2F">
        <w:rPr>
          <w:rFonts w:ascii="Times New Roman" w:hAnsi="Times New Roman" w:cs="Times New Roman"/>
          <w:sz w:val="24"/>
          <w:szCs w:val="24"/>
        </w:rPr>
        <w:t>.</w:t>
      </w:r>
      <w:r w:rsidR="00340B34">
        <w:rPr>
          <w:rFonts w:ascii="Times New Roman" w:hAnsi="Times New Roman" w:cs="Times New Roman"/>
          <w:sz w:val="24"/>
          <w:szCs w:val="24"/>
        </w:rPr>
        <w:t xml:space="preserve"> </w:t>
      </w:r>
      <w:r w:rsidR="00E229A2">
        <w:rPr>
          <w:rFonts w:ascii="Times New Roman" w:hAnsi="Times New Roman" w:cs="Times New Roman"/>
          <w:sz w:val="24"/>
          <w:szCs w:val="24"/>
        </w:rPr>
        <w:t xml:space="preserve">In addition, several items in the YSR depression and anxiety subscales were significantly loaded to symptom-specific depression and anxiety latent factors. Specifically, three items were significantly loaded on the depression-specific latent factor. For anxiety-specific latent factor, 5 items were significantly loaded. Low number of statistically significant loadings </w:t>
      </w:r>
      <w:r w:rsidR="00E229A2">
        <w:rPr>
          <w:rFonts w:ascii="Times New Roman" w:hAnsi="Times New Roman" w:cs="Times New Roman"/>
          <w:sz w:val="24"/>
          <w:szCs w:val="24"/>
        </w:rPr>
        <w:lastRenderedPageBreak/>
        <w:t xml:space="preserve">on symptom-specific latent factors is understandable, given that the items generally loaded highly on the general internalizing latent factor. </w:t>
      </w:r>
      <w:r w:rsidR="00796B25">
        <w:rPr>
          <w:rFonts w:ascii="Times New Roman" w:hAnsi="Times New Roman" w:cs="Times New Roman"/>
          <w:sz w:val="24"/>
          <w:szCs w:val="24"/>
        </w:rPr>
        <w:t xml:space="preserve">Larger proportion of significant loading for anxiety than depression suggests that intercorrelations of the depression items are well-fitted by the general factor compared to those of anxiety items in our sample. </w:t>
      </w:r>
    </w:p>
    <w:p w14:paraId="38125DAB" w14:textId="77777777" w:rsidR="00154C2F" w:rsidRDefault="00154C2F" w:rsidP="00154C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7DDCD4" w14:textId="77777777" w:rsidR="00154C2F" w:rsidRDefault="0015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42E1A2" w14:textId="634E865F" w:rsidR="00154C2F" w:rsidRDefault="0065357F" w:rsidP="00154C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1. </w:t>
      </w:r>
      <w:r w:rsidR="00154C2F">
        <w:rPr>
          <w:rFonts w:ascii="Times New Roman" w:hAnsi="Times New Roman" w:cs="Times New Roman"/>
          <w:sz w:val="24"/>
          <w:szCs w:val="24"/>
        </w:rPr>
        <w:t xml:space="preserve">Model fit statistics and standardized factor loads for the bifactor model of </w:t>
      </w:r>
      <w:r w:rsidR="0082728C">
        <w:rPr>
          <w:rFonts w:ascii="Times New Roman" w:hAnsi="Times New Roman" w:cs="Times New Roman"/>
          <w:sz w:val="24"/>
          <w:szCs w:val="24"/>
        </w:rPr>
        <w:t>depression and anxiety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743"/>
        <w:gridCol w:w="1443"/>
        <w:gridCol w:w="1512"/>
        <w:gridCol w:w="1512"/>
      </w:tblGrid>
      <w:tr w:rsidR="0065357F" w14:paraId="472E22A2" w14:textId="77777777" w:rsidTr="00265174">
        <w:tc>
          <w:tcPr>
            <w:tcW w:w="4225" w:type="dxa"/>
            <w:gridSpan w:val="2"/>
            <w:vAlign w:val="center"/>
          </w:tcPr>
          <w:p w14:paraId="0CC329B0" w14:textId="77777777" w:rsidR="00E1575D" w:rsidRDefault="00E1575D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14:paraId="362308F9" w14:textId="126C8A57" w:rsidR="00E1575D" w:rsidRDefault="00E1575D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Internalizing</w:t>
            </w:r>
          </w:p>
        </w:tc>
        <w:tc>
          <w:tcPr>
            <w:tcW w:w="1512" w:type="dxa"/>
            <w:vAlign w:val="center"/>
          </w:tcPr>
          <w:p w14:paraId="791C0F98" w14:textId="43C7B8B3" w:rsidR="00E1575D" w:rsidRDefault="00E1575D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Depression-specific</w:t>
            </w:r>
          </w:p>
        </w:tc>
        <w:tc>
          <w:tcPr>
            <w:tcW w:w="1512" w:type="dxa"/>
            <w:vAlign w:val="center"/>
          </w:tcPr>
          <w:p w14:paraId="448F43F0" w14:textId="0AE0AAF9" w:rsidR="00E1575D" w:rsidRDefault="00E1575D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Anxiety-specific</w:t>
            </w:r>
          </w:p>
        </w:tc>
      </w:tr>
      <w:tr w:rsidR="0010577E" w14:paraId="477B5639" w14:textId="77777777" w:rsidTr="00265174">
        <w:tc>
          <w:tcPr>
            <w:tcW w:w="7500" w:type="dxa"/>
            <w:gridSpan w:val="5"/>
            <w:vAlign w:val="center"/>
          </w:tcPr>
          <w:p w14:paraId="1E413AD9" w14:textId="6BD3F4EA" w:rsidR="0010577E" w:rsidRPr="0010577E" w:rsidRDefault="0010577E" w:rsidP="001057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Model Fit Statistics</w:t>
            </w:r>
          </w:p>
        </w:tc>
      </w:tr>
      <w:tr w:rsidR="00BD7B10" w14:paraId="1D4A3223" w14:textId="77777777" w:rsidTr="00265174">
        <w:tc>
          <w:tcPr>
            <w:tcW w:w="4225" w:type="dxa"/>
            <w:gridSpan w:val="2"/>
            <w:vAlign w:val="center"/>
          </w:tcPr>
          <w:p w14:paraId="61A795CE" w14:textId="4B2D1B19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</w:t>
            </w:r>
            <w:r w:rsidR="0065357F">
              <w:rPr>
                <w:rFonts w:ascii="Times New Roman" w:hAnsi="Times New Roman" w:cs="Times New Roman"/>
                <w:sz w:val="24"/>
                <w:szCs w:val="24"/>
              </w:rPr>
              <w:t>(WLSMV)</w:t>
            </w:r>
          </w:p>
        </w:tc>
        <w:tc>
          <w:tcPr>
            <w:tcW w:w="3275" w:type="dxa"/>
            <w:gridSpan w:val="3"/>
            <w:vAlign w:val="center"/>
          </w:tcPr>
          <w:p w14:paraId="0E2785F1" w14:textId="020716E2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192.751</w:t>
            </w:r>
          </w:p>
        </w:tc>
      </w:tr>
      <w:tr w:rsidR="00BD7B10" w14:paraId="219ECA86" w14:textId="77777777" w:rsidTr="00265174">
        <w:tc>
          <w:tcPr>
            <w:tcW w:w="4225" w:type="dxa"/>
            <w:gridSpan w:val="2"/>
            <w:vAlign w:val="center"/>
          </w:tcPr>
          <w:p w14:paraId="42723C69" w14:textId="64D4C5D2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3275" w:type="dxa"/>
            <w:gridSpan w:val="3"/>
            <w:vAlign w:val="center"/>
          </w:tcPr>
          <w:p w14:paraId="5AFFC7BF" w14:textId="10CF3813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D7B10" w14:paraId="706C2AD7" w14:textId="77777777" w:rsidTr="00265174">
        <w:tc>
          <w:tcPr>
            <w:tcW w:w="4225" w:type="dxa"/>
            <w:gridSpan w:val="2"/>
            <w:vAlign w:val="center"/>
          </w:tcPr>
          <w:p w14:paraId="63CC2BE0" w14:textId="61FF5719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3275" w:type="dxa"/>
            <w:gridSpan w:val="3"/>
            <w:vAlign w:val="center"/>
          </w:tcPr>
          <w:p w14:paraId="34EC830C" w14:textId="3C20FF5F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</w:tr>
      <w:tr w:rsidR="00BD7B10" w14:paraId="35539588" w14:textId="77777777" w:rsidTr="00265174">
        <w:tc>
          <w:tcPr>
            <w:tcW w:w="4225" w:type="dxa"/>
            <w:gridSpan w:val="2"/>
            <w:vAlign w:val="center"/>
          </w:tcPr>
          <w:p w14:paraId="00B45EE3" w14:textId="331BC99E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3275" w:type="dxa"/>
            <w:gridSpan w:val="3"/>
            <w:vAlign w:val="center"/>
          </w:tcPr>
          <w:p w14:paraId="138A2253" w14:textId="7CD36882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</w:tr>
      <w:tr w:rsidR="00BD7B10" w14:paraId="07C4DE37" w14:textId="77777777" w:rsidTr="00265174">
        <w:tc>
          <w:tcPr>
            <w:tcW w:w="4225" w:type="dxa"/>
            <w:gridSpan w:val="2"/>
            <w:vAlign w:val="center"/>
          </w:tcPr>
          <w:p w14:paraId="629C51E7" w14:textId="3BD17EBA" w:rsidR="00BD7B10" w:rsidRDefault="00BD7B10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RMSEA[90% CI]</w:t>
            </w:r>
          </w:p>
        </w:tc>
        <w:tc>
          <w:tcPr>
            <w:tcW w:w="3275" w:type="dxa"/>
            <w:gridSpan w:val="3"/>
            <w:vAlign w:val="center"/>
          </w:tcPr>
          <w:p w14:paraId="201604DA" w14:textId="04DF1286" w:rsidR="00BD7B10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0.044[0.022, 0.061]</w:t>
            </w:r>
          </w:p>
        </w:tc>
      </w:tr>
      <w:tr w:rsidR="0010577E" w14:paraId="03B58DE9" w14:textId="77777777" w:rsidTr="00265174">
        <w:tc>
          <w:tcPr>
            <w:tcW w:w="7500" w:type="dxa"/>
            <w:gridSpan w:val="5"/>
            <w:vAlign w:val="center"/>
          </w:tcPr>
          <w:p w14:paraId="71090FF1" w14:textId="6EBCE0C3" w:rsidR="0010577E" w:rsidRPr="0010577E" w:rsidRDefault="0010577E" w:rsidP="001057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Standardized factor loadings</w:t>
            </w:r>
          </w:p>
        </w:tc>
      </w:tr>
      <w:tr w:rsidR="0065357F" w14:paraId="4E619C9B" w14:textId="77777777" w:rsidTr="00265174">
        <w:tc>
          <w:tcPr>
            <w:tcW w:w="1482" w:type="dxa"/>
            <w:vMerge w:val="restart"/>
            <w:vAlign w:val="center"/>
          </w:tcPr>
          <w:p w14:paraId="04FA5355" w14:textId="664278BE" w:rsidR="002A012C" w:rsidRDefault="0065357F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DSM-oriented </w:t>
            </w:r>
            <w:r w:rsidR="002A01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</w:t>
            </w:r>
          </w:p>
        </w:tc>
        <w:tc>
          <w:tcPr>
            <w:tcW w:w="2743" w:type="dxa"/>
            <w:vAlign w:val="center"/>
          </w:tcPr>
          <w:p w14:paraId="6711D2C6" w14:textId="41A4442A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Enjoys little</w:t>
            </w:r>
          </w:p>
        </w:tc>
        <w:tc>
          <w:tcPr>
            <w:tcW w:w="251" w:type="dxa"/>
            <w:vAlign w:val="center"/>
          </w:tcPr>
          <w:p w14:paraId="31CFD970" w14:textId="316F66E7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0DD5598F" w14:textId="6DA387D2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512" w:type="dxa"/>
            <w:vAlign w:val="center"/>
          </w:tcPr>
          <w:p w14:paraId="4CD97B72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7657733C" w14:textId="77777777" w:rsidTr="00265174">
        <w:tc>
          <w:tcPr>
            <w:tcW w:w="1482" w:type="dxa"/>
            <w:vMerge/>
            <w:vAlign w:val="center"/>
          </w:tcPr>
          <w:p w14:paraId="7EDCF1CE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11C1B822" w14:textId="59A88C61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Cries</w:t>
            </w:r>
          </w:p>
        </w:tc>
        <w:tc>
          <w:tcPr>
            <w:tcW w:w="251" w:type="dxa"/>
            <w:vAlign w:val="center"/>
          </w:tcPr>
          <w:p w14:paraId="4FC1B150" w14:textId="19CB835D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54BC3668" w14:textId="120B67F4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-0.211</w:t>
            </w:r>
          </w:p>
        </w:tc>
        <w:tc>
          <w:tcPr>
            <w:tcW w:w="1512" w:type="dxa"/>
            <w:vAlign w:val="center"/>
          </w:tcPr>
          <w:p w14:paraId="538026A5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3E65504E" w14:textId="77777777" w:rsidTr="00265174">
        <w:tc>
          <w:tcPr>
            <w:tcW w:w="1482" w:type="dxa"/>
            <w:vMerge/>
            <w:vAlign w:val="center"/>
          </w:tcPr>
          <w:p w14:paraId="0DAD444F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13ECC933" w14:textId="55F76BBF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Doesn’t eat well</w:t>
            </w:r>
          </w:p>
        </w:tc>
        <w:tc>
          <w:tcPr>
            <w:tcW w:w="251" w:type="dxa"/>
            <w:vAlign w:val="center"/>
          </w:tcPr>
          <w:p w14:paraId="7DEF5B80" w14:textId="2F7B394A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6296439F" w14:textId="6D55A3E9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12" w:type="dxa"/>
            <w:vAlign w:val="center"/>
          </w:tcPr>
          <w:p w14:paraId="39AD09FF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1B4DA669" w14:textId="77777777" w:rsidTr="00265174">
        <w:tc>
          <w:tcPr>
            <w:tcW w:w="1482" w:type="dxa"/>
            <w:vMerge/>
            <w:vAlign w:val="center"/>
          </w:tcPr>
          <w:p w14:paraId="12165FFB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4FC6A3EA" w14:textId="31030A1C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Worthless</w:t>
            </w:r>
          </w:p>
        </w:tc>
        <w:tc>
          <w:tcPr>
            <w:tcW w:w="251" w:type="dxa"/>
            <w:vAlign w:val="center"/>
          </w:tcPr>
          <w:p w14:paraId="128B3136" w14:textId="25518FB2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00EB98FF" w14:textId="0CB0F64E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-0.073</w:t>
            </w:r>
          </w:p>
        </w:tc>
        <w:tc>
          <w:tcPr>
            <w:tcW w:w="1512" w:type="dxa"/>
            <w:vAlign w:val="center"/>
          </w:tcPr>
          <w:p w14:paraId="695920D6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000FE1EA" w14:textId="77777777" w:rsidTr="00265174">
        <w:tc>
          <w:tcPr>
            <w:tcW w:w="1482" w:type="dxa"/>
            <w:vMerge/>
            <w:vAlign w:val="center"/>
          </w:tcPr>
          <w:p w14:paraId="6D411E42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0CF5C1F8" w14:textId="44D4C8C4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Guilty</w:t>
            </w:r>
          </w:p>
        </w:tc>
        <w:tc>
          <w:tcPr>
            <w:tcW w:w="251" w:type="dxa"/>
            <w:vAlign w:val="center"/>
          </w:tcPr>
          <w:p w14:paraId="4B1F06EF" w14:textId="450261E7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0.787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0059CF60" w14:textId="2A3C4EF3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-0.099</w:t>
            </w:r>
          </w:p>
        </w:tc>
        <w:tc>
          <w:tcPr>
            <w:tcW w:w="1512" w:type="dxa"/>
            <w:vAlign w:val="center"/>
          </w:tcPr>
          <w:p w14:paraId="10755378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7574445A" w14:textId="77777777" w:rsidTr="00265174">
        <w:tc>
          <w:tcPr>
            <w:tcW w:w="1482" w:type="dxa"/>
            <w:vMerge/>
            <w:vAlign w:val="center"/>
          </w:tcPr>
          <w:p w14:paraId="73E72794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7C5A7C24" w14:textId="422182E3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Tired</w:t>
            </w:r>
          </w:p>
        </w:tc>
        <w:tc>
          <w:tcPr>
            <w:tcW w:w="251" w:type="dxa"/>
            <w:vAlign w:val="center"/>
          </w:tcPr>
          <w:p w14:paraId="365974EF" w14:textId="0772A447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20E7D842" w14:textId="1F6583F6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512" w:type="dxa"/>
            <w:vAlign w:val="center"/>
          </w:tcPr>
          <w:p w14:paraId="796010DF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367E3515" w14:textId="77777777" w:rsidTr="00265174">
        <w:tc>
          <w:tcPr>
            <w:tcW w:w="1482" w:type="dxa"/>
            <w:vMerge/>
            <w:vAlign w:val="center"/>
          </w:tcPr>
          <w:p w14:paraId="4B8562A6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086F2EF4" w14:textId="6E942A63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 Sleeps less</w:t>
            </w:r>
          </w:p>
        </w:tc>
        <w:tc>
          <w:tcPr>
            <w:tcW w:w="251" w:type="dxa"/>
            <w:vAlign w:val="center"/>
          </w:tcPr>
          <w:p w14:paraId="2C68FCAA" w14:textId="4092B340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12" w:type="dxa"/>
            <w:vAlign w:val="center"/>
          </w:tcPr>
          <w:p w14:paraId="52B1DE2C" w14:textId="097E205A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0.894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0CA524B7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41DDE691" w14:textId="77777777" w:rsidTr="00265174">
        <w:tc>
          <w:tcPr>
            <w:tcW w:w="1482" w:type="dxa"/>
            <w:vMerge/>
            <w:vAlign w:val="center"/>
          </w:tcPr>
          <w:p w14:paraId="46989815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22C72DBD" w14:textId="246864A4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 Sleeps more</w:t>
            </w:r>
          </w:p>
        </w:tc>
        <w:tc>
          <w:tcPr>
            <w:tcW w:w="251" w:type="dxa"/>
            <w:vAlign w:val="center"/>
          </w:tcPr>
          <w:p w14:paraId="4E326D99" w14:textId="65464530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12" w:type="dxa"/>
            <w:vAlign w:val="center"/>
          </w:tcPr>
          <w:p w14:paraId="7FA35A6C" w14:textId="34B620EF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-0.063</w:t>
            </w:r>
          </w:p>
        </w:tc>
        <w:tc>
          <w:tcPr>
            <w:tcW w:w="1512" w:type="dxa"/>
            <w:vAlign w:val="center"/>
          </w:tcPr>
          <w:p w14:paraId="38D0EB41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4945501F" w14:textId="77777777" w:rsidTr="00265174">
        <w:tc>
          <w:tcPr>
            <w:tcW w:w="1482" w:type="dxa"/>
            <w:vMerge/>
            <w:vAlign w:val="center"/>
          </w:tcPr>
          <w:p w14:paraId="19EE86F6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78E32D3A" w14:textId="2F00D1BE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 Sleep problems</w:t>
            </w:r>
          </w:p>
        </w:tc>
        <w:tc>
          <w:tcPr>
            <w:tcW w:w="251" w:type="dxa"/>
            <w:vAlign w:val="center"/>
          </w:tcPr>
          <w:p w14:paraId="3E4B0122" w14:textId="53D92D36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5E7740F4" w14:textId="46ABD62A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2003B50C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2A7CCC48" w14:textId="77777777" w:rsidTr="00265174">
        <w:tc>
          <w:tcPr>
            <w:tcW w:w="1482" w:type="dxa"/>
            <w:vMerge/>
            <w:vAlign w:val="center"/>
          </w:tcPr>
          <w:p w14:paraId="3265EC96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031F8909" w14:textId="124D036F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Lacks energy</w:t>
            </w:r>
          </w:p>
        </w:tc>
        <w:tc>
          <w:tcPr>
            <w:tcW w:w="251" w:type="dxa"/>
            <w:vAlign w:val="center"/>
          </w:tcPr>
          <w:p w14:paraId="6BD8D497" w14:textId="4DA8443D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78609925" w14:textId="7A0D6F96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1512" w:type="dxa"/>
            <w:vAlign w:val="center"/>
          </w:tcPr>
          <w:p w14:paraId="2CE00DC3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39EE6458" w14:textId="77777777" w:rsidTr="00265174">
        <w:tc>
          <w:tcPr>
            <w:tcW w:w="1482" w:type="dxa"/>
            <w:vMerge/>
            <w:vAlign w:val="center"/>
          </w:tcPr>
          <w:p w14:paraId="0A6DC098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10B5A2DA" w14:textId="7BECA643" w:rsidR="002A012C" w:rsidRDefault="00265174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 Sad</w:t>
            </w:r>
          </w:p>
        </w:tc>
        <w:tc>
          <w:tcPr>
            <w:tcW w:w="251" w:type="dxa"/>
            <w:vAlign w:val="center"/>
          </w:tcPr>
          <w:p w14:paraId="23353D9E" w14:textId="4B4EA6E9" w:rsidR="002A012C" w:rsidRDefault="0010577E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4C89A79F" w14:textId="564E9D26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-0.181</w:t>
            </w:r>
          </w:p>
        </w:tc>
        <w:tc>
          <w:tcPr>
            <w:tcW w:w="1512" w:type="dxa"/>
            <w:vAlign w:val="center"/>
          </w:tcPr>
          <w:p w14:paraId="57F054B4" w14:textId="77777777" w:rsidR="002A012C" w:rsidRDefault="002A012C" w:rsidP="00E1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14:paraId="4A13C741" w14:textId="77777777" w:rsidTr="00265174">
        <w:tc>
          <w:tcPr>
            <w:tcW w:w="1482" w:type="dxa"/>
            <w:vMerge w:val="restart"/>
            <w:vAlign w:val="center"/>
          </w:tcPr>
          <w:p w14:paraId="7E0FE18A" w14:textId="19D6F35A" w:rsidR="002A012C" w:rsidRDefault="0065357F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DSM-oriented </w:t>
            </w:r>
            <w:r w:rsidR="002A01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</w:t>
            </w:r>
          </w:p>
        </w:tc>
        <w:tc>
          <w:tcPr>
            <w:tcW w:w="2743" w:type="dxa"/>
            <w:vAlign w:val="center"/>
          </w:tcPr>
          <w:p w14:paraId="098C4D7A" w14:textId="3B4A245F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Dependent</w:t>
            </w:r>
          </w:p>
        </w:tc>
        <w:tc>
          <w:tcPr>
            <w:tcW w:w="251" w:type="dxa"/>
            <w:vAlign w:val="center"/>
          </w:tcPr>
          <w:p w14:paraId="6684FC10" w14:textId="23660ED0" w:rsidR="002A012C" w:rsidRDefault="0010577E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16C6DB3D" w14:textId="6B42CEC9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65D57C70" w14:textId="49235363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</w:tr>
      <w:tr w:rsidR="0065357F" w14:paraId="0E9A5501" w14:textId="77777777" w:rsidTr="00265174">
        <w:tc>
          <w:tcPr>
            <w:tcW w:w="1482" w:type="dxa"/>
            <w:vMerge/>
            <w:vAlign w:val="center"/>
          </w:tcPr>
          <w:p w14:paraId="00681A05" w14:textId="77777777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73CFD809" w14:textId="30855CDC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Fears</w:t>
            </w:r>
          </w:p>
        </w:tc>
        <w:tc>
          <w:tcPr>
            <w:tcW w:w="251" w:type="dxa"/>
            <w:vAlign w:val="center"/>
          </w:tcPr>
          <w:p w14:paraId="079FBFCB" w14:textId="7D03E7CE" w:rsidR="002A012C" w:rsidRDefault="0010577E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  <w:vAlign w:val="center"/>
          </w:tcPr>
          <w:p w14:paraId="168D7F3A" w14:textId="41A52C04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4D569B8D" w14:textId="591628E6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65357F" w14:paraId="61C86E28" w14:textId="77777777" w:rsidTr="00265174">
        <w:tc>
          <w:tcPr>
            <w:tcW w:w="1482" w:type="dxa"/>
            <w:vMerge/>
          </w:tcPr>
          <w:p w14:paraId="2A7C19CA" w14:textId="77777777" w:rsidR="002A012C" w:rsidRDefault="002A012C" w:rsidP="002A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51BBC69A" w14:textId="1EA4ACFF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Fears school</w:t>
            </w:r>
          </w:p>
        </w:tc>
        <w:tc>
          <w:tcPr>
            <w:tcW w:w="251" w:type="dxa"/>
          </w:tcPr>
          <w:p w14:paraId="2BBEE77A" w14:textId="19E0D488" w:rsidR="002A012C" w:rsidRDefault="0010577E" w:rsidP="001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</w:tcPr>
          <w:p w14:paraId="55C2EB84" w14:textId="78965C2F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1D209A3" w14:textId="3B5AA7B1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</w:tr>
      <w:tr w:rsidR="0065357F" w14:paraId="13019E4C" w14:textId="77777777" w:rsidTr="00265174">
        <w:tc>
          <w:tcPr>
            <w:tcW w:w="1482" w:type="dxa"/>
            <w:vMerge/>
          </w:tcPr>
          <w:p w14:paraId="1A2B4E48" w14:textId="77777777" w:rsidR="002A012C" w:rsidRDefault="002A012C" w:rsidP="002A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6136DA5B" w14:textId="6342A2E7" w:rsidR="002A012C" w:rsidRDefault="00265174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Fears doing bad</w:t>
            </w:r>
          </w:p>
        </w:tc>
        <w:tc>
          <w:tcPr>
            <w:tcW w:w="251" w:type="dxa"/>
          </w:tcPr>
          <w:p w14:paraId="1063CF7F" w14:textId="61462146" w:rsidR="002A012C" w:rsidRDefault="0010577E" w:rsidP="001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0.612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</w:tcPr>
          <w:p w14:paraId="601BE6F8" w14:textId="3B5B62E6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9789BE6" w14:textId="1FE00C57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65357F" w14:paraId="661E4D20" w14:textId="77777777" w:rsidTr="00265174">
        <w:tc>
          <w:tcPr>
            <w:tcW w:w="1482" w:type="dxa"/>
            <w:vMerge/>
          </w:tcPr>
          <w:p w14:paraId="3237DF8F" w14:textId="77777777" w:rsidR="002A012C" w:rsidRDefault="002A012C" w:rsidP="002A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402297FC" w14:textId="20CFCD2E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Nervous</w:t>
            </w:r>
          </w:p>
        </w:tc>
        <w:tc>
          <w:tcPr>
            <w:tcW w:w="251" w:type="dxa"/>
          </w:tcPr>
          <w:p w14:paraId="0A2D783D" w14:textId="5A77594A" w:rsidR="002A012C" w:rsidRDefault="0010577E" w:rsidP="001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</w:tcPr>
          <w:p w14:paraId="0D6A7FE6" w14:textId="3BEDD3B8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9B955D3" w14:textId="422BDEDD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65357F" w14:paraId="43FCC015" w14:textId="77777777" w:rsidTr="00265174">
        <w:tc>
          <w:tcPr>
            <w:tcW w:w="1482" w:type="dxa"/>
            <w:vMerge/>
          </w:tcPr>
          <w:p w14:paraId="17A9B8BA" w14:textId="77777777" w:rsidR="002A012C" w:rsidRDefault="002A012C" w:rsidP="002A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65206546" w14:textId="0ED24E96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Nightmares</w:t>
            </w:r>
          </w:p>
        </w:tc>
        <w:tc>
          <w:tcPr>
            <w:tcW w:w="251" w:type="dxa"/>
          </w:tcPr>
          <w:p w14:paraId="26DA26FE" w14:textId="2FA94413" w:rsidR="002A012C" w:rsidRDefault="0010577E" w:rsidP="001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0.516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</w:tcPr>
          <w:p w14:paraId="1A169BB8" w14:textId="2DDFFC3B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609338" w14:textId="2D397E64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</w:tr>
      <w:tr w:rsidR="0065357F" w14:paraId="66B9BB0E" w14:textId="77777777" w:rsidTr="00265174">
        <w:tc>
          <w:tcPr>
            <w:tcW w:w="1482" w:type="dxa"/>
            <w:vMerge/>
          </w:tcPr>
          <w:p w14:paraId="0606571A" w14:textId="77777777" w:rsidR="002A012C" w:rsidRDefault="002A012C" w:rsidP="002A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3C483AF7" w14:textId="78266960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Fearful</w:t>
            </w:r>
          </w:p>
        </w:tc>
        <w:tc>
          <w:tcPr>
            <w:tcW w:w="251" w:type="dxa"/>
          </w:tcPr>
          <w:p w14:paraId="3A0AEA40" w14:textId="0BA55EBA" w:rsidR="002A012C" w:rsidRDefault="0010577E" w:rsidP="001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0.718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</w:tcPr>
          <w:p w14:paraId="4FC96EE4" w14:textId="04DC3ABB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DB01244" w14:textId="28119FED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65357F" w14:paraId="16D1B773" w14:textId="77777777" w:rsidTr="00265174">
        <w:tc>
          <w:tcPr>
            <w:tcW w:w="1482" w:type="dxa"/>
            <w:vMerge/>
          </w:tcPr>
          <w:p w14:paraId="4330F602" w14:textId="77777777" w:rsidR="002A012C" w:rsidRDefault="002A012C" w:rsidP="002A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485A84A4" w14:textId="4967F965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Self-conscious</w:t>
            </w:r>
          </w:p>
        </w:tc>
        <w:tc>
          <w:tcPr>
            <w:tcW w:w="251" w:type="dxa"/>
          </w:tcPr>
          <w:p w14:paraId="539F6038" w14:textId="622FC688" w:rsidR="002A012C" w:rsidRDefault="0010577E" w:rsidP="001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</w:tcPr>
          <w:p w14:paraId="243B199D" w14:textId="0FC5BC80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A526AA3" w14:textId="3DE14160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65357F" w14:paraId="64CBF705" w14:textId="77777777" w:rsidTr="00265174">
        <w:tc>
          <w:tcPr>
            <w:tcW w:w="1482" w:type="dxa"/>
            <w:vMerge/>
          </w:tcPr>
          <w:p w14:paraId="79E4A650" w14:textId="77777777" w:rsidR="002A012C" w:rsidRDefault="002A012C" w:rsidP="002A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53CD40A0" w14:textId="774408A1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65174">
              <w:rPr>
                <w:rFonts w:ascii="Times New Roman" w:hAnsi="Times New Roman" w:cs="Times New Roman"/>
                <w:sz w:val="24"/>
                <w:szCs w:val="24"/>
              </w:rPr>
              <w:t>. Worries</w:t>
            </w:r>
          </w:p>
        </w:tc>
        <w:tc>
          <w:tcPr>
            <w:tcW w:w="251" w:type="dxa"/>
          </w:tcPr>
          <w:p w14:paraId="043513D1" w14:textId="5DE03BC0" w:rsidR="002A012C" w:rsidRDefault="0010577E" w:rsidP="0010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0.622</w:t>
            </w:r>
            <w:r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12" w:type="dxa"/>
          </w:tcPr>
          <w:p w14:paraId="0345FCAA" w14:textId="2FDD468E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EFAC107" w14:textId="0595D718" w:rsidR="002A012C" w:rsidRDefault="002A012C" w:rsidP="002A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  <w:r w:rsidR="0010577E" w:rsidRPr="0010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</w:tbl>
    <w:p w14:paraId="5ED40692" w14:textId="6317CB06" w:rsidR="0010577E" w:rsidRPr="0010577E" w:rsidRDefault="00340B34" w:rsidP="0010577E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.05,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.01,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.001</w:t>
      </w:r>
    </w:p>
    <w:p w14:paraId="639E0293" w14:textId="070CEAD4" w:rsidR="00E1575D" w:rsidRPr="0010577E" w:rsidRDefault="00E1575D" w:rsidP="00154C2F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B885CF" w14:textId="57200ADA" w:rsidR="0082728C" w:rsidRDefault="0082728C" w:rsidP="00154C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4D448F" w14:textId="77777777" w:rsidR="002F0C9B" w:rsidRDefault="002F0C9B" w:rsidP="00154C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0641F2" w14:textId="738400B5" w:rsidR="00551A8E" w:rsidRDefault="00154C2F" w:rsidP="00154C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C1086" w14:textId="11B2A665" w:rsidR="009D2AB1" w:rsidRDefault="009D2AB1" w:rsidP="00154C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A62FA2" w14:textId="2C898406" w:rsidR="009D2AB1" w:rsidRDefault="009D2AB1" w:rsidP="00CC0C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329A930D" w14:textId="3E403CA6" w:rsidR="0012275F" w:rsidRDefault="0012275F" w:rsidP="00122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78C2">
        <w:rPr>
          <w:rFonts w:ascii="Times New Roman" w:eastAsia="Times New Roman" w:hAnsi="Times New Roman" w:cs="Times New Roman"/>
          <w:sz w:val="24"/>
          <w:szCs w:val="24"/>
        </w:rPr>
        <w:t xml:space="preserve">Achenbach, T. M., </w:t>
      </w:r>
      <w:proofErr w:type="spellStart"/>
      <w:r w:rsidRPr="00F078C2">
        <w:rPr>
          <w:rFonts w:ascii="Times New Roman" w:eastAsia="Times New Roman" w:hAnsi="Times New Roman" w:cs="Times New Roman"/>
          <w:sz w:val="24"/>
          <w:szCs w:val="24"/>
        </w:rPr>
        <w:t>Dumenci</w:t>
      </w:r>
      <w:proofErr w:type="spellEnd"/>
      <w:r w:rsidRPr="00F078C2">
        <w:rPr>
          <w:rFonts w:ascii="Times New Roman" w:eastAsia="Times New Roman" w:hAnsi="Times New Roman" w:cs="Times New Roman"/>
          <w:sz w:val="24"/>
          <w:szCs w:val="24"/>
        </w:rPr>
        <w:t xml:space="preserve">, L., &amp; Rescorla, L. A. (2003). DSM-Oriented and Empirically Based Approaches to Constructing Scales from the Same Item Pools. </w:t>
      </w:r>
      <w:r w:rsidRPr="00F078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F07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8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F078C2">
        <w:rPr>
          <w:rFonts w:ascii="Times New Roman" w:eastAsia="Times New Roman" w:hAnsi="Times New Roman" w:cs="Times New Roman"/>
          <w:sz w:val="24"/>
          <w:szCs w:val="24"/>
        </w:rPr>
        <w:t>(3), 328–340.</w:t>
      </w:r>
      <w:r w:rsidR="00F4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87" w:rsidRPr="00F45A87">
        <w:rPr>
          <w:rFonts w:ascii="Times New Roman" w:eastAsia="Times New Roman" w:hAnsi="Times New Roman" w:cs="Times New Roman"/>
          <w:sz w:val="24"/>
          <w:szCs w:val="24"/>
        </w:rPr>
        <w:t>https://doi.org/10.1207/S15374424JCCP3203_02</w:t>
      </w:r>
    </w:p>
    <w:p w14:paraId="711D5612" w14:textId="3170FC64" w:rsidR="00CC0C14" w:rsidRDefault="00CC0C14" w:rsidP="00CC0C1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0C14">
        <w:rPr>
          <w:rFonts w:ascii="Times New Roman" w:hAnsi="Times New Roman" w:cs="Times New Roman"/>
          <w:sz w:val="24"/>
          <w:szCs w:val="24"/>
        </w:rPr>
        <w:t>Asparouhov</w:t>
      </w:r>
      <w:proofErr w:type="spellEnd"/>
      <w:r w:rsidRPr="00CC0C14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CC0C14">
        <w:rPr>
          <w:rFonts w:ascii="Times New Roman" w:hAnsi="Times New Roman" w:cs="Times New Roman"/>
          <w:sz w:val="24"/>
          <w:szCs w:val="24"/>
        </w:rPr>
        <w:t>Muthén</w:t>
      </w:r>
      <w:proofErr w:type="spellEnd"/>
      <w:r w:rsidRPr="00CC0C14">
        <w:rPr>
          <w:rFonts w:ascii="Times New Roman" w:hAnsi="Times New Roman" w:cs="Times New Roman"/>
          <w:sz w:val="24"/>
          <w:szCs w:val="24"/>
        </w:rPr>
        <w:t>, B. (2010). Weighted least squares estimation with missing data (Technical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C14">
        <w:rPr>
          <w:rFonts w:ascii="Times New Roman" w:hAnsi="Times New Roman" w:cs="Times New Roman"/>
          <w:sz w:val="24"/>
          <w:szCs w:val="24"/>
        </w:rPr>
        <w:t>Report). Retrieved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22E25">
          <w:rPr>
            <w:rStyle w:val="Hyperlink"/>
            <w:rFonts w:ascii="Times New Roman" w:hAnsi="Times New Roman" w:cs="Times New Roman"/>
            <w:sz w:val="24"/>
            <w:szCs w:val="24"/>
          </w:rPr>
          <w:t>http://www.statmodel.com/download/GstrucMissingRevision.pdf</w:t>
        </w:r>
      </w:hyperlink>
    </w:p>
    <w:p w14:paraId="075510FC" w14:textId="470B6089" w:rsidR="00CC0C14" w:rsidRDefault="00CC0C14" w:rsidP="00CC0C1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0C14">
        <w:rPr>
          <w:rFonts w:ascii="Times New Roman" w:hAnsi="Times New Roman" w:cs="Times New Roman"/>
          <w:sz w:val="24"/>
          <w:szCs w:val="24"/>
        </w:rPr>
        <w:t>Bollen</w:t>
      </w:r>
      <w:proofErr w:type="spellEnd"/>
      <w:r w:rsidRPr="00CC0C14">
        <w:rPr>
          <w:rFonts w:ascii="Times New Roman" w:hAnsi="Times New Roman" w:cs="Times New Roman"/>
          <w:sz w:val="24"/>
          <w:szCs w:val="24"/>
        </w:rPr>
        <w:t xml:space="preserve">, K. A., &amp; Curran, P. J. (2006). </w:t>
      </w:r>
      <w:r w:rsidRPr="0012275F">
        <w:rPr>
          <w:rFonts w:ascii="Times New Roman" w:hAnsi="Times New Roman" w:cs="Times New Roman"/>
          <w:i/>
          <w:iCs/>
          <w:sz w:val="24"/>
          <w:szCs w:val="24"/>
        </w:rPr>
        <w:t>Latent curve models: A structural equation perspective</w:t>
      </w:r>
      <w:r w:rsidRPr="00CC0C14">
        <w:rPr>
          <w:rFonts w:ascii="Times New Roman" w:hAnsi="Times New Roman" w:cs="Times New Roman"/>
          <w:sz w:val="24"/>
          <w:szCs w:val="24"/>
        </w:rPr>
        <w:t>. Hoboken, NJ: Wiley</w:t>
      </w:r>
      <w:r w:rsidR="00F45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6DA9F" w14:textId="6EAB91F5" w:rsidR="00F45A87" w:rsidRDefault="00F45A87" w:rsidP="00CC0C1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45A87" w:rsidSect="00FD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CF7A" w14:textId="77777777" w:rsidR="00322AB7" w:rsidRDefault="00322AB7" w:rsidP="002F0C9B">
      <w:pPr>
        <w:spacing w:after="0" w:line="240" w:lineRule="auto"/>
      </w:pPr>
      <w:r>
        <w:separator/>
      </w:r>
    </w:p>
  </w:endnote>
  <w:endnote w:type="continuationSeparator" w:id="0">
    <w:p w14:paraId="10C31096" w14:textId="77777777" w:rsidR="00322AB7" w:rsidRDefault="00322AB7" w:rsidP="002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27D4" w14:textId="77777777" w:rsidR="00322AB7" w:rsidRDefault="00322AB7" w:rsidP="002F0C9B">
      <w:pPr>
        <w:spacing w:after="0" w:line="240" w:lineRule="auto"/>
      </w:pPr>
      <w:r>
        <w:separator/>
      </w:r>
    </w:p>
  </w:footnote>
  <w:footnote w:type="continuationSeparator" w:id="0">
    <w:p w14:paraId="38DC62DB" w14:textId="77777777" w:rsidR="00322AB7" w:rsidRDefault="00322AB7" w:rsidP="002F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6D"/>
    <w:rsid w:val="000373A4"/>
    <w:rsid w:val="000C641A"/>
    <w:rsid w:val="0010577E"/>
    <w:rsid w:val="0012275F"/>
    <w:rsid w:val="00145F74"/>
    <w:rsid w:val="00154C2F"/>
    <w:rsid w:val="001969AC"/>
    <w:rsid w:val="00265174"/>
    <w:rsid w:val="002A012C"/>
    <w:rsid w:val="002F0C9B"/>
    <w:rsid w:val="00322AB7"/>
    <w:rsid w:val="00340B34"/>
    <w:rsid w:val="0036163A"/>
    <w:rsid w:val="003F0AFC"/>
    <w:rsid w:val="00457279"/>
    <w:rsid w:val="004D1701"/>
    <w:rsid w:val="0052522E"/>
    <w:rsid w:val="00551A8E"/>
    <w:rsid w:val="00582D6E"/>
    <w:rsid w:val="00650434"/>
    <w:rsid w:val="0065357F"/>
    <w:rsid w:val="00790078"/>
    <w:rsid w:val="00796B25"/>
    <w:rsid w:val="007C4A79"/>
    <w:rsid w:val="0082728C"/>
    <w:rsid w:val="00860F94"/>
    <w:rsid w:val="008B1A40"/>
    <w:rsid w:val="00921D6D"/>
    <w:rsid w:val="009D2AB1"/>
    <w:rsid w:val="00A42360"/>
    <w:rsid w:val="00A66DAD"/>
    <w:rsid w:val="00AA4446"/>
    <w:rsid w:val="00BA18EE"/>
    <w:rsid w:val="00BA7D37"/>
    <w:rsid w:val="00BD7B10"/>
    <w:rsid w:val="00C044D4"/>
    <w:rsid w:val="00C05B08"/>
    <w:rsid w:val="00CC0C14"/>
    <w:rsid w:val="00D938D6"/>
    <w:rsid w:val="00E1575D"/>
    <w:rsid w:val="00E229A2"/>
    <w:rsid w:val="00E70D99"/>
    <w:rsid w:val="00F448ED"/>
    <w:rsid w:val="00F45A87"/>
    <w:rsid w:val="00FB1EFA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3DCAB"/>
  <w15:chartTrackingRefBased/>
  <w15:docId w15:val="{44360AF5-FFBE-40A5-92B2-A03BA36E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E2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229A2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9B"/>
  </w:style>
  <w:style w:type="paragraph" w:styleId="Footer">
    <w:name w:val="footer"/>
    <w:basedOn w:val="Normal"/>
    <w:link w:val="FooterChar"/>
    <w:uiPriority w:val="99"/>
    <w:unhideWhenUsed/>
    <w:rsid w:val="002F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9B"/>
  </w:style>
  <w:style w:type="character" w:styleId="Hyperlink">
    <w:name w:val="Hyperlink"/>
    <w:basedOn w:val="DefaultParagraphFont"/>
    <w:uiPriority w:val="99"/>
    <w:unhideWhenUsed/>
    <w:rsid w:val="00CC0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model.com/download/GstrucMissingRevisio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1271-EACA-4484-AE57-C2731265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Sujin</dc:creator>
  <cp:keywords/>
  <dc:description/>
  <cp:lastModifiedBy>Lee Sujin</cp:lastModifiedBy>
  <cp:revision>3</cp:revision>
  <dcterms:created xsi:type="dcterms:W3CDTF">2022-08-15T16:12:00Z</dcterms:created>
  <dcterms:modified xsi:type="dcterms:W3CDTF">2022-08-29T03:07:00Z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http://www.zotero.org/styles/child-psychiatry-and-human-development</vt:lpwstr>
  </property>
  <property fmtid="{D5CDD505-2E9C-101B-9397-08002B2CF9AE}" pid="13" name="Mendeley Recent Style Name 5_1">
    <vt:lpwstr>Child Psychiatry &amp; Human Development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