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21439" w14:textId="77777777" w:rsidR="005B4B0E" w:rsidRPr="00924FEF" w:rsidRDefault="005B4B0E" w:rsidP="005B4B0E">
      <w:pPr>
        <w:spacing w:after="0" w:line="480" w:lineRule="auto"/>
        <w:jc w:val="center"/>
        <w:rPr>
          <w:rFonts w:ascii="Times New Roman" w:hAnsi="Times New Roman" w:cs="Times New Roman"/>
          <w:sz w:val="24"/>
          <w:szCs w:val="24"/>
        </w:rPr>
      </w:pPr>
      <w:r w:rsidRPr="00924FEF">
        <w:rPr>
          <w:rFonts w:ascii="Times New Roman" w:hAnsi="Times New Roman" w:cs="Times New Roman"/>
          <w:b/>
          <w:bCs/>
          <w:sz w:val="24"/>
          <w:szCs w:val="24"/>
        </w:rPr>
        <w:t>Supplemental Materials</w:t>
      </w:r>
    </w:p>
    <w:p w14:paraId="6B1EB1AF" w14:textId="77777777" w:rsidR="005B4B0E" w:rsidRPr="00924FEF" w:rsidRDefault="005B4B0E" w:rsidP="005B4B0E">
      <w:pPr>
        <w:spacing w:after="0" w:line="480" w:lineRule="auto"/>
        <w:jc w:val="both"/>
        <w:rPr>
          <w:rFonts w:ascii="Times New Roman" w:hAnsi="Times New Roman" w:cs="Times New Roman"/>
          <w:b/>
          <w:bCs/>
          <w:sz w:val="24"/>
          <w:szCs w:val="24"/>
        </w:rPr>
      </w:pPr>
      <w:r w:rsidRPr="00924FEF">
        <w:rPr>
          <w:rFonts w:ascii="Times New Roman" w:hAnsi="Times New Roman" w:cs="Times New Roman"/>
          <w:b/>
          <w:bCs/>
          <w:sz w:val="24"/>
          <w:szCs w:val="24"/>
        </w:rPr>
        <w:t xml:space="preserve">Methods </w:t>
      </w:r>
    </w:p>
    <w:p w14:paraId="139384C2" w14:textId="77777777" w:rsidR="005B4B0E" w:rsidRPr="00924FEF" w:rsidRDefault="005B4B0E" w:rsidP="005B4B0E">
      <w:pPr>
        <w:spacing w:after="0" w:line="480" w:lineRule="auto"/>
        <w:jc w:val="both"/>
        <w:rPr>
          <w:rFonts w:ascii="Times New Roman" w:hAnsi="Times New Roman" w:cs="Times New Roman"/>
          <w:b/>
          <w:bCs/>
          <w:sz w:val="24"/>
          <w:szCs w:val="24"/>
        </w:rPr>
      </w:pPr>
      <w:r w:rsidRPr="00924FEF">
        <w:rPr>
          <w:rFonts w:ascii="Times New Roman" w:hAnsi="Times New Roman" w:cs="Times New Roman"/>
          <w:b/>
          <w:bCs/>
          <w:i/>
          <w:iCs/>
          <w:sz w:val="24"/>
          <w:szCs w:val="24"/>
        </w:rPr>
        <w:t>Participant</w:t>
      </w:r>
      <w:r w:rsidRPr="00924FEF">
        <w:rPr>
          <w:rFonts w:ascii="Times New Roman" w:hAnsi="Times New Roman" w:cs="Times New Roman"/>
          <w:b/>
          <w:bCs/>
          <w:sz w:val="24"/>
          <w:szCs w:val="24"/>
        </w:rPr>
        <w:t>s</w:t>
      </w:r>
    </w:p>
    <w:p w14:paraId="1D58B576" w14:textId="77777777" w:rsidR="005B4B0E" w:rsidRPr="00924FEF" w:rsidRDefault="005B4B0E" w:rsidP="005B4B0E">
      <w:pPr>
        <w:spacing w:after="0" w:line="480" w:lineRule="auto"/>
        <w:ind w:firstLine="720"/>
        <w:jc w:val="both"/>
        <w:rPr>
          <w:rFonts w:ascii="Times New Roman" w:hAnsi="Times New Roman" w:cs="Times New Roman"/>
          <w:sz w:val="24"/>
          <w:szCs w:val="24"/>
        </w:rPr>
      </w:pPr>
      <w:r w:rsidRPr="00924FEF">
        <w:rPr>
          <w:rFonts w:ascii="Times New Roman" w:hAnsi="Times New Roman" w:cs="Times New Roman"/>
          <w:sz w:val="24"/>
          <w:szCs w:val="24"/>
        </w:rPr>
        <w:t>Exclusion criteria included: (1) diagnosis or physical signs of known genetic conditions, (2) significant medical or neurological conditions or sensory impairments, (3) birth weight &lt; 2000 g and/or gestational age &lt; 36 weeks, (4) significant perinatal adversity and/or in-utero exposure to neurotoxins, (5) contraindication for MRI, (6) predominant home language other than English, and (7) 1st degree relative with psychosis, schizophrenia, bipolar disorder</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(Estes et al., 2015). ASD diagnosis in an older sibling was confirmed using the Autism Diagnostic Interview-Revised</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 xml:space="preserve">(Rutter, </w:t>
      </w:r>
      <w:r w:rsidRPr="00924FEF">
        <w:rPr>
          <w:rFonts w:ascii="Times New Roman" w:hAnsi="Times New Roman" w:cs="Times New Roman"/>
          <w:color w:val="323232"/>
          <w:sz w:val="24"/>
          <w:szCs w:val="24"/>
          <w:shd w:val="clear" w:color="auto" w:fill="FFFFFF"/>
        </w:rPr>
        <w:t xml:space="preserve">Le </w:t>
      </w:r>
      <w:proofErr w:type="spellStart"/>
      <w:r w:rsidRPr="00924FEF">
        <w:rPr>
          <w:rFonts w:ascii="Times New Roman" w:hAnsi="Times New Roman" w:cs="Times New Roman"/>
          <w:color w:val="323232"/>
          <w:sz w:val="24"/>
          <w:szCs w:val="24"/>
          <w:shd w:val="clear" w:color="auto" w:fill="FFFFFF"/>
        </w:rPr>
        <w:t>Couteur</w:t>
      </w:r>
      <w:proofErr w:type="spellEnd"/>
      <w:r w:rsidRPr="00924FEF">
        <w:rPr>
          <w:rFonts w:ascii="Times New Roman" w:hAnsi="Times New Roman" w:cs="Times New Roman"/>
          <w:sz w:val="24"/>
          <w:szCs w:val="24"/>
        </w:rPr>
        <w:t>, &amp; Lord, 2003) to establish an infant was at elevated familial ASD risk. Approximately 20% of high-risk infant siblings in IBIS meet criteria for ASD</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(Estes et al., 2015), consistent with prior infant sibling populations</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w:t>
      </w:r>
      <w:proofErr w:type="spellStart"/>
      <w:r w:rsidRPr="00924FEF">
        <w:rPr>
          <w:rFonts w:ascii="Times New Roman" w:hAnsi="Times New Roman" w:cs="Times New Roman"/>
          <w:sz w:val="24"/>
          <w:szCs w:val="24"/>
        </w:rPr>
        <w:t>Ozonoff</w:t>
      </w:r>
      <w:proofErr w:type="spellEnd"/>
      <w:r w:rsidRPr="00924FEF">
        <w:rPr>
          <w:rFonts w:ascii="Times New Roman" w:hAnsi="Times New Roman" w:cs="Times New Roman"/>
          <w:sz w:val="24"/>
          <w:szCs w:val="24"/>
        </w:rPr>
        <w:t xml:space="preserve"> et al., 2011).  The clinical best estimate diagnosis was determined at age 24 months given this an age has strong evidence of diagnostic stability</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(Lord et al., 2006) and is the standard used by the Infant Brain Imaging Study during its longitudinal infant data collection, which launched in 2007 (Wolff et al., 2012; Estes et al., 2015).</w:t>
      </w:r>
    </w:p>
    <w:p w14:paraId="6F361F12" w14:textId="77777777" w:rsidR="005B4B0E" w:rsidRPr="00924FEF" w:rsidRDefault="005B4B0E" w:rsidP="005B4B0E">
      <w:pPr>
        <w:spacing w:after="0" w:line="480" w:lineRule="auto"/>
        <w:jc w:val="both"/>
        <w:rPr>
          <w:rFonts w:ascii="Times New Roman" w:hAnsi="Times New Roman" w:cs="Times New Roman"/>
          <w:b/>
          <w:bCs/>
          <w:sz w:val="24"/>
          <w:szCs w:val="24"/>
        </w:rPr>
      </w:pPr>
      <w:r w:rsidRPr="00924FEF">
        <w:rPr>
          <w:rFonts w:ascii="Times New Roman" w:hAnsi="Times New Roman" w:cs="Times New Roman"/>
          <w:b/>
          <w:bCs/>
          <w:i/>
          <w:iCs/>
          <w:sz w:val="24"/>
          <w:szCs w:val="24"/>
        </w:rPr>
        <w:t>Measures</w:t>
      </w:r>
    </w:p>
    <w:p w14:paraId="0A52E004" w14:textId="77777777" w:rsidR="005B4B0E" w:rsidRPr="00924FEF" w:rsidRDefault="005B4B0E" w:rsidP="005B4B0E">
      <w:pPr>
        <w:spacing w:after="0" w:line="480" w:lineRule="auto"/>
        <w:ind w:firstLine="720"/>
        <w:jc w:val="both"/>
        <w:rPr>
          <w:rFonts w:ascii="Times New Roman" w:hAnsi="Times New Roman" w:cs="Times New Roman"/>
          <w:sz w:val="24"/>
          <w:szCs w:val="24"/>
        </w:rPr>
      </w:pPr>
      <w:r w:rsidRPr="00924FEF">
        <w:rPr>
          <w:rFonts w:ascii="Times New Roman" w:hAnsi="Times New Roman" w:cs="Times New Roman"/>
          <w:sz w:val="24"/>
          <w:szCs w:val="24"/>
        </w:rPr>
        <w:t xml:space="preserve">The following instruments contained items incorporated in the Social Motivation Index (SMI). The 6-month social motivation index (SMI) had 22 items drawn from the Vineland Adaptive Behavior Scales (VABS) (Sparrow, </w:t>
      </w:r>
      <w:proofErr w:type="spellStart"/>
      <w:r w:rsidRPr="00924FEF">
        <w:rPr>
          <w:rFonts w:ascii="Times New Roman" w:hAnsi="Times New Roman" w:cs="Times New Roman"/>
          <w:sz w:val="24"/>
          <w:szCs w:val="24"/>
        </w:rPr>
        <w:t>Balla</w:t>
      </w:r>
      <w:proofErr w:type="spellEnd"/>
      <w:r w:rsidRPr="00924FEF">
        <w:rPr>
          <w:rFonts w:ascii="Times New Roman" w:hAnsi="Times New Roman" w:cs="Times New Roman"/>
          <w:sz w:val="24"/>
          <w:szCs w:val="24"/>
        </w:rPr>
        <w:t>, &amp; Cicchetti, 2005) and the Infant Behavior Questionnaire-Revised (IBQ-R)</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w:t>
      </w:r>
      <w:proofErr w:type="spellStart"/>
      <w:r w:rsidRPr="00924FEF">
        <w:rPr>
          <w:rFonts w:ascii="Times New Roman" w:hAnsi="Times New Roman" w:cs="Times New Roman"/>
          <w:sz w:val="24"/>
          <w:szCs w:val="24"/>
        </w:rPr>
        <w:t>Gartstein</w:t>
      </w:r>
      <w:proofErr w:type="spellEnd"/>
      <w:r w:rsidRPr="00924FEF">
        <w:rPr>
          <w:rFonts w:ascii="Times New Roman" w:hAnsi="Times New Roman" w:cs="Times New Roman"/>
          <w:sz w:val="24"/>
          <w:szCs w:val="24"/>
        </w:rPr>
        <w:t xml:space="preserve"> &amp; Rothbart, 2003). The 12-month SMI had 40 items from the VABS; IBQ-R; Macarthur-Bates Communicative Development Inventory (M-CDI)</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w:t>
      </w:r>
      <w:proofErr w:type="spellStart"/>
      <w:r w:rsidRPr="00924FEF">
        <w:rPr>
          <w:rFonts w:ascii="Times New Roman" w:hAnsi="Times New Roman" w:cs="Times New Roman"/>
          <w:sz w:val="24"/>
          <w:szCs w:val="24"/>
        </w:rPr>
        <w:t>Fenson</w:t>
      </w:r>
      <w:proofErr w:type="spellEnd"/>
      <w:r w:rsidRPr="00924FEF">
        <w:rPr>
          <w:rFonts w:ascii="Times New Roman" w:hAnsi="Times New Roman" w:cs="Times New Roman"/>
          <w:sz w:val="24"/>
          <w:szCs w:val="24"/>
        </w:rPr>
        <w:t xml:space="preserve">, Marchman, </w:t>
      </w:r>
      <w:proofErr w:type="spellStart"/>
      <w:r w:rsidRPr="00924FEF">
        <w:rPr>
          <w:rFonts w:ascii="Times New Roman" w:hAnsi="Times New Roman" w:cs="Times New Roman"/>
          <w:sz w:val="24"/>
          <w:szCs w:val="24"/>
        </w:rPr>
        <w:t>Thal</w:t>
      </w:r>
      <w:proofErr w:type="spellEnd"/>
      <w:r w:rsidRPr="00924FEF">
        <w:rPr>
          <w:rFonts w:ascii="Times New Roman" w:hAnsi="Times New Roman" w:cs="Times New Roman"/>
          <w:sz w:val="24"/>
          <w:szCs w:val="24"/>
        </w:rPr>
        <w:t xml:space="preserve">, Dale, Reznick, &amp; Bates, 2006); and the First Year Inventory (FYI) </w:t>
      </w:r>
      <w:r w:rsidRPr="00924FEF">
        <w:rPr>
          <w:rFonts w:ascii="Times New Roman" w:hAnsi="Times New Roman" w:cs="Times New Roman"/>
          <w:sz w:val="24"/>
          <w:szCs w:val="24"/>
        </w:rPr>
        <w:lastRenderedPageBreak/>
        <w:t xml:space="preserve">(Watson, </w:t>
      </w:r>
      <w:proofErr w:type="spellStart"/>
      <w:r w:rsidRPr="00924FEF">
        <w:rPr>
          <w:rFonts w:ascii="Times New Roman" w:hAnsi="Times New Roman" w:cs="Times New Roman"/>
          <w:sz w:val="24"/>
          <w:szCs w:val="24"/>
        </w:rPr>
        <w:t>Baranek</w:t>
      </w:r>
      <w:proofErr w:type="spellEnd"/>
      <w:r w:rsidRPr="00924FEF">
        <w:rPr>
          <w:rFonts w:ascii="Times New Roman" w:hAnsi="Times New Roman" w:cs="Times New Roman"/>
          <w:sz w:val="24"/>
          <w:szCs w:val="24"/>
        </w:rPr>
        <w:t xml:space="preserve">, </w:t>
      </w:r>
      <w:proofErr w:type="spellStart"/>
      <w:r w:rsidRPr="00924FEF">
        <w:rPr>
          <w:rFonts w:ascii="Times New Roman" w:hAnsi="Times New Roman" w:cs="Times New Roman"/>
          <w:sz w:val="24"/>
          <w:szCs w:val="24"/>
        </w:rPr>
        <w:t>Crais</w:t>
      </w:r>
      <w:proofErr w:type="spellEnd"/>
      <w:r w:rsidRPr="00924FEF">
        <w:rPr>
          <w:rFonts w:ascii="Times New Roman" w:hAnsi="Times New Roman" w:cs="Times New Roman"/>
          <w:sz w:val="24"/>
          <w:szCs w:val="24"/>
        </w:rPr>
        <w:t xml:space="preserve">, Reznick, Dykstra, &amp; Perryman, 2007). The 24-month SMI had 16 items from the VABS and M-CDI. </w:t>
      </w:r>
    </w:p>
    <w:p w14:paraId="2868B147"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b/>
          <w:bCs/>
          <w:sz w:val="24"/>
          <w:szCs w:val="24"/>
        </w:rPr>
        <w:t>Vineland Adaptive Behavior Scale (VABS).</w:t>
      </w:r>
      <w:r w:rsidRPr="00924FEF">
        <w:rPr>
          <w:rFonts w:ascii="Times New Roman" w:hAnsi="Times New Roman" w:cs="Times New Roman"/>
          <w:sz w:val="24"/>
          <w:szCs w:val="24"/>
        </w:rPr>
        <w:t xml:space="preserve"> The VABS is a parent-report measure of adaptive function normed from 3 months of age through adulthood</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 xml:space="preserve">(Sparrow, </w:t>
      </w:r>
      <w:proofErr w:type="spellStart"/>
      <w:r w:rsidRPr="00924FEF">
        <w:rPr>
          <w:rFonts w:ascii="Times New Roman" w:hAnsi="Times New Roman" w:cs="Times New Roman"/>
          <w:sz w:val="24"/>
          <w:szCs w:val="24"/>
        </w:rPr>
        <w:t>Balla</w:t>
      </w:r>
      <w:proofErr w:type="spellEnd"/>
      <w:r w:rsidRPr="00924FEF">
        <w:rPr>
          <w:rFonts w:ascii="Times New Roman" w:hAnsi="Times New Roman" w:cs="Times New Roman"/>
          <w:sz w:val="24"/>
          <w:szCs w:val="24"/>
        </w:rPr>
        <w:t xml:space="preserve">, &amp; </w:t>
      </w:r>
      <w:r w:rsidRPr="00924FEF">
        <w:rPr>
          <w:rFonts w:ascii="Times New Roman" w:hAnsi="Times New Roman" w:cs="Times New Roman"/>
          <w:color w:val="323232"/>
          <w:sz w:val="24"/>
          <w:szCs w:val="24"/>
          <w:shd w:val="clear" w:color="auto" w:fill="FFFFFF"/>
        </w:rPr>
        <w:t>Cicchetti, 2005)</w:t>
      </w:r>
      <w:r w:rsidRPr="00924FEF">
        <w:rPr>
          <w:rFonts w:ascii="Times New Roman" w:hAnsi="Times New Roman" w:cs="Times New Roman"/>
          <w:sz w:val="24"/>
          <w:szCs w:val="24"/>
        </w:rPr>
        <w:t>.  The parent interview form of the VABS was used. SMI items were selected for ages 6, 12, and 24 months from expressive and receptive language items in the communication domain as well as the interpersonal relationships and play and leisure sections of the socialization domain.  Recommended starting item of the scale advances with age; therefore, item-level data were included only in cases for which a specific item was assessed. Vineland items, noted by subscale, that were included on the SMI included: SMI</w:t>
      </w:r>
      <w:r w:rsidRPr="00924FEF">
        <w:rPr>
          <w:rFonts w:ascii="Times New Roman" w:hAnsi="Times New Roman" w:cs="Times New Roman"/>
          <w:sz w:val="24"/>
          <w:szCs w:val="24"/>
          <w:vertAlign w:val="subscript"/>
        </w:rPr>
        <w:t>6</w:t>
      </w:r>
      <w:r w:rsidRPr="00924FEF">
        <w:rPr>
          <w:rFonts w:ascii="Times New Roman" w:hAnsi="Times New Roman" w:cs="Times New Roman"/>
          <w:sz w:val="24"/>
          <w:szCs w:val="24"/>
        </w:rPr>
        <w:t>- Receptive: 2, 3; Expressive: 2, 5; Interpersonal Relationships: 4, 5, 6, 8, 9, 10; Play and Leisure: 3; SMI</w:t>
      </w:r>
      <w:r w:rsidRPr="00924FEF">
        <w:rPr>
          <w:rFonts w:ascii="Times New Roman" w:hAnsi="Times New Roman" w:cs="Times New Roman"/>
          <w:sz w:val="24"/>
          <w:szCs w:val="24"/>
          <w:vertAlign w:val="subscript"/>
        </w:rPr>
        <w:t>12</w:t>
      </w:r>
      <w:r w:rsidRPr="00924FEF">
        <w:rPr>
          <w:rFonts w:ascii="Times New Roman" w:hAnsi="Times New Roman" w:cs="Times New Roman"/>
          <w:sz w:val="24"/>
          <w:szCs w:val="24"/>
        </w:rPr>
        <w:t xml:space="preserve"> Receptive: 2, 3; Expressive: 2, 5; Interpersonal Relationships: 4, 5, 6, 8, 9, 10, 11, 12, 14; Play and Leisure: 3, 5; SMI24: Interpersonal Relationships: 11, 12, 14, 15, 17, 23; Play and Leisure: 5, 6, 7, 9, 14, 15, 17.</w:t>
      </w:r>
    </w:p>
    <w:p w14:paraId="5365B0A2"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b/>
          <w:bCs/>
          <w:sz w:val="24"/>
          <w:szCs w:val="24"/>
        </w:rPr>
        <w:t>Infant Behavioral Questionnaire-Revised (IBQ-R).</w:t>
      </w:r>
      <w:r w:rsidRPr="00924FEF">
        <w:rPr>
          <w:rFonts w:ascii="Times New Roman" w:hAnsi="Times New Roman" w:cs="Times New Roman"/>
          <w:sz w:val="24"/>
          <w:szCs w:val="24"/>
        </w:rPr>
        <w:t xml:space="preserve"> This widely used parent-report index of temperament, which detects </w:t>
      </w:r>
      <w:proofErr w:type="gramStart"/>
      <w:r w:rsidRPr="00924FEF">
        <w:rPr>
          <w:rFonts w:ascii="Times New Roman" w:hAnsi="Times New Roman" w:cs="Times New Roman"/>
          <w:sz w:val="24"/>
          <w:szCs w:val="24"/>
        </w:rPr>
        <w:t>constitutionally-based</w:t>
      </w:r>
      <w:proofErr w:type="gramEnd"/>
      <w:r w:rsidRPr="00924FEF">
        <w:rPr>
          <w:rFonts w:ascii="Times New Roman" w:hAnsi="Times New Roman" w:cs="Times New Roman"/>
          <w:sz w:val="24"/>
          <w:szCs w:val="24"/>
        </w:rPr>
        <w:t xml:space="preserve"> individual differences in reactivity and self-regulation</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w:t>
      </w:r>
      <w:proofErr w:type="spellStart"/>
      <w:r w:rsidRPr="00924FEF">
        <w:rPr>
          <w:rFonts w:ascii="Times New Roman" w:hAnsi="Times New Roman" w:cs="Times New Roman"/>
          <w:sz w:val="24"/>
          <w:szCs w:val="24"/>
        </w:rPr>
        <w:t>Gartstein</w:t>
      </w:r>
      <w:proofErr w:type="spellEnd"/>
      <w:r w:rsidRPr="00924FEF">
        <w:rPr>
          <w:rFonts w:ascii="Times New Roman" w:hAnsi="Times New Roman" w:cs="Times New Roman"/>
          <w:sz w:val="24"/>
          <w:szCs w:val="24"/>
        </w:rPr>
        <w:t xml:space="preserve"> &amp; Rothbart, 2003), is validated for infants ages three to 12 months of age. SMI items for ages 6 and 12 months were selected from the cuddliness, smiling and laughter, high pleasure, and approach subscales. Items included on the SMI at 6 and 12 months were as follows: 5, 6, 67, 79, 80, 103, 126, 148, 149, 165, 172, 173). </w:t>
      </w:r>
    </w:p>
    <w:p w14:paraId="7F360765"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b/>
          <w:bCs/>
          <w:sz w:val="24"/>
          <w:szCs w:val="24"/>
        </w:rPr>
        <w:t>First Year Inventory (FYI).</w:t>
      </w:r>
      <w:r w:rsidRPr="00924FEF">
        <w:rPr>
          <w:rFonts w:ascii="Times New Roman" w:hAnsi="Times New Roman" w:cs="Times New Roman"/>
          <w:sz w:val="24"/>
          <w:szCs w:val="24"/>
        </w:rPr>
        <w:t xml:space="preserve"> This 63-item parent-report questionnaire, which probes social communication and sensory regulatory functions, is designed as a general population screening tool to identify </w:t>
      </w:r>
      <w:proofErr w:type="gramStart"/>
      <w:r w:rsidRPr="00924FEF">
        <w:rPr>
          <w:rFonts w:ascii="Times New Roman" w:hAnsi="Times New Roman" w:cs="Times New Roman"/>
          <w:sz w:val="24"/>
          <w:szCs w:val="24"/>
        </w:rPr>
        <w:t>12-month old</w:t>
      </w:r>
      <w:proofErr w:type="gramEnd"/>
      <w:r w:rsidRPr="00924FEF">
        <w:rPr>
          <w:rFonts w:ascii="Times New Roman" w:hAnsi="Times New Roman" w:cs="Times New Roman"/>
          <w:sz w:val="24"/>
          <w:szCs w:val="24"/>
        </w:rPr>
        <w:t xml:space="preserve"> infants at risk for ASD or related developmental disorders</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 xml:space="preserve">(Watson </w:t>
      </w:r>
      <w:r w:rsidRPr="00924FEF">
        <w:rPr>
          <w:rFonts w:ascii="Times New Roman" w:hAnsi="Times New Roman" w:cs="Times New Roman"/>
          <w:sz w:val="24"/>
          <w:szCs w:val="24"/>
        </w:rPr>
        <w:lastRenderedPageBreak/>
        <w:t>et al., 2007). Social items included in the 12-month SMI were as follows: 1, 6, 12, 18, 19, 20, 29, 31, 52, 53, 58.</w:t>
      </w:r>
    </w:p>
    <w:p w14:paraId="56C6B802"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b/>
          <w:bCs/>
          <w:sz w:val="24"/>
          <w:szCs w:val="24"/>
        </w:rPr>
        <w:t>Mac-Arthur Bates Communicative Development Inventory (M-CDI).</w:t>
      </w:r>
      <w:r w:rsidRPr="00924FEF">
        <w:rPr>
          <w:rFonts w:ascii="Times New Roman" w:hAnsi="Times New Roman" w:cs="Times New Roman"/>
          <w:sz w:val="24"/>
          <w:szCs w:val="24"/>
        </w:rPr>
        <w:t xml:space="preserve"> The M-CDI Words and Gestures Long Form, a parent-report measure indexing receptive and expressive language development, was completed for infants ages 12 and 24 months</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w:t>
      </w:r>
      <w:proofErr w:type="spellStart"/>
      <w:r w:rsidRPr="00924FEF">
        <w:rPr>
          <w:rFonts w:ascii="Times New Roman" w:hAnsi="Times New Roman" w:cs="Times New Roman"/>
          <w:sz w:val="24"/>
          <w:szCs w:val="24"/>
        </w:rPr>
        <w:t>Fenson</w:t>
      </w:r>
      <w:proofErr w:type="spellEnd"/>
      <w:r w:rsidRPr="00924FEF">
        <w:rPr>
          <w:rFonts w:ascii="Times New Roman" w:hAnsi="Times New Roman" w:cs="Times New Roman"/>
          <w:sz w:val="24"/>
          <w:szCs w:val="24"/>
        </w:rPr>
        <w:t xml:space="preserve"> et al., 2006). Scores from a subset of items on gestures commonly used in affiliative contexts (M-CDI, Section IIA, items 1, 2, and 4) were included in the 12- and 24-month SMI.</w:t>
      </w:r>
    </w:p>
    <w:p w14:paraId="208E0A8E" w14:textId="77777777" w:rsidR="005B4B0E" w:rsidRPr="00924FEF" w:rsidRDefault="005B4B0E" w:rsidP="005B4B0E">
      <w:pPr>
        <w:spacing w:after="0" w:line="480" w:lineRule="auto"/>
        <w:jc w:val="both"/>
        <w:rPr>
          <w:rFonts w:ascii="Times New Roman" w:hAnsi="Times New Roman" w:cs="Times New Roman"/>
          <w:sz w:val="24"/>
          <w:szCs w:val="24"/>
        </w:rPr>
      </w:pPr>
    </w:p>
    <w:p w14:paraId="0437BDA9" w14:textId="77777777" w:rsidR="005B4B0E" w:rsidRPr="00924FEF" w:rsidRDefault="005B4B0E" w:rsidP="005B4B0E">
      <w:pPr>
        <w:spacing w:after="0" w:line="480" w:lineRule="auto"/>
        <w:ind w:firstLine="720"/>
        <w:jc w:val="both"/>
        <w:rPr>
          <w:rFonts w:ascii="Times New Roman" w:hAnsi="Times New Roman" w:cs="Times New Roman"/>
          <w:sz w:val="24"/>
          <w:szCs w:val="24"/>
        </w:rPr>
      </w:pPr>
      <w:r w:rsidRPr="00924FEF">
        <w:rPr>
          <w:rFonts w:ascii="Times New Roman" w:hAnsi="Times New Roman" w:cs="Times New Roman"/>
          <w:sz w:val="24"/>
          <w:szCs w:val="24"/>
        </w:rPr>
        <w:t>Instruments below were used in testing convergent and/or divergent validity of the Social Motivation Index.</w:t>
      </w:r>
    </w:p>
    <w:p w14:paraId="6973A83A"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b/>
          <w:bCs/>
          <w:sz w:val="24"/>
          <w:szCs w:val="24"/>
        </w:rPr>
        <w:t>Autism Observation Schedule in Infants (AOSI).</w:t>
      </w:r>
      <w:r w:rsidRPr="00924FEF">
        <w:rPr>
          <w:rFonts w:ascii="Times New Roman" w:hAnsi="Times New Roman" w:cs="Times New Roman"/>
          <w:sz w:val="24"/>
          <w:szCs w:val="24"/>
        </w:rPr>
        <w:t xml:space="preserve"> This semi-structured play assessment is designed to detect and monitor early signs of ASD infants ages 6-18 months</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 xml:space="preserve">(Bryson, </w:t>
      </w:r>
      <w:proofErr w:type="spellStart"/>
      <w:r w:rsidRPr="00924FEF">
        <w:rPr>
          <w:rFonts w:ascii="Times New Roman" w:hAnsi="Times New Roman" w:cs="Times New Roman"/>
          <w:sz w:val="24"/>
          <w:szCs w:val="24"/>
        </w:rPr>
        <w:t>Zwaigenbaum</w:t>
      </w:r>
      <w:proofErr w:type="spellEnd"/>
      <w:r w:rsidRPr="00924FEF">
        <w:rPr>
          <w:rFonts w:ascii="Times New Roman" w:hAnsi="Times New Roman" w:cs="Times New Roman"/>
          <w:sz w:val="24"/>
          <w:szCs w:val="24"/>
        </w:rPr>
        <w:t xml:space="preserve">, McDermott, </w:t>
      </w:r>
      <w:proofErr w:type="spellStart"/>
      <w:r w:rsidRPr="00924FEF">
        <w:rPr>
          <w:rFonts w:ascii="Times New Roman" w:hAnsi="Times New Roman" w:cs="Times New Roman"/>
          <w:sz w:val="24"/>
          <w:szCs w:val="24"/>
        </w:rPr>
        <w:t>Rombough</w:t>
      </w:r>
      <w:proofErr w:type="spellEnd"/>
      <w:r w:rsidRPr="00924FEF">
        <w:rPr>
          <w:rFonts w:ascii="Times New Roman" w:hAnsi="Times New Roman" w:cs="Times New Roman"/>
          <w:sz w:val="24"/>
          <w:szCs w:val="24"/>
        </w:rPr>
        <w:t xml:space="preserve">, &amp; Brian, 2008; </w:t>
      </w:r>
      <w:proofErr w:type="spellStart"/>
      <w:r w:rsidRPr="00924FEF">
        <w:rPr>
          <w:rFonts w:ascii="Times New Roman" w:hAnsi="Times New Roman" w:cs="Times New Roman"/>
          <w:sz w:val="24"/>
          <w:szCs w:val="24"/>
        </w:rPr>
        <w:t>Zwaigenbaum</w:t>
      </w:r>
      <w:proofErr w:type="spellEnd"/>
      <w:r w:rsidRPr="00924FEF">
        <w:rPr>
          <w:rFonts w:ascii="Times New Roman" w:hAnsi="Times New Roman" w:cs="Times New Roman"/>
          <w:sz w:val="24"/>
          <w:szCs w:val="24"/>
        </w:rPr>
        <w:t xml:space="preserve"> et al., 2021). Higher scores indicate lower functional performance in aspects of behavior frequently disrupted in ASD, including visual tracking, coordinated attention, social-communicative behaviors, reactivity, and sensorimotor development.</w:t>
      </w:r>
    </w:p>
    <w:p w14:paraId="15099CE1"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b/>
          <w:bCs/>
          <w:sz w:val="24"/>
          <w:szCs w:val="24"/>
        </w:rPr>
        <w:t>Autism Diagnostic Observation Schedule (ADOS).</w:t>
      </w:r>
      <w:r w:rsidRPr="00924FEF">
        <w:rPr>
          <w:rFonts w:ascii="Times New Roman" w:hAnsi="Times New Roman" w:cs="Times New Roman"/>
          <w:sz w:val="24"/>
          <w:szCs w:val="24"/>
        </w:rPr>
        <w:t xml:space="preserve"> The ADOS is a semi-structured play assessment of characteristic features of ASD in the domains of communication, social interaction, play skills and restricted interests/repetitive behavior</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 xml:space="preserve">(Lord, Rutter, </w:t>
      </w:r>
      <w:proofErr w:type="spellStart"/>
      <w:r w:rsidRPr="00924FEF">
        <w:rPr>
          <w:rFonts w:ascii="Times New Roman" w:hAnsi="Times New Roman" w:cs="Times New Roman"/>
          <w:sz w:val="24"/>
          <w:szCs w:val="24"/>
        </w:rPr>
        <w:t>DiLavore</w:t>
      </w:r>
      <w:proofErr w:type="spellEnd"/>
      <w:r w:rsidRPr="00924FEF">
        <w:rPr>
          <w:rFonts w:ascii="Times New Roman" w:hAnsi="Times New Roman" w:cs="Times New Roman"/>
          <w:sz w:val="24"/>
          <w:szCs w:val="24"/>
        </w:rPr>
        <w:t xml:space="preserve">, &amp; </w:t>
      </w:r>
      <w:proofErr w:type="spellStart"/>
      <w:r w:rsidRPr="00924FEF">
        <w:rPr>
          <w:rFonts w:ascii="Times New Roman" w:hAnsi="Times New Roman" w:cs="Times New Roman"/>
          <w:sz w:val="24"/>
          <w:szCs w:val="24"/>
        </w:rPr>
        <w:t>Risi</w:t>
      </w:r>
      <w:proofErr w:type="spellEnd"/>
      <w:r w:rsidRPr="00924FEF">
        <w:rPr>
          <w:rFonts w:ascii="Times New Roman" w:hAnsi="Times New Roman" w:cs="Times New Roman"/>
          <w:sz w:val="24"/>
          <w:szCs w:val="24"/>
        </w:rPr>
        <w:t xml:space="preserve">, 2000). ADOS Module 1 or 2 was administered to all subjects at age 24 months by certified, research-reliable evaluators at all sites. Calibrated severity scores (Gotham, </w:t>
      </w:r>
      <w:proofErr w:type="spellStart"/>
      <w:r w:rsidRPr="00924FEF">
        <w:rPr>
          <w:rFonts w:ascii="Times New Roman" w:hAnsi="Times New Roman" w:cs="Times New Roman"/>
          <w:sz w:val="24"/>
          <w:szCs w:val="24"/>
        </w:rPr>
        <w:t>Risi</w:t>
      </w:r>
      <w:proofErr w:type="spellEnd"/>
      <w:r w:rsidRPr="00924FEF">
        <w:rPr>
          <w:rFonts w:ascii="Times New Roman" w:hAnsi="Times New Roman" w:cs="Times New Roman"/>
          <w:sz w:val="24"/>
          <w:szCs w:val="24"/>
        </w:rPr>
        <w:t>, Pickles, &amp; Lord, 2007; Hus, Gotham, &amp; Lord, 2014)</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were used to test relationships between level of core ASD features and social motivation. Higher scores corresponded to more ASD-related behaviors.</w:t>
      </w:r>
    </w:p>
    <w:p w14:paraId="2CD4151E"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b/>
          <w:bCs/>
          <w:sz w:val="24"/>
          <w:szCs w:val="24"/>
        </w:rPr>
        <w:lastRenderedPageBreak/>
        <w:t>Mullen Scales of Early Learning (MSEL).</w:t>
      </w:r>
      <w:r w:rsidRPr="00924FEF">
        <w:rPr>
          <w:rFonts w:ascii="Times New Roman" w:hAnsi="Times New Roman" w:cs="Times New Roman"/>
          <w:sz w:val="24"/>
          <w:szCs w:val="24"/>
        </w:rPr>
        <w:t xml:space="preserve"> The Mullen Scales of Early Learning was incorporated as a covariate in models testing relationships between social motivation and ASD outcome. The MSEL is a standardized direct assessment of cognitive development normed for ages from birth to 68 months</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(Mullen, 1995), which includes subscales measuring major early abilities, including expressive and receptive language, gross and fine motor function, and visual reception. The MSEL also includes an Early Learning Composite (ELC), a standardized index of overall cognitive function.</w:t>
      </w:r>
    </w:p>
    <w:p w14:paraId="5F3AEE46" w14:textId="77777777" w:rsidR="005B4B0E" w:rsidRPr="00924FEF" w:rsidRDefault="005B4B0E" w:rsidP="005B4B0E">
      <w:pPr>
        <w:spacing w:after="0" w:line="480" w:lineRule="auto"/>
        <w:jc w:val="both"/>
        <w:rPr>
          <w:rFonts w:ascii="Times New Roman" w:hAnsi="Times New Roman" w:cs="Times New Roman"/>
          <w:b/>
          <w:bCs/>
          <w:i/>
          <w:iCs/>
          <w:sz w:val="24"/>
          <w:szCs w:val="24"/>
        </w:rPr>
      </w:pPr>
    </w:p>
    <w:p w14:paraId="72D3CD1E" w14:textId="77777777" w:rsidR="005B4B0E" w:rsidRPr="00924FEF" w:rsidRDefault="005B4B0E" w:rsidP="005B4B0E">
      <w:pPr>
        <w:spacing w:after="0" w:line="480" w:lineRule="auto"/>
        <w:jc w:val="both"/>
        <w:rPr>
          <w:rFonts w:ascii="Times New Roman" w:hAnsi="Times New Roman" w:cs="Times New Roman"/>
          <w:b/>
          <w:bCs/>
          <w:i/>
          <w:iCs/>
          <w:sz w:val="24"/>
          <w:szCs w:val="24"/>
        </w:rPr>
      </w:pPr>
      <w:r w:rsidRPr="00924FEF">
        <w:rPr>
          <w:rFonts w:ascii="Times New Roman" w:hAnsi="Times New Roman" w:cs="Times New Roman"/>
          <w:b/>
          <w:bCs/>
          <w:i/>
          <w:iCs/>
          <w:sz w:val="24"/>
          <w:szCs w:val="24"/>
        </w:rPr>
        <w:t>Statistical Analyses for Calculation of Cohen’s d in Hierarchical Linear Models</w:t>
      </w:r>
    </w:p>
    <w:p w14:paraId="4270E1FF" w14:textId="77777777" w:rsidR="005B4B0E" w:rsidRPr="00924FEF" w:rsidRDefault="005B4B0E" w:rsidP="005B4B0E">
      <w:pPr>
        <w:spacing w:after="0" w:line="480" w:lineRule="auto"/>
        <w:ind w:firstLine="720"/>
        <w:jc w:val="both"/>
        <w:rPr>
          <w:rFonts w:ascii="Times New Roman" w:hAnsi="Times New Roman" w:cs="Times New Roman"/>
          <w:sz w:val="24"/>
          <w:szCs w:val="24"/>
        </w:rPr>
      </w:pPr>
      <w:r w:rsidRPr="00924FEF">
        <w:rPr>
          <w:rFonts w:ascii="Times New Roman" w:hAnsi="Times New Roman" w:cs="Times New Roman"/>
          <w:sz w:val="24"/>
          <w:szCs w:val="24"/>
        </w:rPr>
        <w:t>To follow Cohen’s procedure for calculating effect size (Cohen’s d) from simpler statistical models</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 xml:space="preserve">(Cohen, 1988), we utilized the </w:t>
      </w:r>
      <w:proofErr w:type="spellStart"/>
      <w:r w:rsidRPr="00924FEF">
        <w:rPr>
          <w:rFonts w:ascii="Times New Roman" w:hAnsi="Times New Roman" w:cs="Times New Roman"/>
          <w:sz w:val="24"/>
          <w:szCs w:val="24"/>
        </w:rPr>
        <w:t>EMATools</w:t>
      </w:r>
      <w:proofErr w:type="spellEnd"/>
      <w:r w:rsidRPr="00924FEF">
        <w:rPr>
          <w:rFonts w:ascii="Times New Roman" w:hAnsi="Times New Roman" w:cs="Times New Roman"/>
          <w:sz w:val="24"/>
          <w:szCs w:val="24"/>
        </w:rPr>
        <w:t xml:space="preserve"> package in R</w:t>
      </w:r>
      <w:r w:rsidRPr="00924FEF">
        <w:rPr>
          <w:rFonts w:ascii="Times New Roman" w:hAnsi="Times New Roman" w:cs="Times New Roman"/>
          <w:sz w:val="24"/>
          <w:szCs w:val="24"/>
          <w:vertAlign w:val="superscript"/>
        </w:rPr>
        <w:t xml:space="preserve"> </w:t>
      </w:r>
      <w:r w:rsidRPr="00924FEF">
        <w:rPr>
          <w:rFonts w:ascii="Times New Roman" w:hAnsi="Times New Roman" w:cs="Times New Roman"/>
          <w:sz w:val="24"/>
          <w:szCs w:val="24"/>
        </w:rPr>
        <w:t xml:space="preserve">(Kleiman, 2019) that calculates d according to the following equation: d = estimate for fixed effect / (square root of sum of variances of random effects). </w:t>
      </w:r>
    </w:p>
    <w:p w14:paraId="7F9AD544" w14:textId="77777777" w:rsidR="005B4B0E" w:rsidRPr="00924FEF" w:rsidRDefault="005B4B0E" w:rsidP="005B4B0E">
      <w:pPr>
        <w:spacing w:after="0" w:line="480" w:lineRule="auto"/>
        <w:jc w:val="both"/>
        <w:rPr>
          <w:rFonts w:ascii="Times New Roman" w:hAnsi="Times New Roman" w:cs="Times New Roman"/>
          <w:b/>
          <w:bCs/>
          <w:i/>
          <w:iCs/>
          <w:sz w:val="24"/>
          <w:szCs w:val="24"/>
        </w:rPr>
      </w:pPr>
      <w:r w:rsidRPr="00924FEF">
        <w:rPr>
          <w:rFonts w:ascii="Times New Roman" w:hAnsi="Times New Roman" w:cs="Times New Roman"/>
          <w:b/>
          <w:bCs/>
          <w:i/>
          <w:iCs/>
          <w:sz w:val="24"/>
          <w:szCs w:val="24"/>
        </w:rPr>
        <w:t>Multiple Imputation</w:t>
      </w:r>
    </w:p>
    <w:p w14:paraId="71F4858A" w14:textId="77777777" w:rsidR="005B4B0E" w:rsidRPr="00924FEF" w:rsidRDefault="005B4B0E" w:rsidP="005B4B0E">
      <w:pPr>
        <w:spacing w:after="0" w:line="480" w:lineRule="auto"/>
        <w:ind w:firstLine="720"/>
        <w:jc w:val="both"/>
        <w:rPr>
          <w:rFonts w:ascii="Times New Roman" w:hAnsi="Times New Roman" w:cs="Times New Roman"/>
          <w:sz w:val="24"/>
          <w:szCs w:val="24"/>
        </w:rPr>
      </w:pPr>
      <w:r w:rsidRPr="00924FEF">
        <w:rPr>
          <w:rFonts w:ascii="Times New Roman" w:hAnsi="Times New Roman" w:cs="Times New Roman"/>
          <w:sz w:val="24"/>
          <w:szCs w:val="24"/>
        </w:rPr>
        <w:t>To assess for potential biases from missing data, primary statistical models testing relationships between social motivation and ASD diagnosis were re-run following multiple imputation (Rubin, 1996; Enders, 2007), a robust approach even when a large proportion of data is missing (</w:t>
      </w:r>
      <w:proofErr w:type="spellStart"/>
      <w:r w:rsidRPr="00924FEF">
        <w:rPr>
          <w:rFonts w:ascii="Times New Roman" w:hAnsi="Times New Roman" w:cs="Times New Roman"/>
          <w:sz w:val="24"/>
          <w:szCs w:val="24"/>
        </w:rPr>
        <w:t>Madley</w:t>
      </w:r>
      <w:proofErr w:type="spellEnd"/>
      <w:r w:rsidRPr="00924FEF">
        <w:rPr>
          <w:rFonts w:ascii="Times New Roman" w:hAnsi="Times New Roman" w:cs="Times New Roman"/>
          <w:sz w:val="24"/>
          <w:szCs w:val="24"/>
        </w:rPr>
        <w:t xml:space="preserve">-Dowd, et al., 2019).  Multiple imputation was performed on SPSS version 28 via fully conditional specification (Lee and Carlin, 2010; Van </w:t>
      </w:r>
      <w:proofErr w:type="spellStart"/>
      <w:r w:rsidRPr="00924FEF">
        <w:rPr>
          <w:rFonts w:ascii="Times New Roman" w:hAnsi="Times New Roman" w:cs="Times New Roman"/>
          <w:sz w:val="24"/>
          <w:szCs w:val="24"/>
        </w:rPr>
        <w:t>Buuren</w:t>
      </w:r>
      <w:proofErr w:type="spellEnd"/>
      <w:r w:rsidRPr="00924FEF">
        <w:rPr>
          <w:rFonts w:ascii="Times New Roman" w:hAnsi="Times New Roman" w:cs="Times New Roman"/>
          <w:sz w:val="24"/>
          <w:szCs w:val="24"/>
        </w:rPr>
        <w:t xml:space="preserve"> et al., 2006) at the default setting of 10 iterations. This method fits a univariate model using all other available variables in the model as predictors and replaces missing values following the creation of multiple complete data sets using a Markov Chain Monte Carlo and expectation maximization method. Social motivation scores were estimated using predictive mean matching, and auxiliary variables of sex, </w:t>
      </w:r>
      <w:r w:rsidRPr="00924FEF">
        <w:rPr>
          <w:rFonts w:ascii="Times New Roman" w:hAnsi="Times New Roman" w:cs="Times New Roman"/>
          <w:sz w:val="24"/>
          <w:szCs w:val="24"/>
        </w:rPr>
        <w:lastRenderedPageBreak/>
        <w:t>diagnosis, and cognitive development, as indexed by the ELC on the Mullen Scales of Early Learning, were included as predictors in the imputation model (</w:t>
      </w:r>
      <w:proofErr w:type="spellStart"/>
      <w:r w:rsidRPr="00924FEF">
        <w:rPr>
          <w:rFonts w:ascii="Times New Roman" w:hAnsi="Times New Roman" w:cs="Times New Roman"/>
          <w:sz w:val="24"/>
          <w:szCs w:val="24"/>
        </w:rPr>
        <w:t>Yoo</w:t>
      </w:r>
      <w:proofErr w:type="spellEnd"/>
      <w:r w:rsidRPr="00924FEF">
        <w:rPr>
          <w:rFonts w:ascii="Times New Roman" w:hAnsi="Times New Roman" w:cs="Times New Roman"/>
          <w:sz w:val="24"/>
          <w:szCs w:val="24"/>
        </w:rPr>
        <w:t>, 2009). Data were assumed to be missing at random, meaning missingness could be fully explained by other observed variables. The percentage of missing SMI scores among participants with a score for ≥ 1 time point were as follows: 6 months, 41%; 12 months, 44%; 24 months, 25%; and 24-month change scores: 46%. Each of the 10 imputed datasets were analyzed separately, followed by pooling of estimates and adjustments of confidence intervals (Barnard &amp; Rubin, 1999).</w:t>
      </w:r>
    </w:p>
    <w:p w14:paraId="4CB3F871" w14:textId="77777777" w:rsidR="005B4B0E" w:rsidRPr="00924FEF" w:rsidRDefault="005B4B0E" w:rsidP="005B4B0E">
      <w:pPr>
        <w:spacing w:after="0" w:line="480" w:lineRule="auto"/>
        <w:jc w:val="both"/>
        <w:rPr>
          <w:rFonts w:ascii="Times New Roman" w:hAnsi="Times New Roman" w:cs="Times New Roman"/>
          <w:b/>
          <w:bCs/>
          <w:i/>
          <w:iCs/>
          <w:sz w:val="24"/>
          <w:szCs w:val="24"/>
        </w:rPr>
      </w:pPr>
      <w:r w:rsidRPr="00924FEF">
        <w:rPr>
          <w:rFonts w:ascii="Times New Roman" w:hAnsi="Times New Roman" w:cs="Times New Roman"/>
          <w:b/>
          <w:bCs/>
          <w:i/>
          <w:iCs/>
          <w:sz w:val="24"/>
          <w:szCs w:val="24"/>
        </w:rPr>
        <w:t>Exploratory Factor Analysis (EFA)</w:t>
      </w:r>
    </w:p>
    <w:p w14:paraId="2F4EE3E3" w14:textId="77777777" w:rsidR="005B4B0E" w:rsidRPr="00924FEF" w:rsidRDefault="005B4B0E" w:rsidP="005B4B0E">
      <w:pPr>
        <w:spacing w:after="0" w:line="480" w:lineRule="auto"/>
        <w:ind w:firstLine="360"/>
        <w:rPr>
          <w:rFonts w:ascii="Times New Roman" w:hAnsi="Times New Roman" w:cs="Times New Roman"/>
          <w:sz w:val="24"/>
          <w:szCs w:val="24"/>
        </w:rPr>
      </w:pPr>
      <w:r w:rsidRPr="00924FEF">
        <w:rPr>
          <w:rFonts w:ascii="Times New Roman" w:hAnsi="Times New Roman" w:cs="Times New Roman"/>
          <w:sz w:val="24"/>
          <w:szCs w:val="24"/>
        </w:rPr>
        <w:t>To test the hypothesis that social motivation items across 6, 12, and 24 months loaded onto a single factor, we conducted an EFA using principal axis factoring. Included participants (n=114) had complete item level data for the 78 items queried at all three time points. Because our sample size did not meet a commonly recommended ratio for number of participants to items for EFA, previously noted as 10:1 (</w:t>
      </w:r>
      <w:proofErr w:type="spellStart"/>
      <w:r w:rsidRPr="00924FEF">
        <w:rPr>
          <w:rFonts w:ascii="Times New Roman" w:hAnsi="Times New Roman" w:cs="Times New Roman"/>
          <w:sz w:val="24"/>
          <w:szCs w:val="24"/>
        </w:rPr>
        <w:t>Kunce</w:t>
      </w:r>
      <w:proofErr w:type="spellEnd"/>
      <w:r w:rsidRPr="00924FEF">
        <w:rPr>
          <w:rFonts w:ascii="Times New Roman" w:hAnsi="Times New Roman" w:cs="Times New Roman"/>
          <w:sz w:val="24"/>
          <w:szCs w:val="24"/>
        </w:rPr>
        <w:t xml:space="preserve">, Cook, &amp; Miller, 1975), we used a parcellation strategy, an established approach in measurement modeling (Stucky, Gottfredson, &amp; </w:t>
      </w:r>
      <w:proofErr w:type="spellStart"/>
      <w:r w:rsidRPr="00924FEF">
        <w:rPr>
          <w:rFonts w:ascii="Times New Roman" w:hAnsi="Times New Roman" w:cs="Times New Roman"/>
          <w:sz w:val="24"/>
          <w:szCs w:val="24"/>
        </w:rPr>
        <w:t>Panter</w:t>
      </w:r>
      <w:proofErr w:type="spellEnd"/>
      <w:r w:rsidRPr="00924FEF">
        <w:rPr>
          <w:rFonts w:ascii="Times New Roman" w:hAnsi="Times New Roman" w:cs="Times New Roman"/>
          <w:sz w:val="24"/>
          <w:szCs w:val="24"/>
        </w:rPr>
        <w:t xml:space="preserve">, 2012), to consolidate the number of items into 10 composite item indicators. While parcellation approaches do not quantify loadings for each individual item, they have been shown to increase the ratio of common to unique variance across items and to reduce random measurement error (Matsunaga, 2008). </w:t>
      </w:r>
    </w:p>
    <w:p w14:paraId="00895755" w14:textId="77777777" w:rsidR="005B4B0E" w:rsidRPr="00924FEF" w:rsidRDefault="005B4B0E" w:rsidP="005B4B0E">
      <w:pPr>
        <w:spacing w:after="0" w:line="480" w:lineRule="auto"/>
        <w:ind w:firstLine="360"/>
        <w:rPr>
          <w:rFonts w:ascii="Times New Roman" w:hAnsi="Times New Roman" w:cs="Times New Roman"/>
          <w:sz w:val="24"/>
          <w:szCs w:val="24"/>
        </w:rPr>
      </w:pPr>
      <w:r w:rsidRPr="00924FEF">
        <w:rPr>
          <w:rFonts w:ascii="Times New Roman" w:hAnsi="Times New Roman" w:cs="Times New Roman"/>
          <w:sz w:val="24"/>
          <w:szCs w:val="24"/>
        </w:rPr>
        <w:t xml:space="preserve">Using an </w:t>
      </w:r>
      <w:r w:rsidRPr="00924FEF">
        <w:rPr>
          <w:rFonts w:ascii="Times New Roman" w:hAnsi="Times New Roman" w:cs="Times New Roman"/>
          <w:i/>
          <w:iCs/>
          <w:sz w:val="24"/>
          <w:szCs w:val="24"/>
        </w:rPr>
        <w:t>a priori</w:t>
      </w:r>
      <w:r w:rsidRPr="00924FEF">
        <w:rPr>
          <w:rFonts w:ascii="Times New Roman" w:hAnsi="Times New Roman" w:cs="Times New Roman"/>
          <w:sz w:val="24"/>
          <w:szCs w:val="24"/>
        </w:rPr>
        <w:t xml:space="preserve"> distributive item selection strategy, ten parcels were generated to include a balanced proportion of instrument type and assessment time point. Items queried at multiple time points were also distributed across parcels. An </w:t>
      </w:r>
      <w:proofErr w:type="spellStart"/>
      <w:r w:rsidRPr="00924FEF">
        <w:rPr>
          <w:rFonts w:ascii="Times New Roman" w:hAnsi="Times New Roman" w:cs="Times New Roman"/>
          <w:sz w:val="24"/>
          <w:szCs w:val="24"/>
        </w:rPr>
        <w:t>oblimin</w:t>
      </w:r>
      <w:proofErr w:type="spellEnd"/>
      <w:r w:rsidRPr="00924FEF">
        <w:rPr>
          <w:rFonts w:ascii="Times New Roman" w:hAnsi="Times New Roman" w:cs="Times New Roman"/>
          <w:sz w:val="24"/>
          <w:szCs w:val="24"/>
        </w:rPr>
        <w:t xml:space="preserve"> rotation was run in SPSS to allow exploration of the possibility of more than one correlated factor, which has previously been observed across social behaviors related to ASD (Frazier et al., 2014). </w:t>
      </w:r>
    </w:p>
    <w:p w14:paraId="2FE7FF84" w14:textId="77777777" w:rsidR="005B4B0E" w:rsidRPr="00924FEF" w:rsidRDefault="005B4B0E" w:rsidP="005B4B0E">
      <w:pPr>
        <w:spacing w:after="0" w:line="480" w:lineRule="auto"/>
        <w:ind w:firstLine="360"/>
        <w:rPr>
          <w:rFonts w:ascii="Times New Roman" w:hAnsi="Times New Roman" w:cs="Times New Roman"/>
          <w:sz w:val="24"/>
          <w:szCs w:val="24"/>
        </w:rPr>
      </w:pPr>
      <w:r w:rsidRPr="00924FEF">
        <w:rPr>
          <w:rFonts w:ascii="Times New Roman" w:hAnsi="Times New Roman" w:cs="Times New Roman"/>
          <w:sz w:val="24"/>
          <w:szCs w:val="24"/>
        </w:rPr>
        <w:lastRenderedPageBreak/>
        <w:t xml:space="preserve">The planned approach for evaluating candidate factor solutions was to first prioritize factors occurring above inflection(s) in the scree plot with eigenvalues ≥ 1, as per the Kaiser criterion of factor retention.  Factors were then to be reviewed for interpretability; in the case of factor solutions with poor interpretability, a third step planned step was to constrain the solution to a single factor. Item loadings ≥ 0.3 were considered to make substantive contributions to factor variance. </w:t>
      </w:r>
    </w:p>
    <w:p w14:paraId="7242482A" w14:textId="77777777" w:rsidR="005B4B0E" w:rsidRPr="00924FEF" w:rsidRDefault="005B4B0E" w:rsidP="005B4B0E">
      <w:pPr>
        <w:spacing w:after="0" w:line="480" w:lineRule="auto"/>
        <w:rPr>
          <w:rFonts w:ascii="Times New Roman" w:hAnsi="Times New Roman" w:cs="Times New Roman"/>
          <w:b/>
          <w:bCs/>
          <w:i/>
          <w:iCs/>
          <w:sz w:val="24"/>
          <w:szCs w:val="24"/>
        </w:rPr>
      </w:pPr>
      <w:r w:rsidRPr="00924FEF">
        <w:rPr>
          <w:rFonts w:ascii="Times New Roman" w:hAnsi="Times New Roman" w:cs="Times New Roman"/>
          <w:b/>
          <w:bCs/>
          <w:i/>
          <w:iCs/>
          <w:sz w:val="24"/>
          <w:szCs w:val="24"/>
        </w:rPr>
        <w:t>Confirmatory Factor Analysis (CFA)</w:t>
      </w:r>
    </w:p>
    <w:p w14:paraId="73D75719" w14:textId="77777777" w:rsidR="005B4B0E" w:rsidRPr="00924FEF" w:rsidRDefault="005B4B0E" w:rsidP="005B4B0E">
      <w:pPr>
        <w:spacing w:after="0" w:line="480" w:lineRule="auto"/>
        <w:ind w:firstLine="720"/>
        <w:jc w:val="both"/>
        <w:rPr>
          <w:rFonts w:ascii="Times New Roman" w:hAnsi="Times New Roman" w:cs="Times New Roman"/>
          <w:sz w:val="24"/>
          <w:szCs w:val="24"/>
        </w:rPr>
      </w:pPr>
      <w:r w:rsidRPr="00924FEF">
        <w:rPr>
          <w:rFonts w:ascii="Times New Roman" w:eastAsia="Times New Roman" w:hAnsi="Times New Roman" w:cs="Times New Roman"/>
          <w:color w:val="000000"/>
          <w:sz w:val="24"/>
          <w:szCs w:val="24"/>
        </w:rPr>
        <w:t xml:space="preserve">A CFA using a maximum likelihood estimator was also performed using the </w:t>
      </w:r>
      <w:proofErr w:type="spellStart"/>
      <w:r w:rsidRPr="00924FEF">
        <w:rPr>
          <w:rFonts w:ascii="Times New Roman" w:eastAsia="Times New Roman" w:hAnsi="Times New Roman" w:cs="Times New Roman"/>
          <w:color w:val="000000"/>
          <w:sz w:val="24"/>
          <w:szCs w:val="24"/>
        </w:rPr>
        <w:t>cfa</w:t>
      </w:r>
      <w:proofErr w:type="spellEnd"/>
      <w:r w:rsidRPr="00924FEF">
        <w:rPr>
          <w:rFonts w:ascii="Times New Roman" w:eastAsia="Times New Roman" w:hAnsi="Times New Roman" w:cs="Times New Roman"/>
          <w:color w:val="000000"/>
          <w:sz w:val="24"/>
          <w:szCs w:val="24"/>
        </w:rPr>
        <w:t xml:space="preserve"> function in R within the </w:t>
      </w:r>
      <w:proofErr w:type="spellStart"/>
      <w:r w:rsidRPr="00924FEF">
        <w:rPr>
          <w:rFonts w:ascii="Times New Roman" w:eastAsia="Times New Roman" w:hAnsi="Times New Roman" w:cs="Times New Roman"/>
          <w:color w:val="000000"/>
          <w:sz w:val="24"/>
          <w:szCs w:val="24"/>
        </w:rPr>
        <w:t>lavaan</w:t>
      </w:r>
      <w:proofErr w:type="spellEnd"/>
      <w:r w:rsidRPr="00924FEF">
        <w:rPr>
          <w:rFonts w:ascii="Times New Roman" w:eastAsia="Times New Roman" w:hAnsi="Times New Roman" w:cs="Times New Roman"/>
          <w:color w:val="000000"/>
          <w:sz w:val="24"/>
          <w:szCs w:val="24"/>
        </w:rPr>
        <w:t xml:space="preserve"> package (</w:t>
      </w:r>
      <w:proofErr w:type="spellStart"/>
      <w:r w:rsidRPr="00924FEF">
        <w:rPr>
          <w:rFonts w:ascii="Times New Roman" w:eastAsia="Times New Roman" w:hAnsi="Times New Roman" w:cs="Times New Roman"/>
          <w:color w:val="000000"/>
          <w:sz w:val="24"/>
          <w:szCs w:val="24"/>
        </w:rPr>
        <w:t>Rosseel</w:t>
      </w:r>
      <w:proofErr w:type="spellEnd"/>
      <w:r w:rsidRPr="00924FEF">
        <w:rPr>
          <w:rFonts w:ascii="Times New Roman" w:eastAsia="Times New Roman" w:hAnsi="Times New Roman" w:cs="Times New Roman"/>
          <w:color w:val="000000"/>
          <w:sz w:val="24"/>
          <w:szCs w:val="24"/>
        </w:rPr>
        <w:t xml:space="preserve">, 2012) to evaluate fit indices for a unitary factor structure. Full information maximum likelihood estimation was applied to allow inclusion of data from participants who had missing scores for some parcels but not others. Fit indices included the Comparative Fit Index (CFI), Tucker Lewis Index (TLI), Root Mean Square Error of Approximation (RMSEA), and Standardized Root Mean Square Residual (SRMR). Per common guidelines, thresholds for good fit were CFI and TLI ≥ 0.95 and RMSEA ≤ 0.05 and SRMR ≤ 0.08 (Hu and </w:t>
      </w:r>
      <w:proofErr w:type="spellStart"/>
      <w:r w:rsidRPr="00924FEF">
        <w:rPr>
          <w:rFonts w:ascii="Times New Roman" w:eastAsia="Times New Roman" w:hAnsi="Times New Roman" w:cs="Times New Roman"/>
          <w:color w:val="000000"/>
          <w:sz w:val="24"/>
          <w:szCs w:val="24"/>
        </w:rPr>
        <w:t>Bentler</w:t>
      </w:r>
      <w:proofErr w:type="spellEnd"/>
      <w:r w:rsidRPr="00924FEF">
        <w:rPr>
          <w:rFonts w:ascii="Times New Roman" w:eastAsia="Times New Roman" w:hAnsi="Times New Roman" w:cs="Times New Roman"/>
          <w:color w:val="000000"/>
          <w:sz w:val="24"/>
          <w:szCs w:val="24"/>
        </w:rPr>
        <w:t xml:space="preserve">, 1999) and for acceptable fit, CFI and TLI ≥ 0.90 and RMSEA &lt; 0.08 (Browne &amp; </w:t>
      </w:r>
      <w:proofErr w:type="spellStart"/>
      <w:r w:rsidRPr="00924FEF">
        <w:rPr>
          <w:rFonts w:ascii="Times New Roman" w:eastAsia="Times New Roman" w:hAnsi="Times New Roman" w:cs="Times New Roman"/>
          <w:color w:val="000000"/>
          <w:sz w:val="24"/>
          <w:szCs w:val="24"/>
        </w:rPr>
        <w:t>Crudeck</w:t>
      </w:r>
      <w:proofErr w:type="spellEnd"/>
      <w:r w:rsidRPr="00924FEF">
        <w:rPr>
          <w:rFonts w:ascii="Times New Roman" w:eastAsia="Times New Roman" w:hAnsi="Times New Roman" w:cs="Times New Roman"/>
          <w:color w:val="000000"/>
          <w:sz w:val="24"/>
          <w:szCs w:val="24"/>
        </w:rPr>
        <w:t>, 1993).</w:t>
      </w:r>
    </w:p>
    <w:p w14:paraId="2735489A" w14:textId="77777777" w:rsidR="005B4B0E" w:rsidRPr="00924FEF" w:rsidRDefault="005B4B0E" w:rsidP="005B4B0E">
      <w:pPr>
        <w:spacing w:after="0" w:line="480" w:lineRule="auto"/>
        <w:jc w:val="both"/>
        <w:rPr>
          <w:rFonts w:ascii="Times New Roman" w:hAnsi="Times New Roman" w:cs="Times New Roman"/>
          <w:b/>
          <w:bCs/>
          <w:sz w:val="24"/>
          <w:szCs w:val="24"/>
        </w:rPr>
      </w:pPr>
    </w:p>
    <w:p w14:paraId="422F12CA" w14:textId="77777777" w:rsidR="005B4B0E" w:rsidRPr="00924FEF" w:rsidRDefault="005B4B0E" w:rsidP="005B4B0E">
      <w:pPr>
        <w:spacing w:after="0" w:line="480" w:lineRule="auto"/>
        <w:jc w:val="both"/>
        <w:rPr>
          <w:rFonts w:ascii="Times New Roman" w:hAnsi="Times New Roman" w:cs="Times New Roman"/>
          <w:b/>
          <w:bCs/>
          <w:sz w:val="24"/>
          <w:szCs w:val="24"/>
        </w:rPr>
      </w:pPr>
      <w:r w:rsidRPr="00924FEF">
        <w:rPr>
          <w:rFonts w:ascii="Times New Roman" w:hAnsi="Times New Roman" w:cs="Times New Roman"/>
          <w:b/>
          <w:bCs/>
          <w:sz w:val="24"/>
          <w:szCs w:val="24"/>
        </w:rPr>
        <w:t>Results</w:t>
      </w:r>
    </w:p>
    <w:p w14:paraId="22F096DE" w14:textId="77777777" w:rsidR="005B4B0E" w:rsidRPr="00924FEF" w:rsidRDefault="005B4B0E" w:rsidP="005B4B0E">
      <w:pPr>
        <w:spacing w:after="0" w:line="480" w:lineRule="auto"/>
        <w:jc w:val="both"/>
        <w:rPr>
          <w:rFonts w:ascii="Times New Roman" w:hAnsi="Times New Roman" w:cs="Times New Roman"/>
          <w:b/>
          <w:bCs/>
          <w:i/>
          <w:iCs/>
          <w:sz w:val="24"/>
          <w:szCs w:val="24"/>
        </w:rPr>
      </w:pPr>
      <w:r w:rsidRPr="00924FEF">
        <w:rPr>
          <w:rFonts w:ascii="Times New Roman" w:hAnsi="Times New Roman" w:cs="Times New Roman"/>
          <w:b/>
          <w:bCs/>
          <w:i/>
          <w:iCs/>
          <w:sz w:val="24"/>
          <w:szCs w:val="24"/>
        </w:rPr>
        <w:t>Participant Characteristics</w:t>
      </w:r>
    </w:p>
    <w:p w14:paraId="02D88111"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sz w:val="24"/>
          <w:szCs w:val="24"/>
        </w:rPr>
        <w:t>No significant differences in proportions of males and females (ꭓ</w:t>
      </w:r>
      <w:r w:rsidRPr="00924FEF">
        <w:rPr>
          <w:rFonts w:ascii="Times New Roman" w:hAnsi="Times New Roman" w:cs="Times New Roman"/>
          <w:sz w:val="24"/>
          <w:szCs w:val="24"/>
          <w:vertAlign w:val="superscript"/>
        </w:rPr>
        <w:t>2</w:t>
      </w:r>
      <w:r w:rsidRPr="00924FEF">
        <w:rPr>
          <w:rFonts w:ascii="Times New Roman" w:hAnsi="Times New Roman" w:cs="Times New Roman"/>
          <w:sz w:val="24"/>
          <w:szCs w:val="24"/>
        </w:rPr>
        <w:t>(</w:t>
      </w:r>
      <w:proofErr w:type="gramStart"/>
      <w:r w:rsidRPr="00924FEF">
        <w:rPr>
          <w:rFonts w:ascii="Times New Roman" w:hAnsi="Times New Roman" w:cs="Times New Roman"/>
          <w:sz w:val="24"/>
          <w:szCs w:val="24"/>
        </w:rPr>
        <w:t>2)=</w:t>
      </w:r>
      <w:proofErr w:type="gramEnd"/>
      <w:r w:rsidRPr="00924FEF">
        <w:rPr>
          <w:rFonts w:ascii="Times New Roman" w:hAnsi="Times New Roman" w:cs="Times New Roman"/>
          <w:sz w:val="24"/>
          <w:szCs w:val="24"/>
        </w:rPr>
        <w:t xml:space="preserve">1.23, </w:t>
      </w:r>
      <w:r w:rsidRPr="00924FEF">
        <w:rPr>
          <w:rFonts w:ascii="Times New Roman" w:hAnsi="Times New Roman" w:cs="Times New Roman"/>
          <w:i/>
          <w:iCs/>
          <w:sz w:val="24"/>
          <w:szCs w:val="24"/>
        </w:rPr>
        <w:t>p</w:t>
      </w:r>
      <w:r w:rsidRPr="00924FEF">
        <w:rPr>
          <w:rFonts w:ascii="Times New Roman" w:hAnsi="Times New Roman" w:cs="Times New Roman"/>
          <w:sz w:val="24"/>
          <w:szCs w:val="24"/>
        </w:rPr>
        <w:t>=.54), ASD diagnosis (ꭓ</w:t>
      </w:r>
      <w:r w:rsidRPr="00924FEF">
        <w:rPr>
          <w:rFonts w:ascii="Times New Roman" w:hAnsi="Times New Roman" w:cs="Times New Roman"/>
          <w:sz w:val="24"/>
          <w:szCs w:val="24"/>
          <w:vertAlign w:val="superscript"/>
        </w:rPr>
        <w:t>2</w:t>
      </w:r>
      <w:r w:rsidRPr="00924FEF">
        <w:rPr>
          <w:rFonts w:ascii="Times New Roman" w:hAnsi="Times New Roman" w:cs="Times New Roman"/>
          <w:sz w:val="24"/>
          <w:szCs w:val="24"/>
        </w:rPr>
        <w:t xml:space="preserve">(2)=0.35, </w:t>
      </w:r>
      <w:r w:rsidRPr="00924FEF">
        <w:rPr>
          <w:rFonts w:ascii="Times New Roman" w:hAnsi="Times New Roman" w:cs="Times New Roman"/>
          <w:i/>
          <w:iCs/>
          <w:sz w:val="24"/>
          <w:szCs w:val="24"/>
        </w:rPr>
        <w:t>p</w:t>
      </w:r>
      <w:r w:rsidRPr="00924FEF">
        <w:rPr>
          <w:rFonts w:ascii="Times New Roman" w:hAnsi="Times New Roman" w:cs="Times New Roman"/>
          <w:sz w:val="24"/>
          <w:szCs w:val="24"/>
        </w:rPr>
        <w:t>=.84), and racial (ꭓ</w:t>
      </w:r>
      <w:r w:rsidRPr="00924FEF">
        <w:rPr>
          <w:rFonts w:ascii="Times New Roman" w:hAnsi="Times New Roman" w:cs="Times New Roman"/>
          <w:sz w:val="24"/>
          <w:szCs w:val="24"/>
          <w:vertAlign w:val="superscript"/>
        </w:rPr>
        <w:t>2</w:t>
      </w:r>
      <w:r w:rsidRPr="00924FEF">
        <w:rPr>
          <w:rFonts w:ascii="Times New Roman" w:hAnsi="Times New Roman" w:cs="Times New Roman"/>
          <w:sz w:val="24"/>
          <w:szCs w:val="24"/>
        </w:rPr>
        <w:t xml:space="preserve">(6)=5.32, </w:t>
      </w:r>
      <w:r w:rsidRPr="00924FEF">
        <w:rPr>
          <w:rFonts w:ascii="Times New Roman" w:hAnsi="Times New Roman" w:cs="Times New Roman"/>
          <w:i/>
          <w:iCs/>
          <w:sz w:val="24"/>
          <w:szCs w:val="24"/>
        </w:rPr>
        <w:t>p</w:t>
      </w:r>
      <w:r w:rsidRPr="00924FEF">
        <w:rPr>
          <w:rFonts w:ascii="Times New Roman" w:hAnsi="Times New Roman" w:cs="Times New Roman"/>
          <w:sz w:val="24"/>
          <w:szCs w:val="24"/>
        </w:rPr>
        <w:t>=.50) and ethnic composition (ꭓ</w:t>
      </w:r>
      <w:r w:rsidRPr="00924FEF">
        <w:rPr>
          <w:rFonts w:ascii="Times New Roman" w:hAnsi="Times New Roman" w:cs="Times New Roman"/>
          <w:sz w:val="24"/>
          <w:szCs w:val="24"/>
          <w:vertAlign w:val="superscript"/>
        </w:rPr>
        <w:t>2</w:t>
      </w:r>
      <w:r w:rsidRPr="00924FEF">
        <w:rPr>
          <w:rFonts w:ascii="Times New Roman" w:hAnsi="Times New Roman" w:cs="Times New Roman"/>
          <w:sz w:val="24"/>
          <w:szCs w:val="24"/>
        </w:rPr>
        <w:t xml:space="preserve">(2)=0.35, </w:t>
      </w:r>
      <w:r w:rsidRPr="00924FEF">
        <w:rPr>
          <w:rFonts w:ascii="Times New Roman" w:hAnsi="Times New Roman" w:cs="Times New Roman"/>
          <w:i/>
          <w:iCs/>
          <w:sz w:val="24"/>
          <w:szCs w:val="24"/>
        </w:rPr>
        <w:t>p</w:t>
      </w:r>
      <w:r w:rsidRPr="00924FEF">
        <w:rPr>
          <w:rFonts w:ascii="Times New Roman" w:hAnsi="Times New Roman" w:cs="Times New Roman"/>
          <w:sz w:val="24"/>
          <w:szCs w:val="24"/>
        </w:rPr>
        <w:t xml:space="preserve">=.84) were observed across age groups. Mean Mullen ELC scores, indicating overall cognitive </w:t>
      </w:r>
      <w:r w:rsidRPr="00924FEF">
        <w:rPr>
          <w:rFonts w:ascii="Times New Roman" w:hAnsi="Times New Roman" w:cs="Times New Roman"/>
          <w:sz w:val="24"/>
          <w:szCs w:val="24"/>
        </w:rPr>
        <w:lastRenderedPageBreak/>
        <w:t>development, were close to the normed mean of 100 and did not differ across age (</w:t>
      </w:r>
      <w:proofErr w:type="gramStart"/>
      <w:r w:rsidRPr="00924FEF">
        <w:rPr>
          <w:rFonts w:ascii="Times New Roman" w:hAnsi="Times New Roman" w:cs="Times New Roman"/>
          <w:sz w:val="24"/>
          <w:szCs w:val="24"/>
        </w:rPr>
        <w:t>F</w:t>
      </w:r>
      <w:r w:rsidRPr="00924FEF">
        <w:rPr>
          <w:rFonts w:ascii="Times New Roman" w:hAnsi="Times New Roman" w:cs="Times New Roman"/>
          <w:sz w:val="24"/>
          <w:szCs w:val="24"/>
          <w:vertAlign w:val="subscript"/>
        </w:rPr>
        <w:t>ELC</w:t>
      </w:r>
      <w:r w:rsidRPr="00924FEF">
        <w:rPr>
          <w:rFonts w:ascii="Times New Roman" w:hAnsi="Times New Roman" w:cs="Times New Roman"/>
          <w:sz w:val="24"/>
          <w:szCs w:val="24"/>
        </w:rPr>
        <w:t>(</w:t>
      </w:r>
      <w:proofErr w:type="gramEnd"/>
      <w:r w:rsidRPr="00924FEF">
        <w:rPr>
          <w:rFonts w:ascii="Times New Roman" w:hAnsi="Times New Roman" w:cs="Times New Roman"/>
          <w:sz w:val="24"/>
          <w:szCs w:val="24"/>
        </w:rPr>
        <w:t xml:space="preserve">2,1072)=1.64, </w:t>
      </w:r>
      <w:r w:rsidRPr="00924FEF">
        <w:rPr>
          <w:rFonts w:ascii="Times New Roman" w:hAnsi="Times New Roman" w:cs="Times New Roman"/>
          <w:i/>
          <w:iCs/>
          <w:sz w:val="24"/>
          <w:szCs w:val="24"/>
        </w:rPr>
        <w:t>p</w:t>
      </w:r>
      <w:r w:rsidRPr="00924FEF">
        <w:rPr>
          <w:rFonts w:ascii="Times New Roman" w:hAnsi="Times New Roman" w:cs="Times New Roman"/>
          <w:sz w:val="24"/>
          <w:szCs w:val="24"/>
        </w:rPr>
        <w:t>=.19).</w:t>
      </w:r>
    </w:p>
    <w:p w14:paraId="46DC286A" w14:textId="77777777" w:rsidR="005B4B0E" w:rsidRPr="00924FEF" w:rsidRDefault="005B4B0E" w:rsidP="005B4B0E">
      <w:pPr>
        <w:spacing w:after="0" w:line="480" w:lineRule="auto"/>
        <w:jc w:val="both"/>
        <w:rPr>
          <w:rStyle w:val="Hyperlink"/>
          <w:rFonts w:ascii="Times New Roman" w:hAnsi="Times New Roman" w:cs="Times New Roman"/>
          <w:b/>
          <w:bCs/>
          <w:i/>
          <w:iCs/>
          <w:sz w:val="24"/>
          <w:szCs w:val="24"/>
        </w:rPr>
      </w:pPr>
      <w:r w:rsidRPr="00924FEF">
        <w:rPr>
          <w:rStyle w:val="Hyperlink"/>
          <w:rFonts w:ascii="Times New Roman" w:hAnsi="Times New Roman" w:cs="Times New Roman"/>
          <w:b/>
          <w:bCs/>
          <w:i/>
          <w:iCs/>
          <w:sz w:val="24"/>
          <w:szCs w:val="24"/>
        </w:rPr>
        <w:t>Measurement Properties of the Social Motivation Index</w:t>
      </w:r>
    </w:p>
    <w:p w14:paraId="0707500B" w14:textId="77777777" w:rsidR="005B4B0E" w:rsidRPr="00924FEF" w:rsidRDefault="005B4B0E" w:rsidP="005B4B0E">
      <w:pPr>
        <w:spacing w:after="0" w:line="480" w:lineRule="auto"/>
        <w:ind w:firstLine="720"/>
        <w:jc w:val="both"/>
        <w:rPr>
          <w:rFonts w:ascii="Times New Roman" w:hAnsi="Times New Roman" w:cs="Times New Roman"/>
          <w:sz w:val="24"/>
          <w:szCs w:val="24"/>
        </w:rPr>
      </w:pPr>
      <w:bookmarkStart w:id="0" w:name="_Hlk101927755"/>
      <w:r w:rsidRPr="00924FEF">
        <w:rPr>
          <w:rStyle w:val="Hyperlink"/>
          <w:rFonts w:ascii="Times New Roman" w:hAnsi="Times New Roman" w:cs="Times New Roman"/>
          <w:sz w:val="24"/>
          <w:szCs w:val="24"/>
        </w:rPr>
        <w:t>A</w:t>
      </w:r>
      <w:r w:rsidRPr="00924FEF">
        <w:rPr>
          <w:rFonts w:ascii="Times New Roman" w:hAnsi="Times New Roman" w:cs="Times New Roman"/>
          <w:sz w:val="24"/>
          <w:szCs w:val="24"/>
        </w:rPr>
        <w:t xml:space="preserve">n EFA was performed on 10 parcels derived for SMI items across all ages in 114 participants with full item level data at 6, 12, and 24 months. The Kaiser-Meyer Olkin Measure of Sampling Adequacy was equal to 0.88, consistent with good sampling adequacy. The scree plot revealed a single inflection point for a factor having an eigenvalue of 4.22 and accounting for 42.21% of the variance.  The second potential factor had an eigenvalue &lt; 1 (0.97); thus, both the inflection </w:t>
      </w:r>
      <w:proofErr w:type="gramStart"/>
      <w:r w:rsidRPr="00924FEF">
        <w:rPr>
          <w:rFonts w:ascii="Times New Roman" w:hAnsi="Times New Roman" w:cs="Times New Roman"/>
          <w:sz w:val="24"/>
          <w:szCs w:val="24"/>
        </w:rPr>
        <w:t>point</w:t>
      </w:r>
      <w:proofErr w:type="gramEnd"/>
      <w:r w:rsidRPr="00924FEF">
        <w:rPr>
          <w:rFonts w:ascii="Times New Roman" w:hAnsi="Times New Roman" w:cs="Times New Roman"/>
          <w:sz w:val="24"/>
          <w:szCs w:val="24"/>
        </w:rPr>
        <w:t xml:space="preserve"> and eigenvalue were consistent with a unitary factor solution. The ten item parcels showed moderate to strong loadings on the single factor (in descending order: Parcel 1: 0.76, Parcel 2: 0.70, Parcel 3: 0.69, Parcel 4: 0.69, Parcel 5: 0.68, Parcel 6: 0.64, Parcel 7: 0.61, Parcel 8: 0.59, Parcel 9: 0.56, Parcel 10: 0.55).</w:t>
      </w:r>
    </w:p>
    <w:bookmarkEnd w:id="0"/>
    <w:p w14:paraId="3E965ED5" w14:textId="77777777" w:rsidR="005B4B0E" w:rsidRPr="00924FEF" w:rsidRDefault="005B4B0E" w:rsidP="005B4B0E">
      <w:pPr>
        <w:spacing w:after="0" w:line="480" w:lineRule="auto"/>
        <w:ind w:firstLine="720"/>
        <w:jc w:val="both"/>
        <w:rPr>
          <w:rFonts w:ascii="Times New Roman" w:hAnsi="Times New Roman" w:cs="Times New Roman"/>
          <w:sz w:val="24"/>
          <w:szCs w:val="24"/>
        </w:rPr>
      </w:pPr>
      <w:r w:rsidRPr="00924FEF">
        <w:rPr>
          <w:rFonts w:ascii="Times New Roman" w:hAnsi="Times New Roman" w:cs="Times New Roman"/>
          <w:sz w:val="24"/>
          <w:szCs w:val="24"/>
        </w:rPr>
        <w:t>In a test for divergent validity, SMI scores at each age showed weaker correlations with concurrent Mullen fine motor scores in comparison to correlations for the AOSI total score and ADOS calibrated severity score, as determined by Zou’s method to compute confidence intervals (CIs) for differences in correlations. At all ages, differences comparing correlations of social motivation with the AOSI/ADOS scores versus Mullen fine motor scores produced confidence intervals that did not cross zero, indicating correlations were significantly different: 6 months, 95% CI [0.02, 0.28]; 12 months, 95% CI [0.07, 0.35]; and 24 months, 95% CI [0.14, 0.35].</w:t>
      </w:r>
    </w:p>
    <w:p w14:paraId="29C0EAFF" w14:textId="77777777" w:rsidR="005B4B0E" w:rsidRPr="00924FEF" w:rsidRDefault="005B4B0E" w:rsidP="005B4B0E">
      <w:pPr>
        <w:spacing w:after="0" w:line="480" w:lineRule="auto"/>
        <w:jc w:val="both"/>
        <w:rPr>
          <w:rStyle w:val="Hyperlink"/>
          <w:rFonts w:ascii="Times New Roman" w:hAnsi="Times New Roman" w:cs="Times New Roman"/>
          <w:sz w:val="24"/>
          <w:szCs w:val="24"/>
        </w:rPr>
      </w:pPr>
      <w:r w:rsidRPr="00924FEF">
        <w:rPr>
          <w:rStyle w:val="Hyperlink"/>
          <w:rFonts w:ascii="Times New Roman" w:hAnsi="Times New Roman" w:cs="Times New Roman"/>
          <w:sz w:val="24"/>
          <w:szCs w:val="24"/>
        </w:rPr>
        <w:br w:type="page"/>
      </w:r>
    </w:p>
    <w:p w14:paraId="6903F567" w14:textId="77777777" w:rsidR="005B4B0E" w:rsidRPr="00924FEF" w:rsidRDefault="005B4B0E" w:rsidP="005B4B0E">
      <w:pPr>
        <w:spacing w:after="0" w:line="480" w:lineRule="auto"/>
        <w:jc w:val="both"/>
        <w:rPr>
          <w:rFonts w:ascii="Times New Roman" w:hAnsi="Times New Roman" w:cs="Times New Roman"/>
          <w:b/>
          <w:bCs/>
          <w:sz w:val="24"/>
          <w:szCs w:val="24"/>
        </w:rPr>
      </w:pPr>
      <w:r w:rsidRPr="00924FEF">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21A9D113" wp14:editId="0AC6799B">
            <wp:simplePos x="0" y="0"/>
            <wp:positionH relativeFrom="column">
              <wp:posOffset>0</wp:posOffset>
            </wp:positionH>
            <wp:positionV relativeFrom="page">
              <wp:posOffset>1346200</wp:posOffset>
            </wp:positionV>
            <wp:extent cx="5943600" cy="1786890"/>
            <wp:effectExtent l="0" t="0" r="0" b="0"/>
            <wp:wrapTight wrapText="bothSides">
              <wp:wrapPolygon edited="0">
                <wp:start x="0" y="0"/>
                <wp:lineTo x="0" y="2533"/>
                <wp:lineTo x="6438" y="3684"/>
                <wp:lineTo x="4154" y="4836"/>
                <wp:lineTo x="415" y="6908"/>
                <wp:lineTo x="346" y="10362"/>
                <wp:lineTo x="0" y="11053"/>
                <wp:lineTo x="0" y="20495"/>
                <wp:lineTo x="208" y="20725"/>
                <wp:lineTo x="2769" y="21186"/>
                <wp:lineTo x="12046" y="21186"/>
                <wp:lineTo x="21462" y="19113"/>
                <wp:lineTo x="21531" y="13126"/>
                <wp:lineTo x="21531" y="12665"/>
                <wp:lineTo x="20908" y="10593"/>
                <wp:lineTo x="20769" y="8981"/>
                <wp:lineTo x="20492" y="7369"/>
                <wp:lineTo x="21323" y="6908"/>
                <wp:lineTo x="21185" y="4836"/>
                <wp:lineTo x="19523" y="3684"/>
                <wp:lineTo x="21531" y="2533"/>
                <wp:lineTo x="21531" y="0"/>
                <wp:lineTo x="0" y="0"/>
              </wp:wrapPolygon>
            </wp:wrapTight>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1786890"/>
                    </a:xfrm>
                    <a:prstGeom prst="rect">
                      <a:avLst/>
                    </a:prstGeom>
                    <a:noFill/>
                  </pic:spPr>
                </pic:pic>
              </a:graphicData>
            </a:graphic>
            <wp14:sizeRelH relativeFrom="page">
              <wp14:pctWidth>0</wp14:pctWidth>
            </wp14:sizeRelH>
            <wp14:sizeRelV relativeFrom="page">
              <wp14:pctHeight>0</wp14:pctHeight>
            </wp14:sizeRelV>
          </wp:anchor>
        </w:drawing>
      </w:r>
      <w:r w:rsidRPr="00924FEF">
        <w:rPr>
          <w:rFonts w:ascii="Times New Roman" w:hAnsi="Times New Roman" w:cs="Times New Roman"/>
          <w:b/>
          <w:bCs/>
          <w:sz w:val="24"/>
          <w:szCs w:val="24"/>
        </w:rPr>
        <w:t>Supplemental Tables and Figures</w:t>
      </w:r>
    </w:p>
    <w:p w14:paraId="57EA562B" w14:textId="77777777" w:rsidR="005B4B0E" w:rsidRPr="00924FEF" w:rsidRDefault="005B4B0E" w:rsidP="005B4B0E">
      <w:pPr>
        <w:spacing w:after="0" w:line="480" w:lineRule="auto"/>
        <w:jc w:val="both"/>
        <w:rPr>
          <w:rFonts w:ascii="Times New Roman" w:hAnsi="Times New Roman" w:cs="Times New Roman"/>
          <w:sz w:val="24"/>
          <w:szCs w:val="24"/>
        </w:rPr>
      </w:pPr>
    </w:p>
    <w:p w14:paraId="53F8A316" w14:textId="77777777" w:rsidR="005B4B0E" w:rsidRPr="00924FEF" w:rsidRDefault="005B4B0E" w:rsidP="005B4B0E">
      <w:pPr>
        <w:jc w:val="both"/>
        <w:rPr>
          <w:rFonts w:ascii="Times New Roman" w:hAnsi="Times New Roman" w:cs="Times New Roman"/>
          <w:sz w:val="24"/>
          <w:szCs w:val="24"/>
        </w:rPr>
      </w:pPr>
    </w:p>
    <w:p w14:paraId="04955950"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noProof/>
          <w:sz w:val="24"/>
          <w:szCs w:val="24"/>
        </w:rPr>
        <w:drawing>
          <wp:anchor distT="0" distB="0" distL="114300" distR="114300" simplePos="0" relativeHeight="251661312" behindDoc="1" locked="0" layoutInCell="1" allowOverlap="1" wp14:anchorId="7B33EF85" wp14:editId="1278B4B6">
            <wp:simplePos x="0" y="0"/>
            <wp:positionH relativeFrom="column">
              <wp:posOffset>0</wp:posOffset>
            </wp:positionH>
            <wp:positionV relativeFrom="page">
              <wp:posOffset>3613150</wp:posOffset>
            </wp:positionV>
            <wp:extent cx="5943600" cy="3731895"/>
            <wp:effectExtent l="0" t="0" r="0" b="0"/>
            <wp:wrapTight wrapText="bothSides">
              <wp:wrapPolygon edited="0">
                <wp:start x="0" y="0"/>
                <wp:lineTo x="0" y="1323"/>
                <wp:lineTo x="4362" y="1764"/>
                <wp:lineTo x="2769" y="3528"/>
                <wp:lineTo x="277" y="3859"/>
                <wp:lineTo x="0" y="3969"/>
                <wp:lineTo x="0" y="9262"/>
                <wp:lineTo x="8377" y="10585"/>
                <wp:lineTo x="415" y="10585"/>
                <wp:lineTo x="0" y="10695"/>
                <wp:lineTo x="0" y="20949"/>
                <wp:lineTo x="138" y="21170"/>
                <wp:lineTo x="1108" y="21391"/>
                <wp:lineTo x="17585" y="21391"/>
                <wp:lineTo x="19454" y="21170"/>
                <wp:lineTo x="21462" y="20288"/>
                <wp:lineTo x="21531" y="16760"/>
                <wp:lineTo x="21531" y="15877"/>
                <wp:lineTo x="20700" y="15767"/>
                <wp:lineTo x="20492" y="12349"/>
                <wp:lineTo x="21462" y="10695"/>
                <wp:lineTo x="21046" y="10585"/>
                <wp:lineTo x="21254" y="10034"/>
                <wp:lineTo x="20423" y="8821"/>
                <wp:lineTo x="21046" y="8711"/>
                <wp:lineTo x="21046" y="7828"/>
                <wp:lineTo x="20492" y="7057"/>
                <wp:lineTo x="21046" y="6285"/>
                <wp:lineTo x="21046" y="5844"/>
                <wp:lineTo x="20423" y="5292"/>
                <wp:lineTo x="21531" y="3749"/>
                <wp:lineTo x="21531" y="3528"/>
                <wp:lineTo x="20215" y="1764"/>
                <wp:lineTo x="21531" y="1323"/>
                <wp:lineTo x="21531" y="0"/>
                <wp:lineTo x="0" y="0"/>
              </wp:wrapPolygon>
            </wp:wrapTight>
            <wp:docPr id="11" name="Picture 1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31895"/>
                    </a:xfrm>
                    <a:prstGeom prst="rect">
                      <a:avLst/>
                    </a:prstGeom>
                    <a:noFill/>
                  </pic:spPr>
                </pic:pic>
              </a:graphicData>
            </a:graphic>
            <wp14:sizeRelH relativeFrom="page">
              <wp14:pctWidth>0</wp14:pctWidth>
            </wp14:sizeRelH>
            <wp14:sizeRelV relativeFrom="page">
              <wp14:pctHeight>0</wp14:pctHeight>
            </wp14:sizeRelV>
          </wp:anchor>
        </w:drawing>
      </w:r>
    </w:p>
    <w:p w14:paraId="70900F20" w14:textId="77777777" w:rsidR="005B4B0E" w:rsidRPr="00924FEF" w:rsidRDefault="005B4B0E" w:rsidP="005B4B0E">
      <w:pPr>
        <w:jc w:val="both"/>
        <w:rPr>
          <w:rFonts w:ascii="Times New Roman" w:hAnsi="Times New Roman" w:cs="Times New Roman"/>
          <w:sz w:val="24"/>
          <w:szCs w:val="24"/>
        </w:rPr>
      </w:pPr>
    </w:p>
    <w:p w14:paraId="61A14040" w14:textId="77777777" w:rsidR="005B4B0E" w:rsidRPr="00924FEF" w:rsidRDefault="005B4B0E" w:rsidP="005B4B0E">
      <w:pPr>
        <w:jc w:val="both"/>
        <w:rPr>
          <w:rFonts w:ascii="Times New Roman" w:hAnsi="Times New Roman" w:cs="Times New Roman"/>
          <w:sz w:val="24"/>
          <w:szCs w:val="24"/>
        </w:rPr>
      </w:pPr>
    </w:p>
    <w:p w14:paraId="022ABA62" w14:textId="77777777" w:rsidR="005B4B0E" w:rsidRPr="00924FEF" w:rsidRDefault="005B4B0E" w:rsidP="005B4B0E">
      <w:pPr>
        <w:jc w:val="both"/>
        <w:rPr>
          <w:rFonts w:ascii="Times New Roman" w:hAnsi="Times New Roman" w:cs="Times New Roman"/>
          <w:sz w:val="24"/>
          <w:szCs w:val="24"/>
        </w:rPr>
      </w:pPr>
    </w:p>
    <w:p w14:paraId="3C3D00FE"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sz w:val="24"/>
          <w:szCs w:val="24"/>
        </w:rPr>
        <w:br w:type="page"/>
      </w:r>
    </w:p>
    <w:p w14:paraId="0B5BDD61"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3BB9531B" wp14:editId="4FB5F3FF">
            <wp:simplePos x="0" y="0"/>
            <wp:positionH relativeFrom="margin">
              <wp:align>left</wp:align>
            </wp:positionH>
            <wp:positionV relativeFrom="page">
              <wp:posOffset>4171950</wp:posOffset>
            </wp:positionV>
            <wp:extent cx="5943600" cy="2182495"/>
            <wp:effectExtent l="0" t="0" r="0" b="8255"/>
            <wp:wrapTight wrapText="bothSides">
              <wp:wrapPolygon edited="0">
                <wp:start x="0" y="0"/>
                <wp:lineTo x="0" y="3017"/>
                <wp:lineTo x="1731" y="3017"/>
                <wp:lineTo x="2354" y="6033"/>
                <wp:lineTo x="277" y="6599"/>
                <wp:lineTo x="0" y="6976"/>
                <wp:lineTo x="0" y="20928"/>
                <wp:lineTo x="208" y="21116"/>
                <wp:lineTo x="4015" y="21493"/>
                <wp:lineTo x="9138" y="21493"/>
                <wp:lineTo x="16546" y="21116"/>
                <wp:lineTo x="21531" y="19985"/>
                <wp:lineTo x="21531" y="15083"/>
                <wp:lineTo x="21462" y="12066"/>
                <wp:lineTo x="1108" y="12066"/>
                <wp:lineTo x="21185" y="11312"/>
                <wp:lineTo x="21531" y="10935"/>
                <wp:lineTo x="20908" y="9050"/>
                <wp:lineTo x="21115" y="6787"/>
                <wp:lineTo x="21046" y="6033"/>
                <wp:lineTo x="21531" y="3582"/>
                <wp:lineTo x="21531" y="0"/>
                <wp:lineTo x="0" y="0"/>
              </wp:wrapPolygon>
            </wp:wrapTight>
            <wp:docPr id="5" name="Picture 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182495"/>
                    </a:xfrm>
                    <a:prstGeom prst="rect">
                      <a:avLst/>
                    </a:prstGeom>
                    <a:noFill/>
                  </pic:spPr>
                </pic:pic>
              </a:graphicData>
            </a:graphic>
            <wp14:sizeRelH relativeFrom="page">
              <wp14:pctWidth>0</wp14:pctWidth>
            </wp14:sizeRelH>
            <wp14:sizeRelV relativeFrom="page">
              <wp14:pctHeight>0</wp14:pctHeight>
            </wp14:sizeRelV>
          </wp:anchor>
        </w:drawing>
      </w:r>
      <w:r w:rsidRPr="00924FEF">
        <w:rPr>
          <w:rFonts w:ascii="Times New Roman" w:hAnsi="Times New Roman" w:cs="Times New Roman"/>
          <w:noProof/>
          <w:sz w:val="24"/>
          <w:szCs w:val="24"/>
        </w:rPr>
        <w:drawing>
          <wp:anchor distT="0" distB="0" distL="114300" distR="114300" simplePos="0" relativeHeight="251664384" behindDoc="1" locked="0" layoutInCell="1" allowOverlap="1" wp14:anchorId="125E5887" wp14:editId="4876F32E">
            <wp:simplePos x="0" y="0"/>
            <wp:positionH relativeFrom="column">
              <wp:posOffset>0</wp:posOffset>
            </wp:positionH>
            <wp:positionV relativeFrom="margin">
              <wp:align>top</wp:align>
            </wp:positionV>
            <wp:extent cx="5943600" cy="2790825"/>
            <wp:effectExtent l="0" t="0" r="0" b="0"/>
            <wp:wrapTight wrapText="bothSides">
              <wp:wrapPolygon edited="0">
                <wp:start x="0" y="0"/>
                <wp:lineTo x="0" y="6045"/>
                <wp:lineTo x="3462" y="7225"/>
                <wp:lineTo x="69" y="7667"/>
                <wp:lineTo x="69" y="8699"/>
                <wp:lineTo x="6438" y="9584"/>
                <wp:lineTo x="415" y="10321"/>
                <wp:lineTo x="0" y="10468"/>
                <wp:lineTo x="0" y="21379"/>
                <wp:lineTo x="21531" y="21379"/>
                <wp:lineTo x="21531" y="12532"/>
                <wp:lineTo x="21115" y="11943"/>
                <wp:lineTo x="21254" y="5308"/>
                <wp:lineTo x="21531" y="4866"/>
                <wp:lineTo x="21531" y="0"/>
                <wp:lineTo x="0" y="0"/>
              </wp:wrapPolygon>
            </wp:wrapTight>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pic:spPr>
                </pic:pic>
              </a:graphicData>
            </a:graphic>
            <wp14:sizeRelH relativeFrom="page">
              <wp14:pctWidth>0</wp14:pctWidth>
            </wp14:sizeRelH>
            <wp14:sizeRelV relativeFrom="page">
              <wp14:pctHeight>0</wp14:pctHeight>
            </wp14:sizeRelV>
          </wp:anchor>
        </w:drawing>
      </w:r>
    </w:p>
    <w:p w14:paraId="5E489932" w14:textId="77777777" w:rsidR="005B4B0E" w:rsidRPr="00924FEF" w:rsidRDefault="005B4B0E" w:rsidP="005B4B0E">
      <w:pPr>
        <w:jc w:val="both"/>
        <w:rPr>
          <w:rFonts w:ascii="Times New Roman" w:hAnsi="Times New Roman" w:cs="Times New Roman"/>
          <w:sz w:val="24"/>
          <w:szCs w:val="24"/>
        </w:rPr>
      </w:pPr>
    </w:p>
    <w:p w14:paraId="2229ED88" w14:textId="77777777" w:rsidR="005B4B0E" w:rsidRPr="00924FEF" w:rsidRDefault="005B4B0E" w:rsidP="005B4B0E">
      <w:pPr>
        <w:jc w:val="both"/>
        <w:rPr>
          <w:rFonts w:ascii="Times New Roman" w:hAnsi="Times New Roman" w:cs="Times New Roman"/>
          <w:sz w:val="24"/>
          <w:szCs w:val="24"/>
        </w:rPr>
      </w:pPr>
    </w:p>
    <w:p w14:paraId="3D8A3021" w14:textId="77777777" w:rsidR="005B4B0E" w:rsidRPr="00924FEF" w:rsidRDefault="005B4B0E" w:rsidP="005B4B0E">
      <w:pPr>
        <w:spacing w:after="0" w:line="480" w:lineRule="auto"/>
        <w:jc w:val="both"/>
        <w:rPr>
          <w:rFonts w:ascii="Times New Roman" w:hAnsi="Times New Roman" w:cs="Times New Roman"/>
          <w:sz w:val="24"/>
          <w:szCs w:val="24"/>
        </w:rPr>
      </w:pPr>
    </w:p>
    <w:p w14:paraId="796544E4" w14:textId="77777777" w:rsidR="005B4B0E" w:rsidRPr="00924FEF" w:rsidRDefault="005B4B0E" w:rsidP="005B4B0E">
      <w:pPr>
        <w:rPr>
          <w:rFonts w:ascii="Times New Roman" w:hAnsi="Times New Roman" w:cs="Times New Roman"/>
          <w:sz w:val="24"/>
          <w:szCs w:val="24"/>
        </w:rPr>
      </w:pPr>
      <w:r w:rsidRPr="00924FEF">
        <w:rPr>
          <w:rFonts w:ascii="Times New Roman" w:hAnsi="Times New Roman" w:cs="Times New Roman"/>
          <w:sz w:val="24"/>
          <w:szCs w:val="24"/>
        </w:rPr>
        <w:br w:type="page"/>
      </w:r>
    </w:p>
    <w:p w14:paraId="3D10D60A"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noProof/>
          <w:sz w:val="24"/>
          <w:szCs w:val="24"/>
        </w:rPr>
        <w:lastRenderedPageBreak/>
        <w:drawing>
          <wp:anchor distT="0" distB="0" distL="114300" distR="114300" simplePos="0" relativeHeight="251668480" behindDoc="1" locked="0" layoutInCell="1" allowOverlap="1" wp14:anchorId="165C1823" wp14:editId="6616A3D2">
            <wp:simplePos x="0" y="0"/>
            <wp:positionH relativeFrom="margin">
              <wp:align>right</wp:align>
            </wp:positionH>
            <wp:positionV relativeFrom="margin">
              <wp:align>top</wp:align>
            </wp:positionV>
            <wp:extent cx="5943600" cy="3721608"/>
            <wp:effectExtent l="0" t="0" r="0" b="0"/>
            <wp:wrapTight wrapText="bothSides">
              <wp:wrapPolygon edited="0">
                <wp:start x="0" y="0"/>
                <wp:lineTo x="0" y="1327"/>
                <wp:lineTo x="6715" y="1769"/>
                <wp:lineTo x="0" y="3317"/>
                <wp:lineTo x="0" y="5087"/>
                <wp:lineTo x="1038" y="5308"/>
                <wp:lineTo x="7200" y="5418"/>
                <wp:lineTo x="0" y="6635"/>
                <wp:lineTo x="0" y="7519"/>
                <wp:lineTo x="8377" y="8846"/>
                <wp:lineTo x="69" y="8957"/>
                <wp:lineTo x="69" y="9731"/>
                <wp:lineTo x="6577" y="10616"/>
                <wp:lineTo x="69" y="11169"/>
                <wp:lineTo x="69" y="11943"/>
                <wp:lineTo x="7131" y="12385"/>
                <wp:lineTo x="0" y="13491"/>
                <wp:lineTo x="0" y="17693"/>
                <wp:lineTo x="69" y="20236"/>
                <wp:lineTo x="138" y="21231"/>
                <wp:lineTo x="277" y="21453"/>
                <wp:lineTo x="8723" y="21453"/>
                <wp:lineTo x="15577" y="21231"/>
                <wp:lineTo x="21531" y="20457"/>
                <wp:lineTo x="21531" y="15481"/>
                <wp:lineTo x="19869" y="14154"/>
                <wp:lineTo x="20146" y="14154"/>
                <wp:lineTo x="20146" y="13491"/>
                <wp:lineTo x="19800" y="12385"/>
                <wp:lineTo x="19800" y="10616"/>
                <wp:lineTo x="20146" y="10173"/>
                <wp:lineTo x="19315" y="8957"/>
                <wp:lineTo x="13015" y="8846"/>
                <wp:lineTo x="19246" y="7519"/>
                <wp:lineTo x="19177" y="7077"/>
                <wp:lineTo x="20008" y="5971"/>
                <wp:lineTo x="19662" y="5418"/>
                <wp:lineTo x="20077" y="4976"/>
                <wp:lineTo x="19938" y="3539"/>
                <wp:lineTo x="21531" y="3207"/>
                <wp:lineTo x="21531" y="2875"/>
                <wp:lineTo x="19869" y="1769"/>
                <wp:lineTo x="21531" y="1327"/>
                <wp:lineTo x="21531" y="0"/>
                <wp:lineTo x="0" y="0"/>
              </wp:wrapPolygon>
            </wp:wrapTight>
            <wp:docPr id="8" name="Picture 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ap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21608"/>
                    </a:xfrm>
                    <a:prstGeom prst="rect">
                      <a:avLst/>
                    </a:prstGeom>
                    <a:noFill/>
                  </pic:spPr>
                </pic:pic>
              </a:graphicData>
            </a:graphic>
            <wp14:sizeRelH relativeFrom="page">
              <wp14:pctWidth>0</wp14:pctWidth>
            </wp14:sizeRelH>
            <wp14:sizeRelV relativeFrom="page">
              <wp14:pctHeight>0</wp14:pctHeight>
            </wp14:sizeRelV>
          </wp:anchor>
        </w:drawing>
      </w:r>
    </w:p>
    <w:p w14:paraId="49F0172C" w14:textId="77777777" w:rsidR="005B4B0E" w:rsidRPr="00924FEF" w:rsidRDefault="005B4B0E" w:rsidP="005B4B0E">
      <w:pPr>
        <w:spacing w:after="0" w:line="480" w:lineRule="auto"/>
        <w:jc w:val="both"/>
        <w:rPr>
          <w:rFonts w:ascii="Times New Roman" w:hAnsi="Times New Roman" w:cs="Times New Roman"/>
          <w:sz w:val="24"/>
          <w:szCs w:val="24"/>
        </w:rPr>
      </w:pPr>
    </w:p>
    <w:p w14:paraId="1AB5CF26" w14:textId="77777777" w:rsidR="005B4B0E" w:rsidRPr="00924FEF" w:rsidRDefault="005B4B0E" w:rsidP="005B4B0E">
      <w:pPr>
        <w:spacing w:after="0" w:line="480" w:lineRule="auto"/>
        <w:jc w:val="both"/>
        <w:rPr>
          <w:rFonts w:ascii="Times New Roman" w:hAnsi="Times New Roman" w:cs="Times New Roman"/>
          <w:sz w:val="24"/>
          <w:szCs w:val="24"/>
        </w:rPr>
      </w:pPr>
    </w:p>
    <w:p w14:paraId="4BD8A851" w14:textId="77777777" w:rsidR="005B4B0E" w:rsidRPr="00924FEF" w:rsidRDefault="005B4B0E" w:rsidP="005B4B0E">
      <w:pPr>
        <w:spacing w:after="0" w:line="480" w:lineRule="auto"/>
        <w:jc w:val="both"/>
        <w:rPr>
          <w:rFonts w:ascii="Times New Roman" w:hAnsi="Times New Roman" w:cs="Times New Roman"/>
          <w:sz w:val="24"/>
          <w:szCs w:val="24"/>
        </w:rPr>
      </w:pPr>
    </w:p>
    <w:p w14:paraId="51BDF827"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sz w:val="24"/>
          <w:szCs w:val="24"/>
        </w:rPr>
        <w:br w:type="page"/>
      </w:r>
    </w:p>
    <w:p w14:paraId="7FE5CA01" w14:textId="77777777" w:rsidR="005B4B0E" w:rsidRPr="00924FEF" w:rsidRDefault="005B4B0E" w:rsidP="005B4B0E">
      <w:pPr>
        <w:jc w:val="both"/>
        <w:rPr>
          <w:rFonts w:ascii="Times New Roman" w:hAnsi="Times New Roman" w:cs="Times New Roman"/>
          <w:sz w:val="24"/>
          <w:szCs w:val="24"/>
        </w:rPr>
        <w:sectPr w:rsidR="005B4B0E" w:rsidRPr="00924FEF">
          <w:headerReference w:type="default" r:id="rId9"/>
          <w:pgSz w:w="12240" w:h="15840"/>
          <w:pgMar w:top="1440" w:right="1440" w:bottom="1440" w:left="1440" w:header="720" w:footer="720" w:gutter="0"/>
          <w:cols w:space="720"/>
          <w:docGrid w:linePitch="360"/>
        </w:sectPr>
      </w:pPr>
    </w:p>
    <w:p w14:paraId="2D838066"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0D979678" wp14:editId="0B7431A5">
            <wp:simplePos x="0" y="0"/>
            <wp:positionH relativeFrom="margin">
              <wp:align>left</wp:align>
            </wp:positionH>
            <wp:positionV relativeFrom="page">
              <wp:posOffset>1206500</wp:posOffset>
            </wp:positionV>
            <wp:extent cx="8686800" cy="4141835"/>
            <wp:effectExtent l="0" t="0" r="0" b="0"/>
            <wp:wrapTight wrapText="bothSides">
              <wp:wrapPolygon edited="0">
                <wp:start x="0" y="0"/>
                <wp:lineTo x="0" y="1093"/>
                <wp:lineTo x="4168" y="1590"/>
                <wp:lineTo x="0" y="2583"/>
                <wp:lineTo x="0" y="17189"/>
                <wp:lineTo x="95" y="21163"/>
                <wp:lineTo x="3268" y="21362"/>
                <wp:lineTo x="14589" y="21362"/>
                <wp:lineTo x="17811" y="21163"/>
                <wp:lineTo x="17858" y="20666"/>
                <wp:lineTo x="21032" y="20666"/>
                <wp:lineTo x="21553" y="20467"/>
                <wp:lineTo x="21553" y="16195"/>
                <wp:lineTo x="20795" y="15897"/>
                <wp:lineTo x="21079" y="14307"/>
                <wp:lineTo x="21553" y="13314"/>
                <wp:lineTo x="21553" y="13115"/>
                <wp:lineTo x="21268" y="12718"/>
                <wp:lineTo x="21363" y="6955"/>
                <wp:lineTo x="21174" y="6458"/>
                <wp:lineTo x="20747" y="6359"/>
                <wp:lineTo x="21174" y="5465"/>
                <wp:lineTo x="21174" y="4968"/>
                <wp:lineTo x="20747" y="4769"/>
                <wp:lineTo x="21316" y="4074"/>
                <wp:lineTo x="21316" y="3477"/>
                <wp:lineTo x="21553" y="2881"/>
                <wp:lineTo x="21553" y="2385"/>
                <wp:lineTo x="19421" y="1590"/>
                <wp:lineTo x="21553" y="1093"/>
                <wp:lineTo x="21553" y="0"/>
                <wp:lineTo x="0" y="0"/>
              </wp:wrapPolygon>
            </wp:wrapTight>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86800" cy="4141835"/>
                    </a:xfrm>
                    <a:prstGeom prst="rect">
                      <a:avLst/>
                    </a:prstGeom>
                    <a:noFill/>
                  </pic:spPr>
                </pic:pic>
              </a:graphicData>
            </a:graphic>
            <wp14:sizeRelH relativeFrom="page">
              <wp14:pctWidth>0</wp14:pctWidth>
            </wp14:sizeRelH>
            <wp14:sizeRelV relativeFrom="page">
              <wp14:pctHeight>0</wp14:pctHeight>
            </wp14:sizeRelV>
          </wp:anchor>
        </w:drawing>
      </w:r>
    </w:p>
    <w:p w14:paraId="28E1A299"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sz w:val="24"/>
          <w:szCs w:val="24"/>
        </w:rPr>
        <w:br w:type="page"/>
      </w:r>
    </w:p>
    <w:p w14:paraId="73277D61" w14:textId="77777777" w:rsidR="005B4B0E" w:rsidRPr="00924FEF" w:rsidRDefault="005B4B0E" w:rsidP="005B4B0E">
      <w:pPr>
        <w:jc w:val="both"/>
        <w:rPr>
          <w:rFonts w:ascii="Times New Roman" w:hAnsi="Times New Roman" w:cs="Times New Roman"/>
          <w:sz w:val="24"/>
          <w:szCs w:val="24"/>
        </w:rPr>
        <w:sectPr w:rsidR="005B4B0E" w:rsidRPr="00924FEF" w:rsidSect="00FA1654">
          <w:pgSz w:w="15840" w:h="12240" w:orient="landscape"/>
          <w:pgMar w:top="1440" w:right="1440" w:bottom="1440" w:left="1440" w:header="720" w:footer="720" w:gutter="0"/>
          <w:cols w:space="720"/>
          <w:docGrid w:linePitch="360"/>
        </w:sectPr>
      </w:pPr>
    </w:p>
    <w:p w14:paraId="4D01DC1D"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03A13553" wp14:editId="5A877556">
            <wp:simplePos x="0" y="0"/>
            <wp:positionH relativeFrom="margin">
              <wp:align>center</wp:align>
            </wp:positionH>
            <wp:positionV relativeFrom="margin">
              <wp:align>top</wp:align>
            </wp:positionV>
            <wp:extent cx="5303520" cy="4444530"/>
            <wp:effectExtent l="0" t="0" r="0" b="0"/>
            <wp:wrapTight wrapText="bothSides">
              <wp:wrapPolygon edited="0">
                <wp:start x="0" y="0"/>
                <wp:lineTo x="0" y="2963"/>
                <wp:lineTo x="10784" y="2963"/>
                <wp:lineTo x="155" y="3333"/>
                <wp:lineTo x="155" y="4166"/>
                <wp:lineTo x="10784" y="4444"/>
                <wp:lineTo x="155" y="5092"/>
                <wp:lineTo x="155" y="5833"/>
                <wp:lineTo x="9078" y="5925"/>
                <wp:lineTo x="1319" y="6759"/>
                <wp:lineTo x="78" y="6944"/>
                <wp:lineTo x="0" y="14999"/>
                <wp:lineTo x="0" y="15925"/>
                <wp:lineTo x="853" y="16295"/>
                <wp:lineTo x="233" y="16295"/>
                <wp:lineTo x="78" y="16573"/>
                <wp:lineTo x="78" y="20739"/>
                <wp:lineTo x="310" y="21294"/>
                <wp:lineTo x="10086" y="21294"/>
                <wp:lineTo x="18310" y="21109"/>
                <wp:lineTo x="18000" y="20739"/>
                <wp:lineTo x="20328" y="20739"/>
                <wp:lineTo x="21414" y="20276"/>
                <wp:lineTo x="21491" y="15184"/>
                <wp:lineTo x="21491" y="14906"/>
                <wp:lineTo x="19397" y="14814"/>
                <wp:lineTo x="19552" y="13703"/>
                <wp:lineTo x="19241" y="13240"/>
                <wp:lineTo x="19629" y="12962"/>
                <wp:lineTo x="18776" y="11851"/>
                <wp:lineTo x="19319" y="11203"/>
                <wp:lineTo x="19241" y="10832"/>
                <wp:lineTo x="18466" y="10369"/>
                <wp:lineTo x="19629" y="9351"/>
                <wp:lineTo x="19241" y="8981"/>
                <wp:lineTo x="19552" y="5000"/>
                <wp:lineTo x="19552" y="2963"/>
                <wp:lineTo x="21491" y="2963"/>
                <wp:lineTo x="21491" y="1574"/>
                <wp:lineTo x="17302" y="1481"/>
                <wp:lineTo x="21491" y="648"/>
                <wp:lineTo x="21491" y="0"/>
                <wp:lineTo x="0" y="0"/>
              </wp:wrapPolygon>
            </wp:wrapTight>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3520" cy="4444530"/>
                    </a:xfrm>
                    <a:prstGeom prst="rect">
                      <a:avLst/>
                    </a:prstGeom>
                    <a:noFill/>
                  </pic:spPr>
                </pic:pic>
              </a:graphicData>
            </a:graphic>
            <wp14:sizeRelH relativeFrom="page">
              <wp14:pctWidth>0</wp14:pctWidth>
            </wp14:sizeRelH>
            <wp14:sizeRelV relativeFrom="page">
              <wp14:pctHeight>0</wp14:pctHeight>
            </wp14:sizeRelV>
          </wp:anchor>
        </w:drawing>
      </w:r>
    </w:p>
    <w:p w14:paraId="5B661156" w14:textId="77777777" w:rsidR="005B4B0E" w:rsidRPr="00924FEF" w:rsidRDefault="005B4B0E" w:rsidP="005B4B0E">
      <w:pPr>
        <w:jc w:val="both"/>
        <w:rPr>
          <w:rFonts w:ascii="Times New Roman" w:hAnsi="Times New Roman" w:cs="Times New Roman"/>
          <w:sz w:val="24"/>
          <w:szCs w:val="24"/>
        </w:rPr>
      </w:pPr>
    </w:p>
    <w:p w14:paraId="75B3F10C" w14:textId="77777777" w:rsidR="005B4B0E" w:rsidRPr="00924FEF" w:rsidRDefault="005B4B0E" w:rsidP="005B4B0E">
      <w:pPr>
        <w:jc w:val="both"/>
        <w:rPr>
          <w:rFonts w:ascii="Times New Roman" w:hAnsi="Times New Roman" w:cs="Times New Roman"/>
          <w:sz w:val="24"/>
          <w:szCs w:val="24"/>
        </w:rPr>
      </w:pPr>
    </w:p>
    <w:p w14:paraId="13334D47" w14:textId="77777777" w:rsidR="005B4B0E" w:rsidRPr="00924FEF" w:rsidRDefault="005B4B0E" w:rsidP="005B4B0E">
      <w:pPr>
        <w:jc w:val="both"/>
        <w:rPr>
          <w:rFonts w:ascii="Times New Roman" w:hAnsi="Times New Roman" w:cs="Times New Roman"/>
          <w:sz w:val="24"/>
          <w:szCs w:val="24"/>
        </w:rPr>
      </w:pPr>
    </w:p>
    <w:p w14:paraId="32285045" w14:textId="77777777" w:rsidR="005B4B0E" w:rsidRPr="00924FEF" w:rsidRDefault="005B4B0E" w:rsidP="005B4B0E">
      <w:pPr>
        <w:jc w:val="both"/>
        <w:rPr>
          <w:rFonts w:ascii="Times New Roman" w:hAnsi="Times New Roman" w:cs="Times New Roman"/>
          <w:sz w:val="24"/>
          <w:szCs w:val="24"/>
        </w:rPr>
      </w:pPr>
    </w:p>
    <w:p w14:paraId="4F9C38BD" w14:textId="77777777" w:rsidR="005B4B0E" w:rsidRPr="00924FEF" w:rsidRDefault="005B4B0E" w:rsidP="005B4B0E">
      <w:pPr>
        <w:jc w:val="both"/>
        <w:rPr>
          <w:rFonts w:ascii="Times New Roman" w:hAnsi="Times New Roman" w:cs="Times New Roman"/>
          <w:sz w:val="24"/>
          <w:szCs w:val="24"/>
        </w:rPr>
      </w:pPr>
    </w:p>
    <w:p w14:paraId="3739840D" w14:textId="77777777" w:rsidR="005B4B0E" w:rsidRPr="00924FEF" w:rsidRDefault="005B4B0E" w:rsidP="005B4B0E">
      <w:pPr>
        <w:jc w:val="both"/>
        <w:rPr>
          <w:rFonts w:ascii="Times New Roman" w:hAnsi="Times New Roman" w:cs="Times New Roman"/>
          <w:sz w:val="24"/>
          <w:szCs w:val="24"/>
        </w:rPr>
      </w:pPr>
    </w:p>
    <w:p w14:paraId="348BB4F3" w14:textId="77777777" w:rsidR="005B4B0E" w:rsidRPr="00924FEF" w:rsidRDefault="005B4B0E" w:rsidP="005B4B0E">
      <w:pPr>
        <w:jc w:val="both"/>
        <w:rPr>
          <w:rFonts w:ascii="Times New Roman" w:hAnsi="Times New Roman" w:cs="Times New Roman"/>
          <w:sz w:val="24"/>
          <w:szCs w:val="24"/>
        </w:rPr>
      </w:pPr>
    </w:p>
    <w:p w14:paraId="6EA99A07" w14:textId="77777777" w:rsidR="005B4B0E" w:rsidRPr="00924FEF" w:rsidRDefault="005B4B0E" w:rsidP="005B4B0E">
      <w:pPr>
        <w:jc w:val="both"/>
        <w:rPr>
          <w:rFonts w:ascii="Times New Roman" w:hAnsi="Times New Roman" w:cs="Times New Roman"/>
          <w:sz w:val="24"/>
          <w:szCs w:val="24"/>
        </w:rPr>
      </w:pPr>
    </w:p>
    <w:p w14:paraId="7B86F0E1" w14:textId="77777777" w:rsidR="005B4B0E" w:rsidRPr="00924FEF" w:rsidRDefault="005B4B0E" w:rsidP="005B4B0E">
      <w:pPr>
        <w:jc w:val="both"/>
        <w:rPr>
          <w:rFonts w:ascii="Times New Roman" w:hAnsi="Times New Roman" w:cs="Times New Roman"/>
          <w:sz w:val="24"/>
          <w:szCs w:val="24"/>
        </w:rPr>
      </w:pPr>
    </w:p>
    <w:p w14:paraId="02D3EF23" w14:textId="77777777" w:rsidR="005B4B0E" w:rsidRPr="00924FEF" w:rsidRDefault="005B4B0E" w:rsidP="005B4B0E">
      <w:pPr>
        <w:jc w:val="both"/>
        <w:rPr>
          <w:rFonts w:ascii="Times New Roman" w:hAnsi="Times New Roman" w:cs="Times New Roman"/>
          <w:sz w:val="24"/>
          <w:szCs w:val="24"/>
        </w:rPr>
      </w:pPr>
    </w:p>
    <w:p w14:paraId="1789CDE3" w14:textId="77777777" w:rsidR="005B4B0E" w:rsidRPr="00924FEF" w:rsidRDefault="005B4B0E" w:rsidP="005B4B0E">
      <w:pPr>
        <w:jc w:val="both"/>
        <w:rPr>
          <w:rFonts w:ascii="Times New Roman" w:hAnsi="Times New Roman" w:cs="Times New Roman"/>
          <w:sz w:val="24"/>
          <w:szCs w:val="24"/>
        </w:rPr>
      </w:pPr>
    </w:p>
    <w:p w14:paraId="1CAC2B7A" w14:textId="77777777" w:rsidR="005B4B0E" w:rsidRPr="00924FEF" w:rsidRDefault="005B4B0E" w:rsidP="005B4B0E">
      <w:pPr>
        <w:jc w:val="both"/>
        <w:rPr>
          <w:rFonts w:ascii="Times New Roman" w:hAnsi="Times New Roman" w:cs="Times New Roman"/>
          <w:sz w:val="24"/>
          <w:szCs w:val="24"/>
        </w:rPr>
      </w:pPr>
    </w:p>
    <w:p w14:paraId="140C9FAB" w14:textId="77777777" w:rsidR="005B4B0E" w:rsidRPr="00924FEF" w:rsidRDefault="005B4B0E" w:rsidP="005B4B0E">
      <w:pPr>
        <w:jc w:val="both"/>
        <w:rPr>
          <w:rFonts w:ascii="Times New Roman" w:hAnsi="Times New Roman" w:cs="Times New Roman"/>
          <w:sz w:val="24"/>
          <w:szCs w:val="24"/>
        </w:rPr>
      </w:pPr>
    </w:p>
    <w:p w14:paraId="43562D60" w14:textId="77777777" w:rsidR="005B4B0E" w:rsidRPr="00924FEF" w:rsidRDefault="005B4B0E" w:rsidP="005B4B0E">
      <w:pPr>
        <w:jc w:val="both"/>
        <w:rPr>
          <w:rFonts w:ascii="Times New Roman" w:hAnsi="Times New Roman" w:cs="Times New Roman"/>
          <w:sz w:val="24"/>
          <w:szCs w:val="24"/>
        </w:rPr>
      </w:pPr>
    </w:p>
    <w:p w14:paraId="5C1795F0"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noProof/>
          <w:sz w:val="24"/>
          <w:szCs w:val="24"/>
        </w:rPr>
        <w:drawing>
          <wp:anchor distT="0" distB="0" distL="114300" distR="114300" simplePos="0" relativeHeight="251665408" behindDoc="1" locked="0" layoutInCell="1" allowOverlap="1" wp14:anchorId="19AD4953" wp14:editId="27E2A9E7">
            <wp:simplePos x="0" y="0"/>
            <wp:positionH relativeFrom="margin">
              <wp:align>right</wp:align>
            </wp:positionH>
            <wp:positionV relativeFrom="margin">
              <wp:posOffset>4696829</wp:posOffset>
            </wp:positionV>
            <wp:extent cx="5943600" cy="2715895"/>
            <wp:effectExtent l="0" t="0" r="0" b="0"/>
            <wp:wrapTight wrapText="bothSides">
              <wp:wrapPolygon edited="0">
                <wp:start x="0" y="0"/>
                <wp:lineTo x="0" y="1667"/>
                <wp:lineTo x="3877" y="2424"/>
                <wp:lineTo x="0" y="3636"/>
                <wp:lineTo x="0" y="4091"/>
                <wp:lineTo x="346" y="4848"/>
                <wp:lineTo x="485" y="7272"/>
                <wp:lineTo x="0" y="8787"/>
                <wp:lineTo x="0" y="9090"/>
                <wp:lineTo x="415" y="9697"/>
                <wp:lineTo x="0" y="11666"/>
                <wp:lineTo x="0" y="19393"/>
                <wp:lineTo x="69" y="21211"/>
                <wp:lineTo x="4154" y="21211"/>
                <wp:lineTo x="10246" y="20908"/>
                <wp:lineTo x="21462" y="19999"/>
                <wp:lineTo x="21531" y="17423"/>
                <wp:lineTo x="21531" y="11666"/>
                <wp:lineTo x="20977" y="9697"/>
                <wp:lineTo x="21531" y="9090"/>
                <wp:lineTo x="21531" y="8787"/>
                <wp:lineTo x="20908" y="7272"/>
                <wp:lineTo x="20908" y="4848"/>
                <wp:lineTo x="21531" y="4091"/>
                <wp:lineTo x="21531" y="0"/>
                <wp:lineTo x="0" y="0"/>
              </wp:wrapPolygon>
            </wp:wrapTight>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715895"/>
                    </a:xfrm>
                    <a:prstGeom prst="rect">
                      <a:avLst/>
                    </a:prstGeom>
                    <a:noFill/>
                  </pic:spPr>
                </pic:pic>
              </a:graphicData>
            </a:graphic>
            <wp14:sizeRelH relativeFrom="page">
              <wp14:pctWidth>0</wp14:pctWidth>
            </wp14:sizeRelH>
            <wp14:sizeRelV relativeFrom="page">
              <wp14:pctHeight>0</wp14:pctHeight>
            </wp14:sizeRelV>
          </wp:anchor>
        </w:drawing>
      </w:r>
    </w:p>
    <w:p w14:paraId="0FDFFEC5" w14:textId="77777777" w:rsidR="005B4B0E" w:rsidRPr="00924FEF" w:rsidRDefault="005B4B0E" w:rsidP="005B4B0E">
      <w:pPr>
        <w:jc w:val="both"/>
        <w:rPr>
          <w:rFonts w:ascii="Times New Roman" w:hAnsi="Times New Roman" w:cs="Times New Roman"/>
          <w:sz w:val="24"/>
          <w:szCs w:val="24"/>
        </w:rPr>
      </w:pPr>
    </w:p>
    <w:p w14:paraId="1F3D723B" w14:textId="77777777" w:rsidR="005B4B0E" w:rsidRPr="00924FEF" w:rsidRDefault="005B4B0E" w:rsidP="005B4B0E">
      <w:pPr>
        <w:jc w:val="both"/>
        <w:rPr>
          <w:rFonts w:ascii="Times New Roman" w:hAnsi="Times New Roman" w:cs="Times New Roman"/>
          <w:sz w:val="24"/>
          <w:szCs w:val="24"/>
        </w:rPr>
      </w:pPr>
    </w:p>
    <w:p w14:paraId="135410C9"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sz w:val="24"/>
          <w:szCs w:val="24"/>
        </w:rPr>
        <w:br w:type="page"/>
      </w:r>
    </w:p>
    <w:p w14:paraId="1B14B036" w14:textId="77777777" w:rsidR="005B4B0E" w:rsidRPr="00924FEF" w:rsidRDefault="005B4B0E" w:rsidP="005B4B0E">
      <w:pPr>
        <w:spacing w:after="0" w:line="480" w:lineRule="auto"/>
        <w:jc w:val="both"/>
        <w:rPr>
          <w:rFonts w:ascii="Times New Roman" w:hAnsi="Times New Roman" w:cs="Times New Roman"/>
          <w:sz w:val="24"/>
          <w:szCs w:val="24"/>
        </w:rPr>
        <w:sectPr w:rsidR="005B4B0E" w:rsidRPr="00924FEF" w:rsidSect="00940655">
          <w:pgSz w:w="12240" w:h="15840"/>
          <w:pgMar w:top="1440" w:right="1440" w:bottom="1440" w:left="1440" w:header="720" w:footer="720" w:gutter="0"/>
          <w:cols w:space="720"/>
          <w:docGrid w:linePitch="360"/>
        </w:sectPr>
      </w:pPr>
    </w:p>
    <w:p w14:paraId="03B8BC25"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3D9CD7F6" wp14:editId="4515D86D">
            <wp:simplePos x="0" y="0"/>
            <wp:positionH relativeFrom="column">
              <wp:posOffset>0</wp:posOffset>
            </wp:positionH>
            <wp:positionV relativeFrom="margin">
              <wp:align>top</wp:align>
            </wp:positionV>
            <wp:extent cx="8229600" cy="3156689"/>
            <wp:effectExtent l="0" t="0" r="0" b="0"/>
            <wp:wrapSquare wrapText="bothSides"/>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29600" cy="3156689"/>
                    </a:xfrm>
                    <a:prstGeom prst="rect">
                      <a:avLst/>
                    </a:prstGeom>
                    <a:noFill/>
                  </pic:spPr>
                </pic:pic>
              </a:graphicData>
            </a:graphic>
            <wp14:sizeRelH relativeFrom="page">
              <wp14:pctWidth>0</wp14:pctWidth>
            </wp14:sizeRelH>
            <wp14:sizeRelV relativeFrom="page">
              <wp14:pctHeight>0</wp14:pctHeight>
            </wp14:sizeRelV>
          </wp:anchor>
        </w:drawing>
      </w:r>
    </w:p>
    <w:p w14:paraId="61169794" w14:textId="77777777" w:rsidR="005B4B0E" w:rsidRPr="00924FEF" w:rsidRDefault="005B4B0E" w:rsidP="005B4B0E">
      <w:pPr>
        <w:jc w:val="both"/>
        <w:rPr>
          <w:rFonts w:ascii="Times New Roman" w:hAnsi="Times New Roman" w:cs="Times New Roman"/>
          <w:sz w:val="24"/>
          <w:szCs w:val="24"/>
        </w:rPr>
      </w:pPr>
      <w:r w:rsidRPr="00924FEF">
        <w:rPr>
          <w:rFonts w:ascii="Times New Roman" w:hAnsi="Times New Roman" w:cs="Times New Roman"/>
          <w:sz w:val="24"/>
          <w:szCs w:val="24"/>
        </w:rPr>
        <w:br w:type="page"/>
      </w:r>
    </w:p>
    <w:p w14:paraId="3AC1F530" w14:textId="77777777" w:rsidR="005B4B0E" w:rsidRPr="00924FEF" w:rsidRDefault="005B4B0E" w:rsidP="005B4B0E">
      <w:pPr>
        <w:spacing w:after="0" w:line="480" w:lineRule="auto"/>
        <w:jc w:val="both"/>
        <w:rPr>
          <w:rFonts w:ascii="Times New Roman" w:hAnsi="Times New Roman" w:cs="Times New Roman"/>
          <w:sz w:val="24"/>
          <w:szCs w:val="24"/>
        </w:rPr>
      </w:pPr>
      <w:r w:rsidRPr="00924FEF">
        <w:rPr>
          <w:rFonts w:ascii="Times New Roman" w:hAnsi="Times New Roman" w:cs="Times New Roman"/>
          <w:noProof/>
          <w:sz w:val="24"/>
          <w:szCs w:val="24"/>
        </w:rPr>
        <w:lastRenderedPageBreak/>
        <w:drawing>
          <wp:anchor distT="0" distB="0" distL="114300" distR="114300" simplePos="0" relativeHeight="251659264" behindDoc="1" locked="0" layoutInCell="1" allowOverlap="1" wp14:anchorId="721CA230" wp14:editId="4F870E69">
            <wp:simplePos x="0" y="0"/>
            <wp:positionH relativeFrom="margin">
              <wp:posOffset>-457200</wp:posOffset>
            </wp:positionH>
            <wp:positionV relativeFrom="margin">
              <wp:align>top</wp:align>
            </wp:positionV>
            <wp:extent cx="9144000" cy="4812030"/>
            <wp:effectExtent l="0" t="0" r="0" b="0"/>
            <wp:wrapTight wrapText="bothSides">
              <wp:wrapPolygon edited="0">
                <wp:start x="180" y="86"/>
                <wp:lineTo x="135" y="770"/>
                <wp:lineTo x="405" y="1368"/>
                <wp:lineTo x="810" y="1625"/>
                <wp:lineTo x="360" y="2993"/>
                <wp:lineTo x="315" y="9406"/>
                <wp:lineTo x="450" y="9834"/>
                <wp:lineTo x="810" y="9834"/>
                <wp:lineTo x="810" y="12143"/>
                <wp:lineTo x="4950" y="12570"/>
                <wp:lineTo x="12870" y="12570"/>
                <wp:lineTo x="450" y="13340"/>
                <wp:lineTo x="450" y="21121"/>
                <wp:lineTo x="4275" y="21378"/>
                <wp:lineTo x="6480" y="21378"/>
                <wp:lineTo x="8595" y="21121"/>
                <wp:lineTo x="8460" y="20779"/>
                <wp:lineTo x="17055" y="20779"/>
                <wp:lineTo x="21510" y="20352"/>
                <wp:lineTo x="21555" y="18385"/>
                <wp:lineTo x="21285" y="18043"/>
                <wp:lineTo x="21510" y="17872"/>
                <wp:lineTo x="21555" y="599"/>
                <wp:lineTo x="13455" y="86"/>
                <wp:lineTo x="180" y="86"/>
              </wp:wrapPolygon>
            </wp:wrapTight>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144000" cy="4812030"/>
                    </a:xfrm>
                    <a:prstGeom prst="rect">
                      <a:avLst/>
                    </a:prstGeom>
                    <a:noFill/>
                  </pic:spPr>
                </pic:pic>
              </a:graphicData>
            </a:graphic>
            <wp14:sizeRelH relativeFrom="page">
              <wp14:pctWidth>0</wp14:pctWidth>
            </wp14:sizeRelH>
            <wp14:sizeRelV relativeFrom="page">
              <wp14:pctHeight>0</wp14:pctHeight>
            </wp14:sizeRelV>
          </wp:anchor>
        </w:drawing>
      </w:r>
    </w:p>
    <w:p w14:paraId="3DE805E8" w14:textId="77777777" w:rsidR="005B4B0E" w:rsidRPr="00924FEF" w:rsidRDefault="005B4B0E" w:rsidP="005B4B0E">
      <w:pPr>
        <w:jc w:val="both"/>
        <w:rPr>
          <w:rFonts w:ascii="Times New Roman" w:hAnsi="Times New Roman" w:cs="Times New Roman"/>
          <w:b/>
          <w:bCs/>
          <w:sz w:val="24"/>
          <w:szCs w:val="24"/>
        </w:rPr>
      </w:pPr>
      <w:r w:rsidRPr="00924FEF">
        <w:rPr>
          <w:rFonts w:ascii="Times New Roman" w:hAnsi="Times New Roman" w:cs="Times New Roman"/>
          <w:b/>
          <w:bCs/>
          <w:sz w:val="24"/>
          <w:szCs w:val="24"/>
        </w:rPr>
        <w:br w:type="page"/>
      </w:r>
    </w:p>
    <w:p w14:paraId="09377C76" w14:textId="77777777" w:rsidR="005B4B0E" w:rsidRPr="00924FEF" w:rsidRDefault="005B4B0E" w:rsidP="005B4B0E">
      <w:pPr>
        <w:spacing w:after="0" w:line="480" w:lineRule="auto"/>
        <w:jc w:val="both"/>
        <w:rPr>
          <w:rFonts w:ascii="Times New Roman" w:hAnsi="Times New Roman" w:cs="Times New Roman"/>
          <w:b/>
          <w:bCs/>
          <w:sz w:val="24"/>
          <w:szCs w:val="24"/>
        </w:rPr>
        <w:sectPr w:rsidR="005B4B0E" w:rsidRPr="00924FEF" w:rsidSect="007C264E">
          <w:pgSz w:w="15840" w:h="12240" w:orient="landscape"/>
          <w:pgMar w:top="1440" w:right="1440" w:bottom="1440" w:left="1440" w:header="720" w:footer="720" w:gutter="0"/>
          <w:cols w:space="720"/>
          <w:docGrid w:linePitch="360"/>
        </w:sectPr>
      </w:pPr>
    </w:p>
    <w:p w14:paraId="30AE72EA" w14:textId="77777777" w:rsidR="005B4B0E" w:rsidRPr="00924FEF" w:rsidRDefault="005B4B0E" w:rsidP="005B4B0E">
      <w:pPr>
        <w:spacing w:after="0" w:line="480" w:lineRule="auto"/>
        <w:jc w:val="both"/>
        <w:rPr>
          <w:rFonts w:ascii="Times New Roman" w:hAnsi="Times New Roman" w:cs="Times New Roman"/>
          <w:b/>
          <w:bCs/>
          <w:sz w:val="24"/>
          <w:szCs w:val="24"/>
        </w:rPr>
      </w:pPr>
      <w:r w:rsidRPr="00924FEF">
        <w:rPr>
          <w:rFonts w:ascii="Times New Roman" w:hAnsi="Times New Roman" w:cs="Times New Roman"/>
          <w:b/>
          <w:bCs/>
          <w:sz w:val="24"/>
          <w:szCs w:val="24"/>
        </w:rPr>
        <w:lastRenderedPageBreak/>
        <w:t>Supplemental References</w:t>
      </w:r>
    </w:p>
    <w:p w14:paraId="2F7B4FC1"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Barnard, J., &amp; Rubin, D.B. (1999). Small-sample degrees of freedom with multiple imputation. </w:t>
      </w:r>
      <w:proofErr w:type="spellStart"/>
      <w:r w:rsidRPr="00924FEF">
        <w:rPr>
          <w:rFonts w:ascii="Times New Roman" w:hAnsi="Times New Roman" w:cs="Times New Roman"/>
          <w:i/>
          <w:iCs/>
          <w:color w:val="323232"/>
          <w:sz w:val="24"/>
          <w:szCs w:val="24"/>
          <w:shd w:val="clear" w:color="auto" w:fill="FFFFFF"/>
        </w:rPr>
        <w:t>Biometrika</w:t>
      </w:r>
      <w:proofErr w:type="spellEnd"/>
      <w:r w:rsidRPr="00924FEF">
        <w:rPr>
          <w:rFonts w:ascii="Times New Roman" w:hAnsi="Times New Roman" w:cs="Times New Roman"/>
          <w:i/>
          <w:iCs/>
          <w:color w:val="323232"/>
          <w:sz w:val="24"/>
          <w:szCs w:val="24"/>
          <w:shd w:val="clear" w:color="auto" w:fill="FFFFFF"/>
        </w:rPr>
        <w:t>, 86</w:t>
      </w:r>
      <w:r w:rsidRPr="00924FEF">
        <w:rPr>
          <w:rFonts w:ascii="Times New Roman" w:hAnsi="Times New Roman" w:cs="Times New Roman"/>
          <w:color w:val="323232"/>
          <w:sz w:val="24"/>
          <w:szCs w:val="24"/>
          <w:shd w:val="clear" w:color="auto" w:fill="FFFFFF"/>
        </w:rPr>
        <w:t>(4), 948–955. doi.org/10.1093/</w:t>
      </w:r>
      <w:proofErr w:type="spellStart"/>
      <w:r w:rsidRPr="00924FEF">
        <w:rPr>
          <w:rFonts w:ascii="Times New Roman" w:hAnsi="Times New Roman" w:cs="Times New Roman"/>
          <w:color w:val="323232"/>
          <w:sz w:val="24"/>
          <w:szCs w:val="24"/>
          <w:shd w:val="clear" w:color="auto" w:fill="FFFFFF"/>
        </w:rPr>
        <w:t>biomet</w:t>
      </w:r>
      <w:proofErr w:type="spellEnd"/>
      <w:r w:rsidRPr="00924FEF">
        <w:rPr>
          <w:rFonts w:ascii="Times New Roman" w:hAnsi="Times New Roman" w:cs="Times New Roman"/>
          <w:color w:val="323232"/>
          <w:sz w:val="24"/>
          <w:szCs w:val="24"/>
          <w:shd w:val="clear" w:color="auto" w:fill="FFFFFF"/>
        </w:rPr>
        <w:t>/86.4.948</w:t>
      </w:r>
    </w:p>
    <w:p w14:paraId="28AF634D"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Browne MW, </w:t>
      </w:r>
      <w:proofErr w:type="spellStart"/>
      <w:r w:rsidRPr="00924FEF">
        <w:rPr>
          <w:rFonts w:ascii="Times New Roman" w:hAnsi="Times New Roman" w:cs="Times New Roman"/>
          <w:color w:val="323232"/>
          <w:sz w:val="24"/>
          <w:szCs w:val="24"/>
          <w:shd w:val="clear" w:color="auto" w:fill="FFFFFF"/>
        </w:rPr>
        <w:t>Cudeck</w:t>
      </w:r>
      <w:proofErr w:type="spellEnd"/>
      <w:r w:rsidRPr="00924FEF">
        <w:rPr>
          <w:rFonts w:ascii="Times New Roman" w:hAnsi="Times New Roman" w:cs="Times New Roman"/>
          <w:color w:val="323232"/>
          <w:sz w:val="24"/>
          <w:szCs w:val="24"/>
          <w:shd w:val="clear" w:color="auto" w:fill="FFFFFF"/>
        </w:rPr>
        <w:t xml:space="preserve"> R. Alternative Ways of Assessing Model Fit. In: </w:t>
      </w:r>
      <w:proofErr w:type="spellStart"/>
      <w:r w:rsidRPr="00924FEF">
        <w:rPr>
          <w:rFonts w:ascii="Times New Roman" w:hAnsi="Times New Roman" w:cs="Times New Roman"/>
          <w:color w:val="323232"/>
          <w:sz w:val="24"/>
          <w:szCs w:val="24"/>
          <w:shd w:val="clear" w:color="auto" w:fill="FFFFFF"/>
        </w:rPr>
        <w:t>Bollen</w:t>
      </w:r>
      <w:proofErr w:type="spellEnd"/>
      <w:r w:rsidRPr="00924FEF">
        <w:rPr>
          <w:rFonts w:ascii="Times New Roman" w:hAnsi="Times New Roman" w:cs="Times New Roman"/>
          <w:color w:val="323232"/>
          <w:sz w:val="24"/>
          <w:szCs w:val="24"/>
          <w:shd w:val="clear" w:color="auto" w:fill="FFFFFF"/>
        </w:rPr>
        <w:t xml:space="preserve"> K, Long J, editors. </w:t>
      </w:r>
      <w:r w:rsidRPr="00924FEF">
        <w:rPr>
          <w:rFonts w:ascii="Times New Roman" w:hAnsi="Times New Roman" w:cs="Times New Roman"/>
          <w:i/>
          <w:iCs/>
          <w:color w:val="323232"/>
          <w:sz w:val="24"/>
          <w:szCs w:val="24"/>
          <w:shd w:val="clear" w:color="auto" w:fill="FFFFFF"/>
        </w:rPr>
        <w:t>Testing Structural Equation Models.</w:t>
      </w:r>
      <w:r w:rsidRPr="00924FEF">
        <w:rPr>
          <w:rFonts w:ascii="Times New Roman" w:hAnsi="Times New Roman" w:cs="Times New Roman"/>
          <w:color w:val="323232"/>
          <w:sz w:val="24"/>
          <w:szCs w:val="24"/>
          <w:shd w:val="clear" w:color="auto" w:fill="FFFFFF"/>
        </w:rPr>
        <w:t> Sage; Newbury Park, CA: 1993. pp. 136–162.</w:t>
      </w:r>
    </w:p>
    <w:p w14:paraId="6B813FAF"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Bryson, S.E., </w:t>
      </w:r>
      <w:proofErr w:type="spellStart"/>
      <w:r w:rsidRPr="00924FEF">
        <w:rPr>
          <w:rFonts w:ascii="Times New Roman" w:hAnsi="Times New Roman" w:cs="Times New Roman"/>
          <w:color w:val="323232"/>
          <w:sz w:val="24"/>
          <w:szCs w:val="24"/>
          <w:shd w:val="clear" w:color="auto" w:fill="FFFFFF"/>
        </w:rPr>
        <w:t>Zwaigenbaum</w:t>
      </w:r>
      <w:proofErr w:type="spellEnd"/>
      <w:r w:rsidRPr="00924FEF">
        <w:rPr>
          <w:rFonts w:ascii="Times New Roman" w:hAnsi="Times New Roman" w:cs="Times New Roman"/>
          <w:color w:val="323232"/>
          <w:sz w:val="24"/>
          <w:szCs w:val="24"/>
          <w:shd w:val="clear" w:color="auto" w:fill="FFFFFF"/>
        </w:rPr>
        <w:t xml:space="preserve">, L., McDermott, C., </w:t>
      </w:r>
      <w:proofErr w:type="spellStart"/>
      <w:r w:rsidRPr="00924FEF">
        <w:rPr>
          <w:rFonts w:ascii="Times New Roman" w:hAnsi="Times New Roman" w:cs="Times New Roman"/>
          <w:color w:val="323232"/>
          <w:sz w:val="24"/>
          <w:szCs w:val="24"/>
          <w:shd w:val="clear" w:color="auto" w:fill="FFFFFF"/>
        </w:rPr>
        <w:t>Rombough</w:t>
      </w:r>
      <w:proofErr w:type="spellEnd"/>
      <w:r w:rsidRPr="00924FEF">
        <w:rPr>
          <w:rFonts w:ascii="Times New Roman" w:hAnsi="Times New Roman" w:cs="Times New Roman"/>
          <w:color w:val="323232"/>
          <w:sz w:val="24"/>
          <w:szCs w:val="24"/>
          <w:shd w:val="clear" w:color="auto" w:fill="FFFFFF"/>
        </w:rPr>
        <w:t xml:space="preserve">, V., &amp; Brian, J. (2008). The Autism Observation Scale for Infants: scale development and reliability data. </w:t>
      </w:r>
      <w:r w:rsidRPr="00924FEF">
        <w:rPr>
          <w:rFonts w:ascii="Times New Roman" w:hAnsi="Times New Roman" w:cs="Times New Roman"/>
          <w:i/>
          <w:iCs/>
          <w:color w:val="323232"/>
          <w:sz w:val="24"/>
          <w:szCs w:val="24"/>
        </w:rPr>
        <w:t>Journal of Autism and Developmental Disorders</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38</w:t>
      </w:r>
      <w:r w:rsidRPr="00924FEF">
        <w:rPr>
          <w:rFonts w:ascii="Times New Roman" w:hAnsi="Times New Roman" w:cs="Times New Roman"/>
          <w:color w:val="323232"/>
          <w:sz w:val="24"/>
          <w:szCs w:val="24"/>
          <w:shd w:val="clear" w:color="auto" w:fill="FFFFFF"/>
        </w:rPr>
        <w:t>, 731-738.</w:t>
      </w:r>
    </w:p>
    <w:p w14:paraId="58751E0D"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proofErr w:type="spellStart"/>
      <w:r w:rsidRPr="00924FEF">
        <w:rPr>
          <w:rFonts w:ascii="Times New Roman" w:hAnsi="Times New Roman" w:cs="Times New Roman"/>
          <w:color w:val="323232"/>
          <w:sz w:val="24"/>
          <w:szCs w:val="24"/>
          <w:shd w:val="clear" w:color="auto" w:fill="FFFFFF"/>
        </w:rPr>
        <w:t>Chevallier</w:t>
      </w:r>
      <w:proofErr w:type="spellEnd"/>
      <w:r w:rsidRPr="00924FEF">
        <w:rPr>
          <w:rFonts w:ascii="Times New Roman" w:hAnsi="Times New Roman" w:cs="Times New Roman"/>
          <w:color w:val="323232"/>
          <w:sz w:val="24"/>
          <w:szCs w:val="24"/>
          <w:shd w:val="clear" w:color="auto" w:fill="FFFFFF"/>
        </w:rPr>
        <w:t xml:space="preserve">, C., Kohls, G., </w:t>
      </w:r>
      <w:proofErr w:type="spellStart"/>
      <w:r w:rsidRPr="00924FEF">
        <w:rPr>
          <w:rFonts w:ascii="Times New Roman" w:hAnsi="Times New Roman" w:cs="Times New Roman"/>
          <w:color w:val="323232"/>
          <w:sz w:val="24"/>
          <w:szCs w:val="24"/>
          <w:shd w:val="clear" w:color="auto" w:fill="FFFFFF"/>
        </w:rPr>
        <w:t>Troiani</w:t>
      </w:r>
      <w:proofErr w:type="spellEnd"/>
      <w:r w:rsidRPr="00924FEF">
        <w:rPr>
          <w:rFonts w:ascii="Times New Roman" w:hAnsi="Times New Roman" w:cs="Times New Roman"/>
          <w:color w:val="323232"/>
          <w:sz w:val="24"/>
          <w:szCs w:val="24"/>
          <w:shd w:val="clear" w:color="auto" w:fill="FFFFFF"/>
        </w:rPr>
        <w:t xml:space="preserve">, V., </w:t>
      </w:r>
      <w:proofErr w:type="spellStart"/>
      <w:r w:rsidRPr="00924FEF">
        <w:rPr>
          <w:rFonts w:ascii="Times New Roman" w:hAnsi="Times New Roman" w:cs="Times New Roman"/>
          <w:color w:val="323232"/>
          <w:sz w:val="24"/>
          <w:szCs w:val="24"/>
          <w:shd w:val="clear" w:color="auto" w:fill="FFFFFF"/>
        </w:rPr>
        <w:t>Brodkin</w:t>
      </w:r>
      <w:proofErr w:type="spellEnd"/>
      <w:r w:rsidRPr="00924FEF">
        <w:rPr>
          <w:rFonts w:ascii="Times New Roman" w:hAnsi="Times New Roman" w:cs="Times New Roman"/>
          <w:color w:val="323232"/>
          <w:sz w:val="24"/>
          <w:szCs w:val="24"/>
          <w:shd w:val="clear" w:color="auto" w:fill="FFFFFF"/>
        </w:rPr>
        <w:t xml:space="preserve">, E.S., &amp; Schultz, R.T. (2012). The social motivation theory of autism. </w:t>
      </w:r>
      <w:r w:rsidRPr="00924FEF">
        <w:rPr>
          <w:rFonts w:ascii="Times New Roman" w:eastAsia="Times New Roman" w:hAnsi="Times New Roman" w:cs="Times New Roman"/>
          <w:i/>
          <w:iCs/>
          <w:color w:val="323232"/>
          <w:sz w:val="24"/>
          <w:szCs w:val="24"/>
          <w:lang w:eastAsia="zh-CN"/>
        </w:rPr>
        <w:t>Trends in Cognitive Sciences</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16</w:t>
      </w:r>
      <w:r w:rsidRPr="00924FEF">
        <w:rPr>
          <w:rFonts w:ascii="Times New Roman" w:hAnsi="Times New Roman" w:cs="Times New Roman"/>
          <w:color w:val="323232"/>
          <w:sz w:val="24"/>
          <w:szCs w:val="24"/>
          <w:shd w:val="clear" w:color="auto" w:fill="FFFFFF"/>
        </w:rPr>
        <w:t>, 231-239.</w:t>
      </w:r>
    </w:p>
    <w:p w14:paraId="200EADC5" w14:textId="77777777" w:rsidR="005B4B0E" w:rsidRPr="00924FEF" w:rsidRDefault="005B4B0E" w:rsidP="005B4B0E">
      <w:pPr>
        <w:spacing w:after="0" w:line="480" w:lineRule="auto"/>
        <w:ind w:left="720" w:hanging="720"/>
        <w:jc w:val="both"/>
        <w:rPr>
          <w:rFonts w:ascii="Times New Roman" w:hAnsi="Times New Roman" w:cs="Times New Roman"/>
          <w:sz w:val="24"/>
          <w:szCs w:val="24"/>
        </w:rPr>
      </w:pPr>
      <w:r w:rsidRPr="00924FEF">
        <w:rPr>
          <w:rFonts w:ascii="Times New Roman" w:hAnsi="Times New Roman" w:cs="Times New Roman"/>
          <w:sz w:val="24"/>
          <w:szCs w:val="24"/>
        </w:rPr>
        <w:t xml:space="preserve">Cohen, J. (1988). </w:t>
      </w:r>
      <w:r w:rsidRPr="00924FEF">
        <w:rPr>
          <w:rFonts w:ascii="Times New Roman" w:hAnsi="Times New Roman" w:cs="Times New Roman"/>
          <w:i/>
          <w:iCs/>
          <w:sz w:val="24"/>
          <w:szCs w:val="24"/>
        </w:rPr>
        <w:t>Statistical Power Analysis for the Behavioral Sciences</w:t>
      </w:r>
      <w:r w:rsidRPr="00924FEF">
        <w:rPr>
          <w:rFonts w:ascii="Times New Roman" w:hAnsi="Times New Roman" w:cs="Times New Roman"/>
          <w:sz w:val="24"/>
          <w:szCs w:val="24"/>
        </w:rPr>
        <w:t xml:space="preserve"> (2</w:t>
      </w:r>
      <w:r w:rsidRPr="00924FEF">
        <w:rPr>
          <w:rFonts w:ascii="Times New Roman" w:hAnsi="Times New Roman" w:cs="Times New Roman"/>
          <w:sz w:val="24"/>
          <w:szCs w:val="24"/>
          <w:vertAlign w:val="superscript"/>
        </w:rPr>
        <w:t>nd</w:t>
      </w:r>
      <w:r w:rsidRPr="00924FEF">
        <w:rPr>
          <w:rFonts w:ascii="Times New Roman" w:hAnsi="Times New Roman" w:cs="Times New Roman"/>
          <w:sz w:val="24"/>
          <w:szCs w:val="24"/>
        </w:rPr>
        <w:t xml:space="preserve"> ed.). New York: Routledge.</w:t>
      </w:r>
    </w:p>
    <w:p w14:paraId="6E2D1842"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Enders, C. K. (2017). Multiple imputation as a flexible tool for missing data handling in clinical research. </w:t>
      </w:r>
      <w:proofErr w:type="spellStart"/>
      <w:r w:rsidRPr="00924FEF">
        <w:rPr>
          <w:rFonts w:ascii="Times New Roman" w:hAnsi="Times New Roman" w:cs="Times New Roman"/>
          <w:i/>
          <w:iCs/>
          <w:color w:val="323232"/>
          <w:sz w:val="24"/>
          <w:szCs w:val="24"/>
          <w:shd w:val="clear" w:color="auto" w:fill="FFFFFF"/>
        </w:rPr>
        <w:t>Behaviour</w:t>
      </w:r>
      <w:proofErr w:type="spellEnd"/>
      <w:r w:rsidRPr="00924FEF">
        <w:rPr>
          <w:rFonts w:ascii="Times New Roman" w:hAnsi="Times New Roman" w:cs="Times New Roman"/>
          <w:i/>
          <w:iCs/>
          <w:color w:val="323232"/>
          <w:sz w:val="24"/>
          <w:szCs w:val="24"/>
          <w:shd w:val="clear" w:color="auto" w:fill="FFFFFF"/>
        </w:rPr>
        <w:t xml:space="preserve"> research and therapy</w:t>
      </w:r>
      <w:r w:rsidRPr="00924FEF">
        <w:rPr>
          <w:rFonts w:ascii="Times New Roman" w:hAnsi="Times New Roman" w:cs="Times New Roman"/>
          <w:color w:val="323232"/>
          <w:sz w:val="24"/>
          <w:szCs w:val="24"/>
          <w:shd w:val="clear" w:color="auto" w:fill="FFFFFF"/>
        </w:rPr>
        <w:t xml:space="preserve">, 98, 4-18. </w:t>
      </w:r>
      <w:proofErr w:type="gramStart"/>
      <w:r w:rsidRPr="00924FEF">
        <w:rPr>
          <w:rFonts w:ascii="Times New Roman" w:hAnsi="Times New Roman" w:cs="Times New Roman"/>
          <w:color w:val="323232"/>
          <w:sz w:val="24"/>
          <w:szCs w:val="24"/>
          <w:shd w:val="clear" w:color="auto" w:fill="FFFFFF"/>
        </w:rPr>
        <w:t>Doi:10.1016/j.brat</w:t>
      </w:r>
      <w:proofErr w:type="gramEnd"/>
      <w:r w:rsidRPr="00924FEF">
        <w:rPr>
          <w:rFonts w:ascii="Times New Roman" w:hAnsi="Times New Roman" w:cs="Times New Roman"/>
          <w:color w:val="323232"/>
          <w:sz w:val="24"/>
          <w:szCs w:val="24"/>
          <w:shd w:val="clear" w:color="auto" w:fill="FFFFFF"/>
        </w:rPr>
        <w:t>.2016.11.008</w:t>
      </w:r>
    </w:p>
    <w:p w14:paraId="530896EF"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Estes, A., </w:t>
      </w:r>
      <w:proofErr w:type="spellStart"/>
      <w:r w:rsidRPr="00924FEF">
        <w:rPr>
          <w:rFonts w:ascii="Times New Roman" w:hAnsi="Times New Roman" w:cs="Times New Roman"/>
          <w:color w:val="323232"/>
          <w:sz w:val="24"/>
          <w:szCs w:val="24"/>
          <w:shd w:val="clear" w:color="auto" w:fill="FFFFFF"/>
        </w:rPr>
        <w:t>Zwaigenbaum</w:t>
      </w:r>
      <w:proofErr w:type="spellEnd"/>
      <w:r w:rsidRPr="00924FEF">
        <w:rPr>
          <w:rFonts w:ascii="Times New Roman" w:hAnsi="Times New Roman" w:cs="Times New Roman"/>
          <w:color w:val="323232"/>
          <w:sz w:val="24"/>
          <w:szCs w:val="24"/>
          <w:shd w:val="clear" w:color="auto" w:fill="FFFFFF"/>
        </w:rPr>
        <w:t xml:space="preserve">, L., Gu, H., St John, T., Paterson, S., </w:t>
      </w:r>
      <w:proofErr w:type="spellStart"/>
      <w:r w:rsidRPr="00924FEF">
        <w:rPr>
          <w:rFonts w:ascii="Times New Roman" w:hAnsi="Times New Roman" w:cs="Times New Roman"/>
          <w:color w:val="323232"/>
          <w:sz w:val="24"/>
          <w:szCs w:val="24"/>
          <w:shd w:val="clear" w:color="auto" w:fill="FFFFFF"/>
        </w:rPr>
        <w:t>Elison</w:t>
      </w:r>
      <w:proofErr w:type="spellEnd"/>
      <w:r w:rsidRPr="00924FEF">
        <w:rPr>
          <w:rFonts w:ascii="Times New Roman" w:hAnsi="Times New Roman" w:cs="Times New Roman"/>
          <w:color w:val="323232"/>
          <w:sz w:val="24"/>
          <w:szCs w:val="24"/>
          <w:shd w:val="clear" w:color="auto" w:fill="FFFFFF"/>
        </w:rPr>
        <w:t xml:space="preserve">, J. T., Hazlett, H., </w:t>
      </w:r>
      <w:proofErr w:type="spellStart"/>
      <w:r w:rsidRPr="00924FEF">
        <w:rPr>
          <w:rFonts w:ascii="Times New Roman" w:hAnsi="Times New Roman" w:cs="Times New Roman"/>
          <w:color w:val="323232"/>
          <w:sz w:val="24"/>
          <w:szCs w:val="24"/>
          <w:shd w:val="clear" w:color="auto" w:fill="FFFFFF"/>
        </w:rPr>
        <w:t>Botteron</w:t>
      </w:r>
      <w:proofErr w:type="spellEnd"/>
      <w:r w:rsidRPr="00924FEF">
        <w:rPr>
          <w:rFonts w:ascii="Times New Roman" w:hAnsi="Times New Roman" w:cs="Times New Roman"/>
          <w:color w:val="323232"/>
          <w:sz w:val="24"/>
          <w:szCs w:val="24"/>
          <w:shd w:val="clear" w:color="auto" w:fill="FFFFFF"/>
        </w:rPr>
        <w:t xml:space="preserve">, K., </w:t>
      </w:r>
      <w:proofErr w:type="spellStart"/>
      <w:r w:rsidRPr="00924FEF">
        <w:rPr>
          <w:rFonts w:ascii="Times New Roman" w:hAnsi="Times New Roman" w:cs="Times New Roman"/>
          <w:color w:val="323232"/>
          <w:sz w:val="24"/>
          <w:szCs w:val="24"/>
          <w:shd w:val="clear" w:color="auto" w:fill="FFFFFF"/>
        </w:rPr>
        <w:t>Dager</w:t>
      </w:r>
      <w:proofErr w:type="spellEnd"/>
      <w:r w:rsidRPr="00924FEF">
        <w:rPr>
          <w:rFonts w:ascii="Times New Roman" w:hAnsi="Times New Roman" w:cs="Times New Roman"/>
          <w:color w:val="323232"/>
          <w:sz w:val="24"/>
          <w:szCs w:val="24"/>
          <w:shd w:val="clear" w:color="auto" w:fill="FFFFFF"/>
        </w:rPr>
        <w:t xml:space="preserve">, S. R., Schultz, R. T., </w:t>
      </w:r>
      <w:proofErr w:type="spellStart"/>
      <w:r w:rsidRPr="00924FEF">
        <w:rPr>
          <w:rFonts w:ascii="Times New Roman" w:hAnsi="Times New Roman" w:cs="Times New Roman"/>
          <w:color w:val="323232"/>
          <w:sz w:val="24"/>
          <w:szCs w:val="24"/>
          <w:shd w:val="clear" w:color="auto" w:fill="FFFFFF"/>
        </w:rPr>
        <w:t>Kostopoulos</w:t>
      </w:r>
      <w:proofErr w:type="spellEnd"/>
      <w:r w:rsidRPr="00924FEF">
        <w:rPr>
          <w:rFonts w:ascii="Times New Roman" w:hAnsi="Times New Roman" w:cs="Times New Roman"/>
          <w:color w:val="323232"/>
          <w:sz w:val="24"/>
          <w:szCs w:val="24"/>
          <w:shd w:val="clear" w:color="auto" w:fill="FFFFFF"/>
        </w:rPr>
        <w:t xml:space="preserve">, P., Evans, A., Dawson, G., Eliason, J., Alvarez, S., </w:t>
      </w:r>
      <w:proofErr w:type="spellStart"/>
      <w:r w:rsidRPr="00924FEF">
        <w:rPr>
          <w:rFonts w:ascii="Times New Roman" w:hAnsi="Times New Roman" w:cs="Times New Roman"/>
          <w:color w:val="323232"/>
          <w:sz w:val="24"/>
          <w:szCs w:val="24"/>
          <w:shd w:val="clear" w:color="auto" w:fill="FFFFFF"/>
        </w:rPr>
        <w:t>Piven</w:t>
      </w:r>
      <w:proofErr w:type="spellEnd"/>
      <w:r w:rsidRPr="00924FEF">
        <w:rPr>
          <w:rFonts w:ascii="Times New Roman" w:hAnsi="Times New Roman" w:cs="Times New Roman"/>
          <w:color w:val="323232"/>
          <w:sz w:val="24"/>
          <w:szCs w:val="24"/>
          <w:shd w:val="clear" w:color="auto" w:fill="FFFFFF"/>
        </w:rPr>
        <w:t xml:space="preserve">, J., &amp; IBIS network. (2015). Behavioral, cognitive, and adaptive development in infants with autism spectrum disorder in the first 2 years of life. </w:t>
      </w:r>
      <w:r w:rsidRPr="00924FEF">
        <w:rPr>
          <w:rFonts w:ascii="Times New Roman" w:hAnsi="Times New Roman" w:cs="Times New Roman"/>
          <w:i/>
          <w:iCs/>
          <w:color w:val="323232"/>
          <w:sz w:val="24"/>
          <w:szCs w:val="24"/>
        </w:rPr>
        <w:t>Journal of Neurodevelopmental Disorders</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7</w:t>
      </w:r>
      <w:r w:rsidRPr="00924FEF">
        <w:rPr>
          <w:rFonts w:ascii="Times New Roman" w:hAnsi="Times New Roman" w:cs="Times New Roman"/>
          <w:color w:val="323232"/>
          <w:sz w:val="24"/>
          <w:szCs w:val="24"/>
          <w:shd w:val="clear" w:color="auto" w:fill="FFFFFF"/>
        </w:rPr>
        <w:t>, 24.</w:t>
      </w:r>
    </w:p>
    <w:p w14:paraId="0B932B84"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proofErr w:type="spellStart"/>
      <w:r w:rsidRPr="00924FEF">
        <w:rPr>
          <w:rFonts w:ascii="Times New Roman" w:hAnsi="Times New Roman" w:cs="Times New Roman"/>
          <w:color w:val="323232"/>
          <w:sz w:val="24"/>
          <w:szCs w:val="24"/>
          <w:shd w:val="clear" w:color="auto" w:fill="FFFFFF"/>
        </w:rPr>
        <w:t>Fenson</w:t>
      </w:r>
      <w:proofErr w:type="spellEnd"/>
      <w:r w:rsidRPr="00924FEF">
        <w:rPr>
          <w:rFonts w:ascii="Times New Roman" w:hAnsi="Times New Roman" w:cs="Times New Roman"/>
          <w:color w:val="323232"/>
          <w:sz w:val="24"/>
          <w:szCs w:val="24"/>
          <w:shd w:val="clear" w:color="auto" w:fill="FFFFFF"/>
        </w:rPr>
        <w:t xml:space="preserve">, L., Marchman, V.A., </w:t>
      </w:r>
      <w:proofErr w:type="spellStart"/>
      <w:r w:rsidRPr="00924FEF">
        <w:rPr>
          <w:rFonts w:ascii="Times New Roman" w:hAnsi="Times New Roman" w:cs="Times New Roman"/>
          <w:color w:val="323232"/>
          <w:sz w:val="24"/>
          <w:szCs w:val="24"/>
          <w:shd w:val="clear" w:color="auto" w:fill="FFFFFF"/>
        </w:rPr>
        <w:t>Thal</w:t>
      </w:r>
      <w:proofErr w:type="spellEnd"/>
      <w:r w:rsidRPr="00924FEF">
        <w:rPr>
          <w:rFonts w:ascii="Times New Roman" w:hAnsi="Times New Roman" w:cs="Times New Roman"/>
          <w:color w:val="323232"/>
          <w:sz w:val="24"/>
          <w:szCs w:val="24"/>
          <w:shd w:val="clear" w:color="auto" w:fill="FFFFFF"/>
        </w:rPr>
        <w:t xml:space="preserve">, D.J., Dale, P.S., Reznick, J.S., &amp; Bates, E. (2006). </w:t>
      </w:r>
      <w:r w:rsidRPr="00924FEF">
        <w:rPr>
          <w:rFonts w:ascii="Times New Roman" w:hAnsi="Times New Roman" w:cs="Times New Roman"/>
          <w:i/>
          <w:iCs/>
          <w:color w:val="323232"/>
          <w:sz w:val="24"/>
          <w:szCs w:val="24"/>
        </w:rPr>
        <w:t xml:space="preserve">MacArthur-Bates Communicative Development Inventories: User’s Guide and Technical Manual </w:t>
      </w:r>
      <w:r w:rsidRPr="00924FEF">
        <w:rPr>
          <w:rFonts w:ascii="Times New Roman" w:hAnsi="Times New Roman" w:cs="Times New Roman"/>
          <w:color w:val="323232"/>
          <w:sz w:val="24"/>
          <w:szCs w:val="24"/>
        </w:rPr>
        <w:t>(2</w:t>
      </w:r>
      <w:r w:rsidRPr="00924FEF">
        <w:rPr>
          <w:rFonts w:ascii="Times New Roman" w:hAnsi="Times New Roman" w:cs="Times New Roman"/>
          <w:color w:val="323232"/>
          <w:sz w:val="24"/>
          <w:szCs w:val="24"/>
          <w:vertAlign w:val="superscript"/>
        </w:rPr>
        <w:t>nd</w:t>
      </w:r>
      <w:r w:rsidRPr="00924FEF">
        <w:rPr>
          <w:rFonts w:ascii="Times New Roman" w:hAnsi="Times New Roman" w:cs="Times New Roman"/>
          <w:color w:val="323232"/>
          <w:sz w:val="24"/>
          <w:szCs w:val="24"/>
        </w:rPr>
        <w:t xml:space="preserve"> ed.)</w:t>
      </w:r>
      <w:r w:rsidRPr="00924FEF">
        <w:rPr>
          <w:rFonts w:ascii="Times New Roman" w:hAnsi="Times New Roman" w:cs="Times New Roman"/>
          <w:color w:val="323232"/>
          <w:sz w:val="24"/>
          <w:szCs w:val="24"/>
          <w:shd w:val="clear" w:color="auto" w:fill="FFFFFF"/>
        </w:rPr>
        <w:t>. Baltimore: Brookes Publishing Company.</w:t>
      </w:r>
    </w:p>
    <w:p w14:paraId="27F90E84"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p>
    <w:p w14:paraId="18AEB433" w14:textId="77777777" w:rsidR="005B4B0E" w:rsidRPr="00924FEF" w:rsidRDefault="005B4B0E" w:rsidP="005B4B0E">
      <w:pPr>
        <w:spacing w:after="0" w:line="480" w:lineRule="auto"/>
        <w:ind w:left="720" w:hanging="720"/>
        <w:jc w:val="both"/>
        <w:rPr>
          <w:rFonts w:ascii="Times New Roman" w:hAnsi="Times New Roman" w:cs="Times New Roman"/>
          <w:sz w:val="24"/>
          <w:szCs w:val="24"/>
        </w:rPr>
      </w:pPr>
      <w:r w:rsidRPr="00924FEF">
        <w:rPr>
          <w:rFonts w:ascii="Times New Roman" w:hAnsi="Times New Roman" w:cs="Times New Roman"/>
          <w:sz w:val="24"/>
          <w:szCs w:val="24"/>
        </w:rPr>
        <w:lastRenderedPageBreak/>
        <w:t xml:space="preserve">Frazier, T. W., Ratliff, K. R., Gruber, C., Zhang, Y., Law, P. A., &amp; Constantino, J. N. (2014). Confirmatory factor analytic structure and measurement invariance of quantitative autistic traits measured by the social responsiveness </w:t>
      </w:r>
      <w:proofErr w:type="gramStart"/>
      <w:r w:rsidRPr="00924FEF">
        <w:rPr>
          <w:rFonts w:ascii="Times New Roman" w:hAnsi="Times New Roman" w:cs="Times New Roman"/>
          <w:sz w:val="24"/>
          <w:szCs w:val="24"/>
        </w:rPr>
        <w:t>scale-2</w:t>
      </w:r>
      <w:proofErr w:type="gramEnd"/>
      <w:r w:rsidRPr="00924FEF">
        <w:rPr>
          <w:rFonts w:ascii="Times New Roman" w:hAnsi="Times New Roman" w:cs="Times New Roman"/>
          <w:sz w:val="24"/>
          <w:szCs w:val="24"/>
        </w:rPr>
        <w:t>. </w:t>
      </w:r>
      <w:r w:rsidRPr="00924FEF">
        <w:rPr>
          <w:rFonts w:ascii="Times New Roman" w:hAnsi="Times New Roman" w:cs="Times New Roman"/>
          <w:i/>
          <w:iCs/>
          <w:sz w:val="24"/>
          <w:szCs w:val="24"/>
        </w:rPr>
        <w:t>Autism: the international journal of research and practice</w:t>
      </w:r>
      <w:r w:rsidRPr="00924FEF">
        <w:rPr>
          <w:rFonts w:ascii="Times New Roman" w:hAnsi="Times New Roman" w:cs="Times New Roman"/>
          <w:sz w:val="24"/>
          <w:szCs w:val="24"/>
        </w:rPr>
        <w:t>, </w:t>
      </w:r>
      <w:r w:rsidRPr="00924FEF">
        <w:rPr>
          <w:rFonts w:ascii="Times New Roman" w:hAnsi="Times New Roman" w:cs="Times New Roman"/>
          <w:i/>
          <w:iCs/>
          <w:sz w:val="24"/>
          <w:szCs w:val="24"/>
        </w:rPr>
        <w:t>18</w:t>
      </w:r>
      <w:r w:rsidRPr="00924FEF">
        <w:rPr>
          <w:rFonts w:ascii="Times New Roman" w:hAnsi="Times New Roman" w:cs="Times New Roman"/>
          <w:sz w:val="24"/>
          <w:szCs w:val="24"/>
        </w:rPr>
        <w:t xml:space="preserve">(1), 31–44. </w:t>
      </w:r>
      <w:proofErr w:type="spellStart"/>
      <w:r w:rsidRPr="00924FEF">
        <w:rPr>
          <w:rFonts w:ascii="Times New Roman" w:hAnsi="Times New Roman" w:cs="Times New Roman"/>
          <w:sz w:val="24"/>
          <w:szCs w:val="24"/>
        </w:rPr>
        <w:t>doi</w:t>
      </w:r>
      <w:proofErr w:type="spellEnd"/>
      <w:r w:rsidRPr="00924FEF">
        <w:rPr>
          <w:rFonts w:ascii="Times New Roman" w:hAnsi="Times New Roman" w:cs="Times New Roman"/>
          <w:sz w:val="24"/>
          <w:szCs w:val="24"/>
        </w:rPr>
        <w:t>: 10.1177/1362361313500382</w:t>
      </w:r>
    </w:p>
    <w:p w14:paraId="0143BEA1"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proofErr w:type="spellStart"/>
      <w:r w:rsidRPr="00924FEF">
        <w:rPr>
          <w:rFonts w:ascii="Times New Roman" w:hAnsi="Times New Roman" w:cs="Times New Roman"/>
          <w:color w:val="323232"/>
          <w:sz w:val="24"/>
          <w:szCs w:val="24"/>
          <w:shd w:val="clear" w:color="auto" w:fill="FFFFFF"/>
        </w:rPr>
        <w:t>Gartstein</w:t>
      </w:r>
      <w:proofErr w:type="spellEnd"/>
      <w:r w:rsidRPr="00924FEF">
        <w:rPr>
          <w:rFonts w:ascii="Times New Roman" w:hAnsi="Times New Roman" w:cs="Times New Roman"/>
          <w:color w:val="323232"/>
          <w:sz w:val="24"/>
          <w:szCs w:val="24"/>
          <w:shd w:val="clear" w:color="auto" w:fill="FFFFFF"/>
        </w:rPr>
        <w:t xml:space="preserve">, M.A. &amp; Rothbart, M.K. (2003). Studying infant temperament via the revised infant behavior questionnaire. </w:t>
      </w:r>
      <w:r w:rsidRPr="00924FEF">
        <w:rPr>
          <w:rFonts w:ascii="Times New Roman" w:eastAsia="Times New Roman" w:hAnsi="Times New Roman" w:cs="Times New Roman"/>
          <w:i/>
          <w:iCs/>
          <w:color w:val="323232"/>
          <w:sz w:val="24"/>
          <w:szCs w:val="24"/>
          <w:lang w:eastAsia="zh-CN"/>
        </w:rPr>
        <w:t>Infant Behavior and Development</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26</w:t>
      </w:r>
      <w:r w:rsidRPr="00924FEF">
        <w:rPr>
          <w:rFonts w:ascii="Times New Roman" w:hAnsi="Times New Roman" w:cs="Times New Roman"/>
          <w:color w:val="323232"/>
          <w:sz w:val="24"/>
          <w:szCs w:val="24"/>
          <w:shd w:val="clear" w:color="auto" w:fill="FFFFFF"/>
        </w:rPr>
        <w:t>, 64-86.</w:t>
      </w:r>
    </w:p>
    <w:p w14:paraId="1EF4DF83"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Gotham, K., </w:t>
      </w:r>
      <w:proofErr w:type="spellStart"/>
      <w:r w:rsidRPr="00924FEF">
        <w:rPr>
          <w:rFonts w:ascii="Times New Roman" w:hAnsi="Times New Roman" w:cs="Times New Roman"/>
          <w:color w:val="323232"/>
          <w:sz w:val="24"/>
          <w:szCs w:val="24"/>
          <w:shd w:val="clear" w:color="auto" w:fill="FFFFFF"/>
        </w:rPr>
        <w:t>Risi</w:t>
      </w:r>
      <w:proofErr w:type="spellEnd"/>
      <w:r w:rsidRPr="00924FEF">
        <w:rPr>
          <w:rFonts w:ascii="Times New Roman" w:hAnsi="Times New Roman" w:cs="Times New Roman"/>
          <w:color w:val="323232"/>
          <w:sz w:val="24"/>
          <w:szCs w:val="24"/>
          <w:shd w:val="clear" w:color="auto" w:fill="FFFFFF"/>
        </w:rPr>
        <w:t xml:space="preserve">, S., Pickles, A., &amp; Lord, C. (2007). The Autism Diagnostic Observation Schedule: revised algorithms for improved diagnostic validity. </w:t>
      </w:r>
      <w:r w:rsidRPr="00924FEF">
        <w:rPr>
          <w:rFonts w:ascii="Times New Roman" w:hAnsi="Times New Roman" w:cs="Times New Roman"/>
          <w:i/>
          <w:iCs/>
          <w:color w:val="323232"/>
          <w:sz w:val="24"/>
          <w:szCs w:val="24"/>
        </w:rPr>
        <w:t>Journal of Autism and Developmental Disorders</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37</w:t>
      </w:r>
      <w:r w:rsidRPr="00924FEF">
        <w:rPr>
          <w:rFonts w:ascii="Times New Roman" w:hAnsi="Times New Roman" w:cs="Times New Roman"/>
          <w:color w:val="323232"/>
          <w:sz w:val="24"/>
          <w:szCs w:val="24"/>
          <w:shd w:val="clear" w:color="auto" w:fill="FFFFFF"/>
        </w:rPr>
        <w:t>, 613-627.</w:t>
      </w:r>
    </w:p>
    <w:p w14:paraId="332F60D6" w14:textId="77777777" w:rsidR="005B4B0E" w:rsidRPr="00924FEF" w:rsidRDefault="005B4B0E" w:rsidP="005B4B0E">
      <w:pPr>
        <w:spacing w:after="0" w:line="480" w:lineRule="auto"/>
        <w:ind w:left="720" w:hanging="720"/>
        <w:jc w:val="both"/>
        <w:rPr>
          <w:rFonts w:ascii="Times New Roman" w:hAnsi="Times New Roman" w:cs="Times New Roman"/>
          <w:sz w:val="24"/>
          <w:szCs w:val="24"/>
        </w:rPr>
      </w:pPr>
      <w:r w:rsidRPr="00924FEF">
        <w:rPr>
          <w:rFonts w:ascii="Times New Roman" w:hAnsi="Times New Roman" w:cs="Times New Roman"/>
          <w:color w:val="323232"/>
          <w:sz w:val="24"/>
          <w:szCs w:val="24"/>
          <w:shd w:val="clear" w:color="auto" w:fill="FFFFFF"/>
        </w:rPr>
        <w:t xml:space="preserve">Hus V., Gotham K., &amp; Lord C. (2014). Standardizing ADOS domain scores: separating severity of social affect and restricted and repetitive behaviors. </w:t>
      </w:r>
      <w:r w:rsidRPr="00924FEF">
        <w:rPr>
          <w:rFonts w:ascii="Times New Roman" w:hAnsi="Times New Roman" w:cs="Times New Roman"/>
          <w:i/>
          <w:iCs/>
          <w:color w:val="323232"/>
          <w:sz w:val="24"/>
          <w:szCs w:val="24"/>
        </w:rPr>
        <w:t>Journal of Autism and Developmental Disorders</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44</w:t>
      </w:r>
      <w:r w:rsidRPr="00924FEF">
        <w:rPr>
          <w:rFonts w:ascii="Times New Roman" w:hAnsi="Times New Roman" w:cs="Times New Roman"/>
          <w:color w:val="323232"/>
          <w:sz w:val="24"/>
          <w:szCs w:val="24"/>
          <w:shd w:val="clear" w:color="auto" w:fill="FFFFFF"/>
        </w:rPr>
        <w:t>, 2400-2412.</w:t>
      </w:r>
    </w:p>
    <w:p w14:paraId="3BA2B238" w14:textId="77777777" w:rsidR="005B4B0E" w:rsidRPr="00924FEF" w:rsidRDefault="005B4B0E" w:rsidP="005B4B0E">
      <w:pPr>
        <w:spacing w:after="0" w:line="480" w:lineRule="auto"/>
        <w:ind w:left="720" w:hanging="720"/>
        <w:jc w:val="both"/>
        <w:rPr>
          <w:rFonts w:ascii="Times New Roman" w:hAnsi="Times New Roman" w:cs="Times New Roman"/>
          <w:sz w:val="24"/>
          <w:szCs w:val="24"/>
        </w:rPr>
      </w:pPr>
      <w:r w:rsidRPr="00924FEF">
        <w:rPr>
          <w:rFonts w:ascii="Times New Roman" w:hAnsi="Times New Roman" w:cs="Times New Roman"/>
          <w:sz w:val="24"/>
          <w:szCs w:val="24"/>
        </w:rPr>
        <w:t xml:space="preserve">Kleiman, E. (2019). </w:t>
      </w:r>
      <w:proofErr w:type="spellStart"/>
      <w:r w:rsidRPr="00924FEF">
        <w:rPr>
          <w:rFonts w:ascii="Times New Roman" w:hAnsi="Times New Roman" w:cs="Times New Roman"/>
          <w:sz w:val="24"/>
          <w:szCs w:val="24"/>
        </w:rPr>
        <w:t>EMAtools</w:t>
      </w:r>
      <w:proofErr w:type="spellEnd"/>
      <w:r w:rsidRPr="00924FEF">
        <w:rPr>
          <w:rFonts w:ascii="Times New Roman" w:hAnsi="Times New Roman" w:cs="Times New Roman"/>
          <w:sz w:val="24"/>
          <w:szCs w:val="24"/>
        </w:rPr>
        <w:t xml:space="preserve">: Data Management Tools for Real-Time Monitoring/Ecological Momentary Assessment Data (Version 0.1.3) [Computer software]. </w:t>
      </w:r>
    </w:p>
    <w:p w14:paraId="6B9BE093" w14:textId="77777777" w:rsidR="005B4B0E" w:rsidRPr="00924FEF" w:rsidRDefault="005B4B0E" w:rsidP="005B4B0E">
      <w:pPr>
        <w:spacing w:after="0" w:line="480" w:lineRule="auto"/>
        <w:ind w:left="720" w:hanging="720"/>
        <w:jc w:val="both"/>
        <w:rPr>
          <w:rFonts w:ascii="Times New Roman" w:hAnsi="Times New Roman" w:cs="Times New Roman"/>
          <w:sz w:val="24"/>
          <w:szCs w:val="24"/>
        </w:rPr>
      </w:pPr>
      <w:proofErr w:type="spellStart"/>
      <w:r w:rsidRPr="00924FEF">
        <w:rPr>
          <w:rFonts w:ascii="Times New Roman" w:hAnsi="Times New Roman" w:cs="Times New Roman"/>
          <w:sz w:val="24"/>
          <w:szCs w:val="24"/>
        </w:rPr>
        <w:t>Kunce</w:t>
      </w:r>
      <w:proofErr w:type="spellEnd"/>
      <w:r w:rsidRPr="00924FEF">
        <w:rPr>
          <w:rFonts w:ascii="Times New Roman" w:hAnsi="Times New Roman" w:cs="Times New Roman"/>
          <w:sz w:val="24"/>
          <w:szCs w:val="24"/>
        </w:rPr>
        <w:t>, J. T., Cook, D. W., &amp; Miller, D. E. (1975). Random variables and correlational overkill. Educational and Psychological Measurement, 35, 529-534.</w:t>
      </w:r>
    </w:p>
    <w:p w14:paraId="560361D6"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Lee, K. J., &amp; Carlin, J. B. (2010). Multiple imputation for missing data: fully conditional specification versus multivariate normal imputation. </w:t>
      </w:r>
      <w:r w:rsidRPr="00924FEF">
        <w:rPr>
          <w:rFonts w:ascii="Times New Roman" w:hAnsi="Times New Roman" w:cs="Times New Roman"/>
          <w:i/>
          <w:iCs/>
          <w:color w:val="323232"/>
          <w:sz w:val="24"/>
          <w:szCs w:val="24"/>
          <w:shd w:val="clear" w:color="auto" w:fill="FFFFFF"/>
        </w:rPr>
        <w:t>American journal of epidemiology</w:t>
      </w:r>
      <w:r w:rsidRPr="00924FEF">
        <w:rPr>
          <w:rFonts w:ascii="Times New Roman" w:hAnsi="Times New Roman" w:cs="Times New Roman"/>
          <w:color w:val="323232"/>
          <w:sz w:val="24"/>
          <w:szCs w:val="24"/>
          <w:shd w:val="clear" w:color="auto" w:fill="FFFFFF"/>
        </w:rPr>
        <w:t>, 171(5), 624-632. doi:10.1093/</w:t>
      </w:r>
      <w:proofErr w:type="spellStart"/>
      <w:r w:rsidRPr="00924FEF">
        <w:rPr>
          <w:rFonts w:ascii="Times New Roman" w:hAnsi="Times New Roman" w:cs="Times New Roman"/>
          <w:color w:val="323232"/>
          <w:sz w:val="24"/>
          <w:szCs w:val="24"/>
          <w:shd w:val="clear" w:color="auto" w:fill="FFFFFF"/>
        </w:rPr>
        <w:t>aje</w:t>
      </w:r>
      <w:proofErr w:type="spellEnd"/>
      <w:r w:rsidRPr="00924FEF">
        <w:rPr>
          <w:rFonts w:ascii="Times New Roman" w:hAnsi="Times New Roman" w:cs="Times New Roman"/>
          <w:color w:val="323232"/>
          <w:sz w:val="24"/>
          <w:szCs w:val="24"/>
          <w:shd w:val="clear" w:color="auto" w:fill="FFFFFF"/>
        </w:rPr>
        <w:t>/kwp425</w:t>
      </w:r>
    </w:p>
    <w:p w14:paraId="5ACD2116"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Lord C., </w:t>
      </w:r>
      <w:proofErr w:type="spellStart"/>
      <w:r w:rsidRPr="00924FEF">
        <w:rPr>
          <w:rFonts w:ascii="Times New Roman" w:hAnsi="Times New Roman" w:cs="Times New Roman"/>
          <w:color w:val="323232"/>
          <w:sz w:val="24"/>
          <w:szCs w:val="24"/>
          <w:shd w:val="clear" w:color="auto" w:fill="FFFFFF"/>
        </w:rPr>
        <w:t>Risi</w:t>
      </w:r>
      <w:proofErr w:type="spellEnd"/>
      <w:r w:rsidRPr="00924FEF">
        <w:rPr>
          <w:rFonts w:ascii="Times New Roman" w:hAnsi="Times New Roman" w:cs="Times New Roman"/>
          <w:color w:val="323232"/>
          <w:sz w:val="24"/>
          <w:szCs w:val="24"/>
          <w:shd w:val="clear" w:color="auto" w:fill="FFFFFF"/>
        </w:rPr>
        <w:t xml:space="preserve"> S., </w:t>
      </w:r>
      <w:proofErr w:type="spellStart"/>
      <w:r w:rsidRPr="00924FEF">
        <w:rPr>
          <w:rFonts w:ascii="Times New Roman" w:hAnsi="Times New Roman" w:cs="Times New Roman"/>
          <w:color w:val="323232"/>
          <w:sz w:val="24"/>
          <w:szCs w:val="24"/>
          <w:shd w:val="clear" w:color="auto" w:fill="FFFFFF"/>
        </w:rPr>
        <w:t>DiLavore</w:t>
      </w:r>
      <w:proofErr w:type="spellEnd"/>
      <w:r w:rsidRPr="00924FEF">
        <w:rPr>
          <w:rFonts w:ascii="Times New Roman" w:hAnsi="Times New Roman" w:cs="Times New Roman"/>
          <w:color w:val="323232"/>
          <w:sz w:val="24"/>
          <w:szCs w:val="24"/>
          <w:shd w:val="clear" w:color="auto" w:fill="FFFFFF"/>
        </w:rPr>
        <w:t xml:space="preserve"> P.S., Shulman C., Thurm A., &amp; Pickles A. (2006). Autism from 2 to 9 years of age. </w:t>
      </w:r>
      <w:r w:rsidRPr="00924FEF">
        <w:rPr>
          <w:rFonts w:ascii="Times New Roman" w:hAnsi="Times New Roman" w:cs="Times New Roman"/>
          <w:i/>
          <w:iCs/>
          <w:color w:val="323232"/>
          <w:sz w:val="24"/>
          <w:szCs w:val="24"/>
        </w:rPr>
        <w:t>Archives of General Psychiatry</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63</w:t>
      </w:r>
      <w:r w:rsidRPr="00924FEF">
        <w:rPr>
          <w:rFonts w:ascii="Times New Roman" w:hAnsi="Times New Roman" w:cs="Times New Roman"/>
          <w:color w:val="323232"/>
          <w:sz w:val="24"/>
          <w:szCs w:val="24"/>
          <w:shd w:val="clear" w:color="auto" w:fill="FFFFFF"/>
        </w:rPr>
        <w:t>, 694-701.</w:t>
      </w:r>
    </w:p>
    <w:p w14:paraId="0A7B3ABD"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Lord, C., Rutter, M., </w:t>
      </w:r>
      <w:proofErr w:type="spellStart"/>
      <w:r w:rsidRPr="00924FEF">
        <w:rPr>
          <w:rFonts w:ascii="Times New Roman" w:hAnsi="Times New Roman" w:cs="Times New Roman"/>
          <w:color w:val="323232"/>
          <w:sz w:val="24"/>
          <w:szCs w:val="24"/>
          <w:shd w:val="clear" w:color="auto" w:fill="FFFFFF"/>
        </w:rPr>
        <w:t>DiLavore</w:t>
      </w:r>
      <w:proofErr w:type="spellEnd"/>
      <w:r w:rsidRPr="00924FEF">
        <w:rPr>
          <w:rFonts w:ascii="Times New Roman" w:hAnsi="Times New Roman" w:cs="Times New Roman"/>
          <w:color w:val="323232"/>
          <w:sz w:val="24"/>
          <w:szCs w:val="24"/>
          <w:shd w:val="clear" w:color="auto" w:fill="FFFFFF"/>
        </w:rPr>
        <w:t xml:space="preserve">, P.C., &amp; </w:t>
      </w:r>
      <w:proofErr w:type="spellStart"/>
      <w:r w:rsidRPr="00924FEF">
        <w:rPr>
          <w:rFonts w:ascii="Times New Roman" w:hAnsi="Times New Roman" w:cs="Times New Roman"/>
          <w:color w:val="323232"/>
          <w:sz w:val="24"/>
          <w:szCs w:val="24"/>
          <w:shd w:val="clear" w:color="auto" w:fill="FFFFFF"/>
        </w:rPr>
        <w:t>Risi</w:t>
      </w:r>
      <w:proofErr w:type="spellEnd"/>
      <w:r w:rsidRPr="00924FEF">
        <w:rPr>
          <w:rFonts w:ascii="Times New Roman" w:hAnsi="Times New Roman" w:cs="Times New Roman"/>
          <w:color w:val="323232"/>
          <w:sz w:val="24"/>
          <w:szCs w:val="24"/>
          <w:shd w:val="clear" w:color="auto" w:fill="FFFFFF"/>
        </w:rPr>
        <w:t xml:space="preserve">, S. (2000). </w:t>
      </w:r>
      <w:r w:rsidRPr="00924FEF">
        <w:rPr>
          <w:rFonts w:ascii="Times New Roman" w:hAnsi="Times New Roman" w:cs="Times New Roman"/>
          <w:i/>
          <w:iCs/>
          <w:color w:val="323232"/>
          <w:sz w:val="24"/>
          <w:szCs w:val="24"/>
        </w:rPr>
        <w:t>Autism Diagnostic Observation Scale</w:t>
      </w:r>
      <w:r w:rsidRPr="00924FEF">
        <w:rPr>
          <w:rFonts w:ascii="Times New Roman" w:hAnsi="Times New Roman" w:cs="Times New Roman"/>
          <w:color w:val="323232"/>
          <w:sz w:val="24"/>
          <w:szCs w:val="24"/>
          <w:shd w:val="clear" w:color="auto" w:fill="FFFFFF"/>
        </w:rPr>
        <w:t>. Los Angeles: Western Psychological Services.</w:t>
      </w:r>
    </w:p>
    <w:p w14:paraId="34890DCC"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proofErr w:type="spellStart"/>
      <w:r w:rsidRPr="00924FEF">
        <w:rPr>
          <w:rFonts w:ascii="Times New Roman" w:hAnsi="Times New Roman" w:cs="Times New Roman"/>
          <w:color w:val="323232"/>
          <w:sz w:val="24"/>
          <w:szCs w:val="24"/>
          <w:shd w:val="clear" w:color="auto" w:fill="FFFFFF"/>
        </w:rPr>
        <w:lastRenderedPageBreak/>
        <w:t>Madley</w:t>
      </w:r>
      <w:proofErr w:type="spellEnd"/>
      <w:r w:rsidRPr="00924FEF">
        <w:rPr>
          <w:rFonts w:ascii="Times New Roman" w:hAnsi="Times New Roman" w:cs="Times New Roman"/>
          <w:color w:val="323232"/>
          <w:sz w:val="24"/>
          <w:szCs w:val="24"/>
          <w:shd w:val="clear" w:color="auto" w:fill="FFFFFF"/>
        </w:rPr>
        <w:t xml:space="preserve">-Dowd, P., Hughes, R., Tilling, K., &amp; Heron, J. (2019). The proportion of missing data should not be used to guide decisions on multiple imputation. </w:t>
      </w:r>
      <w:r w:rsidRPr="00924FEF">
        <w:rPr>
          <w:rFonts w:ascii="Times New Roman" w:hAnsi="Times New Roman" w:cs="Times New Roman"/>
          <w:i/>
          <w:iCs/>
          <w:color w:val="323232"/>
          <w:sz w:val="24"/>
          <w:szCs w:val="24"/>
          <w:shd w:val="clear" w:color="auto" w:fill="FFFFFF"/>
        </w:rPr>
        <w:t>Journal of clinical epidemiology</w:t>
      </w:r>
      <w:r w:rsidRPr="00924FEF">
        <w:rPr>
          <w:rFonts w:ascii="Times New Roman" w:hAnsi="Times New Roman" w:cs="Times New Roman"/>
          <w:color w:val="323232"/>
          <w:sz w:val="24"/>
          <w:szCs w:val="24"/>
          <w:shd w:val="clear" w:color="auto" w:fill="FFFFFF"/>
        </w:rPr>
        <w:t xml:space="preserve">, 110, 63-73. </w:t>
      </w:r>
      <w:proofErr w:type="gramStart"/>
      <w:r w:rsidRPr="00924FEF">
        <w:rPr>
          <w:rFonts w:ascii="Times New Roman" w:hAnsi="Times New Roman" w:cs="Times New Roman"/>
          <w:color w:val="323232"/>
          <w:sz w:val="24"/>
          <w:szCs w:val="24"/>
          <w:shd w:val="clear" w:color="auto" w:fill="FFFFFF"/>
        </w:rPr>
        <w:t>doi:10.1016/j.jclinepi</w:t>
      </w:r>
      <w:proofErr w:type="gramEnd"/>
      <w:r w:rsidRPr="00924FEF">
        <w:rPr>
          <w:rFonts w:ascii="Times New Roman" w:hAnsi="Times New Roman" w:cs="Times New Roman"/>
          <w:color w:val="323232"/>
          <w:sz w:val="24"/>
          <w:szCs w:val="24"/>
          <w:shd w:val="clear" w:color="auto" w:fill="FFFFFF"/>
        </w:rPr>
        <w:t>.2019.02.016</w:t>
      </w:r>
    </w:p>
    <w:p w14:paraId="08E31A3D"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proofErr w:type="spellStart"/>
      <w:r w:rsidRPr="00924FEF">
        <w:rPr>
          <w:rFonts w:ascii="Times New Roman" w:hAnsi="Times New Roman" w:cs="Times New Roman"/>
          <w:color w:val="323232"/>
          <w:sz w:val="24"/>
          <w:szCs w:val="24"/>
          <w:shd w:val="clear" w:color="auto" w:fill="FFFFFF"/>
        </w:rPr>
        <w:t>Matasunaga</w:t>
      </w:r>
      <w:proofErr w:type="spellEnd"/>
      <w:r w:rsidRPr="00924FEF">
        <w:rPr>
          <w:rFonts w:ascii="Times New Roman" w:hAnsi="Times New Roman" w:cs="Times New Roman"/>
          <w:color w:val="323232"/>
          <w:sz w:val="24"/>
          <w:szCs w:val="24"/>
          <w:shd w:val="clear" w:color="auto" w:fill="FFFFFF"/>
        </w:rPr>
        <w:t xml:space="preserve">, M. Item Parceling in Structural Equation Modeling: A Primer. </w:t>
      </w:r>
      <w:r w:rsidRPr="00924FEF">
        <w:rPr>
          <w:rFonts w:ascii="Times New Roman" w:hAnsi="Times New Roman" w:cs="Times New Roman"/>
          <w:i/>
          <w:iCs/>
          <w:color w:val="323232"/>
          <w:sz w:val="24"/>
          <w:szCs w:val="24"/>
          <w:shd w:val="clear" w:color="auto" w:fill="FFFFFF"/>
        </w:rPr>
        <w:t>Communication Methods and Measures</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2</w:t>
      </w:r>
      <w:r w:rsidRPr="00924FEF">
        <w:rPr>
          <w:rFonts w:ascii="Times New Roman" w:hAnsi="Times New Roman" w:cs="Times New Roman"/>
          <w:color w:val="323232"/>
          <w:sz w:val="24"/>
          <w:szCs w:val="24"/>
          <w:shd w:val="clear" w:color="auto" w:fill="FFFFFF"/>
        </w:rPr>
        <w:t xml:space="preserve">(4), 260–293, 2008 </w:t>
      </w:r>
      <w:proofErr w:type="spellStart"/>
      <w:r w:rsidRPr="00924FEF">
        <w:rPr>
          <w:rFonts w:ascii="Times New Roman" w:hAnsi="Times New Roman" w:cs="Times New Roman"/>
          <w:color w:val="323232"/>
          <w:sz w:val="24"/>
          <w:szCs w:val="24"/>
          <w:shd w:val="clear" w:color="auto" w:fill="FFFFFF"/>
        </w:rPr>
        <w:t>doi</w:t>
      </w:r>
      <w:proofErr w:type="spellEnd"/>
      <w:r w:rsidRPr="00924FEF">
        <w:rPr>
          <w:rFonts w:ascii="Times New Roman" w:hAnsi="Times New Roman" w:cs="Times New Roman"/>
          <w:color w:val="323232"/>
          <w:sz w:val="24"/>
          <w:szCs w:val="24"/>
          <w:shd w:val="clear" w:color="auto" w:fill="FFFFFF"/>
        </w:rPr>
        <w:t>: 10.1080/19312450802458935</w:t>
      </w:r>
    </w:p>
    <w:p w14:paraId="0B724272"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Mullen, E. (1995). </w:t>
      </w:r>
      <w:r w:rsidRPr="00924FEF">
        <w:rPr>
          <w:rFonts w:ascii="Times New Roman" w:hAnsi="Times New Roman" w:cs="Times New Roman"/>
          <w:i/>
          <w:iCs/>
          <w:color w:val="323232"/>
          <w:sz w:val="24"/>
          <w:szCs w:val="24"/>
        </w:rPr>
        <w:t>Mullen Scales of Early Learning</w:t>
      </w:r>
      <w:r w:rsidRPr="00924FEF">
        <w:rPr>
          <w:rFonts w:ascii="Times New Roman" w:hAnsi="Times New Roman" w:cs="Times New Roman"/>
          <w:color w:val="323232"/>
          <w:sz w:val="24"/>
          <w:szCs w:val="24"/>
          <w:shd w:val="clear" w:color="auto" w:fill="FFFFFF"/>
        </w:rPr>
        <w:t>. Circle Pines: Guidance Service Publishing.</w:t>
      </w:r>
    </w:p>
    <w:p w14:paraId="396BD04D" w14:textId="77777777" w:rsidR="005B4B0E" w:rsidRPr="00924FEF" w:rsidRDefault="005B4B0E" w:rsidP="005B4B0E">
      <w:pPr>
        <w:spacing w:after="0" w:line="480" w:lineRule="auto"/>
        <w:ind w:left="720" w:hanging="720"/>
        <w:jc w:val="both"/>
        <w:rPr>
          <w:rFonts w:ascii="Times New Roman" w:hAnsi="Times New Roman" w:cs="Times New Roman"/>
          <w:sz w:val="24"/>
          <w:szCs w:val="24"/>
        </w:rPr>
      </w:pPr>
      <w:r w:rsidRPr="00924FEF">
        <w:rPr>
          <w:rFonts w:ascii="Times New Roman" w:hAnsi="Times New Roman" w:cs="Times New Roman"/>
          <w:color w:val="323232"/>
          <w:sz w:val="24"/>
          <w:szCs w:val="24"/>
          <w:shd w:val="clear" w:color="auto" w:fill="FFFFFF"/>
        </w:rPr>
        <w:t xml:space="preserve">Nakagawa S., Johnson P.C.D., &amp; </w:t>
      </w:r>
      <w:proofErr w:type="spellStart"/>
      <w:r w:rsidRPr="00924FEF">
        <w:rPr>
          <w:rFonts w:ascii="Times New Roman" w:hAnsi="Times New Roman" w:cs="Times New Roman"/>
          <w:color w:val="323232"/>
          <w:sz w:val="24"/>
          <w:szCs w:val="24"/>
          <w:shd w:val="clear" w:color="auto" w:fill="FFFFFF"/>
        </w:rPr>
        <w:t>Schielzeth</w:t>
      </w:r>
      <w:proofErr w:type="spellEnd"/>
      <w:r w:rsidRPr="00924FEF">
        <w:rPr>
          <w:rFonts w:ascii="Times New Roman" w:hAnsi="Times New Roman" w:cs="Times New Roman"/>
          <w:color w:val="323232"/>
          <w:sz w:val="24"/>
          <w:szCs w:val="24"/>
          <w:shd w:val="clear" w:color="auto" w:fill="FFFFFF"/>
        </w:rPr>
        <w:t xml:space="preserve"> H. (2017). The coefficient of determination R2 and intra-class correlation coefficient from generalized linear mixed-effects models revisited and expanded. </w:t>
      </w:r>
      <w:r w:rsidRPr="00924FEF">
        <w:rPr>
          <w:rFonts w:ascii="Times New Roman" w:hAnsi="Times New Roman" w:cs="Times New Roman"/>
          <w:i/>
          <w:iCs/>
          <w:color w:val="323232"/>
          <w:sz w:val="24"/>
          <w:szCs w:val="24"/>
        </w:rPr>
        <w:t>Journal of The Royal Society Interface</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14</w:t>
      </w:r>
      <w:r w:rsidRPr="00924FEF">
        <w:rPr>
          <w:rFonts w:ascii="Times New Roman" w:hAnsi="Times New Roman" w:cs="Times New Roman"/>
          <w:color w:val="323232"/>
          <w:sz w:val="24"/>
          <w:szCs w:val="24"/>
          <w:shd w:val="clear" w:color="auto" w:fill="FFFFFF"/>
        </w:rPr>
        <w:t>, 20170213.</w:t>
      </w:r>
    </w:p>
    <w:p w14:paraId="7822FF59" w14:textId="77777777" w:rsidR="005B4B0E" w:rsidRPr="00924FEF" w:rsidRDefault="005B4B0E" w:rsidP="005B4B0E">
      <w:pPr>
        <w:spacing w:after="0" w:line="480" w:lineRule="auto"/>
        <w:ind w:left="720" w:hanging="720"/>
        <w:jc w:val="both"/>
        <w:rPr>
          <w:rFonts w:ascii="Times New Roman" w:hAnsi="Times New Roman" w:cs="Times New Roman"/>
          <w:sz w:val="24"/>
          <w:szCs w:val="24"/>
        </w:rPr>
      </w:pPr>
      <w:proofErr w:type="spellStart"/>
      <w:r w:rsidRPr="00924FEF">
        <w:rPr>
          <w:rFonts w:ascii="Times New Roman" w:hAnsi="Times New Roman" w:cs="Times New Roman"/>
          <w:sz w:val="24"/>
          <w:szCs w:val="24"/>
        </w:rPr>
        <w:t>Ozonoff</w:t>
      </w:r>
      <w:proofErr w:type="spellEnd"/>
      <w:r w:rsidRPr="00924FEF">
        <w:rPr>
          <w:rFonts w:ascii="Times New Roman" w:hAnsi="Times New Roman" w:cs="Times New Roman"/>
          <w:sz w:val="24"/>
          <w:szCs w:val="24"/>
        </w:rPr>
        <w:t xml:space="preserve">, S., Young, G.S., Carter, A., </w:t>
      </w:r>
      <w:proofErr w:type="spellStart"/>
      <w:r w:rsidRPr="00924FEF">
        <w:rPr>
          <w:rFonts w:ascii="Times New Roman" w:hAnsi="Times New Roman" w:cs="Times New Roman"/>
          <w:sz w:val="24"/>
          <w:szCs w:val="24"/>
        </w:rPr>
        <w:t>Messinger</w:t>
      </w:r>
      <w:proofErr w:type="spellEnd"/>
      <w:r w:rsidRPr="00924FEF">
        <w:rPr>
          <w:rFonts w:ascii="Times New Roman" w:hAnsi="Times New Roman" w:cs="Times New Roman"/>
          <w:sz w:val="24"/>
          <w:szCs w:val="24"/>
        </w:rPr>
        <w:t xml:space="preserve">, D., </w:t>
      </w:r>
      <w:proofErr w:type="spellStart"/>
      <w:r w:rsidRPr="00924FEF">
        <w:rPr>
          <w:rFonts w:ascii="Times New Roman" w:hAnsi="Times New Roman" w:cs="Times New Roman"/>
          <w:sz w:val="24"/>
          <w:szCs w:val="24"/>
        </w:rPr>
        <w:t>Yirmiya</w:t>
      </w:r>
      <w:proofErr w:type="spellEnd"/>
      <w:r w:rsidRPr="00924FEF">
        <w:rPr>
          <w:rFonts w:ascii="Times New Roman" w:hAnsi="Times New Roman" w:cs="Times New Roman"/>
          <w:sz w:val="24"/>
          <w:szCs w:val="24"/>
        </w:rPr>
        <w:t xml:space="preserve">, N., </w:t>
      </w:r>
      <w:proofErr w:type="spellStart"/>
      <w:r w:rsidRPr="00924FEF">
        <w:rPr>
          <w:rFonts w:ascii="Times New Roman" w:hAnsi="Times New Roman" w:cs="Times New Roman"/>
          <w:sz w:val="24"/>
          <w:szCs w:val="24"/>
        </w:rPr>
        <w:t>Zwaigenbaum</w:t>
      </w:r>
      <w:proofErr w:type="spellEnd"/>
      <w:r w:rsidRPr="00924FEF">
        <w:rPr>
          <w:rFonts w:ascii="Times New Roman" w:hAnsi="Times New Roman" w:cs="Times New Roman"/>
          <w:sz w:val="24"/>
          <w:szCs w:val="24"/>
        </w:rPr>
        <w:t xml:space="preserve">, L., Bryson, S., Carver, L.J., Constantino, J.N., </w:t>
      </w:r>
      <w:proofErr w:type="spellStart"/>
      <w:r w:rsidRPr="00924FEF">
        <w:rPr>
          <w:rFonts w:ascii="Times New Roman" w:hAnsi="Times New Roman" w:cs="Times New Roman"/>
          <w:sz w:val="24"/>
          <w:szCs w:val="24"/>
        </w:rPr>
        <w:t>Dobkins</w:t>
      </w:r>
      <w:proofErr w:type="spellEnd"/>
      <w:r w:rsidRPr="00924FEF">
        <w:rPr>
          <w:rFonts w:ascii="Times New Roman" w:hAnsi="Times New Roman" w:cs="Times New Roman"/>
          <w:sz w:val="24"/>
          <w:szCs w:val="24"/>
        </w:rPr>
        <w:t xml:space="preserve">, K., </w:t>
      </w:r>
      <w:proofErr w:type="spellStart"/>
      <w:r w:rsidRPr="00924FEF">
        <w:rPr>
          <w:rFonts w:ascii="Times New Roman" w:hAnsi="Times New Roman" w:cs="Times New Roman"/>
          <w:sz w:val="24"/>
          <w:szCs w:val="24"/>
        </w:rPr>
        <w:t>Hutman</w:t>
      </w:r>
      <w:proofErr w:type="spellEnd"/>
      <w:r w:rsidRPr="00924FEF">
        <w:rPr>
          <w:rFonts w:ascii="Times New Roman" w:hAnsi="Times New Roman" w:cs="Times New Roman"/>
          <w:sz w:val="24"/>
          <w:szCs w:val="24"/>
        </w:rPr>
        <w:t xml:space="preserve">, T., Iverson, J.M., </w:t>
      </w:r>
      <w:proofErr w:type="spellStart"/>
      <w:r w:rsidRPr="00924FEF">
        <w:rPr>
          <w:rFonts w:ascii="Times New Roman" w:hAnsi="Times New Roman" w:cs="Times New Roman"/>
          <w:sz w:val="24"/>
          <w:szCs w:val="24"/>
        </w:rPr>
        <w:t>Landa</w:t>
      </w:r>
      <w:proofErr w:type="spellEnd"/>
      <w:r w:rsidRPr="00924FEF">
        <w:rPr>
          <w:rFonts w:ascii="Times New Roman" w:hAnsi="Times New Roman" w:cs="Times New Roman"/>
          <w:sz w:val="24"/>
          <w:szCs w:val="24"/>
        </w:rPr>
        <w:t xml:space="preserve">, R., Rogers, S. J., </w:t>
      </w:r>
      <w:proofErr w:type="spellStart"/>
      <w:r w:rsidRPr="00924FEF">
        <w:rPr>
          <w:rFonts w:ascii="Times New Roman" w:hAnsi="Times New Roman" w:cs="Times New Roman"/>
          <w:sz w:val="24"/>
          <w:szCs w:val="24"/>
        </w:rPr>
        <w:t>Sigman</w:t>
      </w:r>
      <w:proofErr w:type="spellEnd"/>
      <w:r w:rsidRPr="00924FEF">
        <w:rPr>
          <w:rFonts w:ascii="Times New Roman" w:hAnsi="Times New Roman" w:cs="Times New Roman"/>
          <w:sz w:val="24"/>
          <w:szCs w:val="24"/>
        </w:rPr>
        <w:t xml:space="preserve">, M., &amp; Stone, W.L. (2011). Recurrence risk for autism spectrum disorders: A baby siblings research consortium study. </w:t>
      </w:r>
      <w:r w:rsidRPr="00924FEF">
        <w:rPr>
          <w:rFonts w:ascii="Times New Roman" w:hAnsi="Times New Roman" w:cs="Times New Roman"/>
          <w:i/>
          <w:iCs/>
          <w:color w:val="323232"/>
          <w:sz w:val="24"/>
          <w:szCs w:val="24"/>
          <w:shd w:val="clear" w:color="auto" w:fill="FFFFFF"/>
        </w:rPr>
        <w:t>Pediatrics</w:t>
      </w:r>
      <w:r w:rsidRPr="00924FEF">
        <w:rPr>
          <w:rFonts w:ascii="Times New Roman" w:hAnsi="Times New Roman" w:cs="Times New Roman"/>
          <w:sz w:val="24"/>
          <w:szCs w:val="24"/>
        </w:rPr>
        <w:t xml:space="preserve">, </w:t>
      </w:r>
      <w:r w:rsidRPr="00924FEF">
        <w:rPr>
          <w:rFonts w:ascii="Times New Roman" w:hAnsi="Times New Roman" w:cs="Times New Roman"/>
          <w:i/>
          <w:iCs/>
          <w:sz w:val="24"/>
          <w:szCs w:val="24"/>
        </w:rPr>
        <w:t>128</w:t>
      </w:r>
      <w:r w:rsidRPr="00924FEF">
        <w:rPr>
          <w:rFonts w:ascii="Times New Roman" w:hAnsi="Times New Roman" w:cs="Times New Roman"/>
          <w:sz w:val="24"/>
          <w:szCs w:val="24"/>
        </w:rPr>
        <w:t>, e488-e495.</w:t>
      </w:r>
    </w:p>
    <w:p w14:paraId="71AAF051" w14:textId="77777777" w:rsidR="005B4B0E" w:rsidRPr="00924FEF" w:rsidRDefault="005B4B0E" w:rsidP="005B4B0E">
      <w:pPr>
        <w:spacing w:after="0" w:line="480" w:lineRule="auto"/>
        <w:ind w:left="720" w:hanging="720"/>
        <w:jc w:val="both"/>
        <w:rPr>
          <w:rFonts w:ascii="Times New Roman" w:hAnsi="Times New Roman" w:cs="Times New Roman"/>
          <w:sz w:val="24"/>
          <w:szCs w:val="24"/>
        </w:rPr>
      </w:pPr>
      <w:proofErr w:type="spellStart"/>
      <w:r w:rsidRPr="00924FEF">
        <w:rPr>
          <w:rFonts w:ascii="Times New Roman" w:hAnsi="Times New Roman" w:cs="Times New Roman"/>
          <w:sz w:val="24"/>
          <w:szCs w:val="24"/>
        </w:rPr>
        <w:t>Rosseel</w:t>
      </w:r>
      <w:proofErr w:type="spellEnd"/>
      <w:r w:rsidRPr="00924FEF">
        <w:rPr>
          <w:rFonts w:ascii="Times New Roman" w:hAnsi="Times New Roman" w:cs="Times New Roman"/>
          <w:sz w:val="24"/>
          <w:szCs w:val="24"/>
        </w:rPr>
        <w:t xml:space="preserve"> Y (2012). “</w:t>
      </w:r>
      <w:proofErr w:type="spellStart"/>
      <w:proofErr w:type="gramStart"/>
      <w:r w:rsidRPr="00924FEF">
        <w:rPr>
          <w:rFonts w:ascii="Times New Roman" w:hAnsi="Times New Roman" w:cs="Times New Roman"/>
          <w:sz w:val="24"/>
          <w:szCs w:val="24"/>
        </w:rPr>
        <w:t>lavaan</w:t>
      </w:r>
      <w:proofErr w:type="spellEnd"/>
      <w:proofErr w:type="gramEnd"/>
      <w:r w:rsidRPr="00924FEF">
        <w:rPr>
          <w:rFonts w:ascii="Times New Roman" w:hAnsi="Times New Roman" w:cs="Times New Roman"/>
          <w:sz w:val="24"/>
          <w:szCs w:val="24"/>
        </w:rPr>
        <w:t xml:space="preserve">: An R Package for Structural Equation Modeling.” Journal of Statistical Software, 48(2), 1–36. </w:t>
      </w:r>
      <w:proofErr w:type="spellStart"/>
      <w:r w:rsidRPr="00924FEF">
        <w:rPr>
          <w:rFonts w:ascii="Times New Roman" w:hAnsi="Times New Roman" w:cs="Times New Roman"/>
          <w:sz w:val="24"/>
          <w:szCs w:val="24"/>
        </w:rPr>
        <w:t>doi</w:t>
      </w:r>
      <w:proofErr w:type="spellEnd"/>
      <w:r w:rsidRPr="00924FEF">
        <w:rPr>
          <w:rFonts w:ascii="Times New Roman" w:hAnsi="Times New Roman" w:cs="Times New Roman"/>
          <w:sz w:val="24"/>
          <w:szCs w:val="24"/>
        </w:rPr>
        <w:t>: 10.18637/</w:t>
      </w:r>
      <w:proofErr w:type="gramStart"/>
      <w:r w:rsidRPr="00924FEF">
        <w:rPr>
          <w:rFonts w:ascii="Times New Roman" w:hAnsi="Times New Roman" w:cs="Times New Roman"/>
          <w:sz w:val="24"/>
          <w:szCs w:val="24"/>
        </w:rPr>
        <w:t>jss.v048.i</w:t>
      </w:r>
      <w:proofErr w:type="gramEnd"/>
      <w:r w:rsidRPr="00924FEF">
        <w:rPr>
          <w:rFonts w:ascii="Times New Roman" w:hAnsi="Times New Roman" w:cs="Times New Roman"/>
          <w:sz w:val="24"/>
          <w:szCs w:val="24"/>
        </w:rPr>
        <w:t>02</w:t>
      </w:r>
    </w:p>
    <w:p w14:paraId="45D23E59"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Rubin, D. B. (1996). Multiple imputation after 18+ years. </w:t>
      </w:r>
      <w:r w:rsidRPr="00924FEF">
        <w:rPr>
          <w:rFonts w:ascii="Times New Roman" w:hAnsi="Times New Roman" w:cs="Times New Roman"/>
          <w:i/>
          <w:iCs/>
          <w:color w:val="323232"/>
          <w:sz w:val="24"/>
          <w:szCs w:val="24"/>
          <w:shd w:val="clear" w:color="auto" w:fill="FFFFFF"/>
        </w:rPr>
        <w:t>Journal of the American statistical Association</w:t>
      </w:r>
      <w:r w:rsidRPr="00924FEF">
        <w:rPr>
          <w:rFonts w:ascii="Times New Roman" w:hAnsi="Times New Roman" w:cs="Times New Roman"/>
          <w:color w:val="323232"/>
          <w:sz w:val="24"/>
          <w:szCs w:val="24"/>
          <w:shd w:val="clear" w:color="auto" w:fill="FFFFFF"/>
        </w:rPr>
        <w:t>, 91(434), 473-489. doi:10.2307/2291635</w:t>
      </w:r>
    </w:p>
    <w:p w14:paraId="2DAEBDF7"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Rutter M., Le </w:t>
      </w:r>
      <w:proofErr w:type="spellStart"/>
      <w:r w:rsidRPr="00924FEF">
        <w:rPr>
          <w:rFonts w:ascii="Times New Roman" w:hAnsi="Times New Roman" w:cs="Times New Roman"/>
          <w:color w:val="323232"/>
          <w:sz w:val="24"/>
          <w:szCs w:val="24"/>
          <w:shd w:val="clear" w:color="auto" w:fill="FFFFFF"/>
        </w:rPr>
        <w:t>Couteur</w:t>
      </w:r>
      <w:proofErr w:type="spellEnd"/>
      <w:r w:rsidRPr="00924FEF">
        <w:rPr>
          <w:rFonts w:ascii="Times New Roman" w:hAnsi="Times New Roman" w:cs="Times New Roman"/>
          <w:color w:val="323232"/>
          <w:sz w:val="24"/>
          <w:szCs w:val="24"/>
          <w:shd w:val="clear" w:color="auto" w:fill="FFFFFF"/>
        </w:rPr>
        <w:t xml:space="preserve"> A., &amp; Lord C. (2003). </w:t>
      </w:r>
      <w:r w:rsidRPr="00924FEF">
        <w:rPr>
          <w:rFonts w:ascii="Times New Roman" w:hAnsi="Times New Roman" w:cs="Times New Roman"/>
          <w:i/>
          <w:iCs/>
          <w:color w:val="323232"/>
          <w:sz w:val="24"/>
          <w:szCs w:val="24"/>
        </w:rPr>
        <w:t>Autism Diagnostic Interview-Revised</w:t>
      </w:r>
      <w:r w:rsidRPr="00924FEF">
        <w:rPr>
          <w:rFonts w:ascii="Times New Roman" w:hAnsi="Times New Roman" w:cs="Times New Roman"/>
          <w:color w:val="323232"/>
          <w:sz w:val="24"/>
          <w:szCs w:val="24"/>
          <w:shd w:val="clear" w:color="auto" w:fill="FFFFFF"/>
        </w:rPr>
        <w:t>. Los Angeles: Western Psychological Services.</w:t>
      </w:r>
    </w:p>
    <w:p w14:paraId="23BA7A35"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Sparrow, S.S., </w:t>
      </w:r>
      <w:proofErr w:type="spellStart"/>
      <w:r w:rsidRPr="00924FEF">
        <w:rPr>
          <w:rFonts w:ascii="Times New Roman" w:hAnsi="Times New Roman" w:cs="Times New Roman"/>
          <w:color w:val="323232"/>
          <w:sz w:val="24"/>
          <w:szCs w:val="24"/>
          <w:shd w:val="clear" w:color="auto" w:fill="FFFFFF"/>
        </w:rPr>
        <w:t>Balla</w:t>
      </w:r>
      <w:proofErr w:type="spellEnd"/>
      <w:r w:rsidRPr="00924FEF">
        <w:rPr>
          <w:rFonts w:ascii="Times New Roman" w:hAnsi="Times New Roman" w:cs="Times New Roman"/>
          <w:color w:val="323232"/>
          <w:sz w:val="24"/>
          <w:szCs w:val="24"/>
          <w:shd w:val="clear" w:color="auto" w:fill="FFFFFF"/>
        </w:rPr>
        <w:t xml:space="preserve">, D.A., &amp; Cicchetti, D.V. (2005). </w:t>
      </w:r>
      <w:r w:rsidRPr="00924FEF">
        <w:rPr>
          <w:rFonts w:ascii="Times New Roman" w:hAnsi="Times New Roman" w:cs="Times New Roman"/>
          <w:i/>
          <w:iCs/>
          <w:color w:val="323232"/>
          <w:sz w:val="24"/>
          <w:szCs w:val="24"/>
        </w:rPr>
        <w:t>Vineland Adaptive Behavior Scales</w:t>
      </w:r>
      <w:r w:rsidRPr="00924FEF">
        <w:rPr>
          <w:rFonts w:ascii="Times New Roman" w:hAnsi="Times New Roman" w:cs="Times New Roman"/>
          <w:color w:val="323232"/>
          <w:sz w:val="24"/>
          <w:szCs w:val="24"/>
        </w:rPr>
        <w:t xml:space="preserve"> (2nd</w:t>
      </w:r>
      <w:r w:rsidRPr="00924FEF">
        <w:rPr>
          <w:rFonts w:ascii="Times New Roman" w:hAnsi="Times New Roman" w:cs="Times New Roman"/>
          <w:color w:val="323232"/>
          <w:sz w:val="24"/>
          <w:szCs w:val="24"/>
          <w:shd w:val="clear" w:color="auto" w:fill="FFFFFF"/>
        </w:rPr>
        <w:t xml:space="preserve"> ed.). Circle Pines: American Guidance Service.</w:t>
      </w:r>
    </w:p>
    <w:p w14:paraId="43EF160D"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lastRenderedPageBreak/>
        <w:t xml:space="preserve">Van </w:t>
      </w:r>
      <w:proofErr w:type="spellStart"/>
      <w:r w:rsidRPr="00924FEF">
        <w:rPr>
          <w:rFonts w:ascii="Times New Roman" w:hAnsi="Times New Roman" w:cs="Times New Roman"/>
          <w:color w:val="323232"/>
          <w:sz w:val="24"/>
          <w:szCs w:val="24"/>
          <w:shd w:val="clear" w:color="auto" w:fill="FFFFFF"/>
        </w:rPr>
        <w:t>Buuren</w:t>
      </w:r>
      <w:proofErr w:type="spellEnd"/>
      <w:r w:rsidRPr="00924FEF">
        <w:rPr>
          <w:rFonts w:ascii="Times New Roman" w:hAnsi="Times New Roman" w:cs="Times New Roman"/>
          <w:color w:val="323232"/>
          <w:sz w:val="24"/>
          <w:szCs w:val="24"/>
          <w:shd w:val="clear" w:color="auto" w:fill="FFFFFF"/>
        </w:rPr>
        <w:t xml:space="preserve">, S., Brand, J. P., </w:t>
      </w:r>
      <w:proofErr w:type="spellStart"/>
      <w:r w:rsidRPr="00924FEF">
        <w:rPr>
          <w:rFonts w:ascii="Times New Roman" w:hAnsi="Times New Roman" w:cs="Times New Roman"/>
          <w:color w:val="323232"/>
          <w:sz w:val="24"/>
          <w:szCs w:val="24"/>
          <w:shd w:val="clear" w:color="auto" w:fill="FFFFFF"/>
        </w:rPr>
        <w:t>Groothuis-Oudshoorn</w:t>
      </w:r>
      <w:proofErr w:type="spellEnd"/>
      <w:r w:rsidRPr="00924FEF">
        <w:rPr>
          <w:rFonts w:ascii="Times New Roman" w:hAnsi="Times New Roman" w:cs="Times New Roman"/>
          <w:color w:val="323232"/>
          <w:sz w:val="24"/>
          <w:szCs w:val="24"/>
          <w:shd w:val="clear" w:color="auto" w:fill="FFFFFF"/>
        </w:rPr>
        <w:t xml:space="preserve">, C. G., &amp; Rubin, D. B. (2006). Fully conditional specification in multivariate imputation. </w:t>
      </w:r>
      <w:r w:rsidRPr="00924FEF">
        <w:rPr>
          <w:rFonts w:ascii="Times New Roman" w:hAnsi="Times New Roman" w:cs="Times New Roman"/>
          <w:i/>
          <w:iCs/>
          <w:color w:val="323232"/>
          <w:sz w:val="24"/>
          <w:szCs w:val="24"/>
          <w:shd w:val="clear" w:color="auto" w:fill="FFFFFF"/>
        </w:rPr>
        <w:t>Journal of statistical computation and simulation</w:t>
      </w:r>
      <w:r w:rsidRPr="00924FEF">
        <w:rPr>
          <w:rFonts w:ascii="Times New Roman" w:hAnsi="Times New Roman" w:cs="Times New Roman"/>
          <w:color w:val="323232"/>
          <w:sz w:val="24"/>
          <w:szCs w:val="24"/>
          <w:shd w:val="clear" w:color="auto" w:fill="FFFFFF"/>
        </w:rPr>
        <w:t>, 76(12), 1049-1064. doi:10.1080/10629360600810434</w:t>
      </w:r>
    </w:p>
    <w:p w14:paraId="462DBF8C"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Watson, L.R., </w:t>
      </w:r>
      <w:proofErr w:type="spellStart"/>
      <w:r w:rsidRPr="00924FEF">
        <w:rPr>
          <w:rFonts w:ascii="Times New Roman" w:hAnsi="Times New Roman" w:cs="Times New Roman"/>
          <w:color w:val="323232"/>
          <w:sz w:val="24"/>
          <w:szCs w:val="24"/>
          <w:shd w:val="clear" w:color="auto" w:fill="FFFFFF"/>
        </w:rPr>
        <w:t>Baranek</w:t>
      </w:r>
      <w:proofErr w:type="spellEnd"/>
      <w:r w:rsidRPr="00924FEF">
        <w:rPr>
          <w:rFonts w:ascii="Times New Roman" w:hAnsi="Times New Roman" w:cs="Times New Roman"/>
          <w:color w:val="323232"/>
          <w:sz w:val="24"/>
          <w:szCs w:val="24"/>
          <w:shd w:val="clear" w:color="auto" w:fill="FFFFFF"/>
        </w:rPr>
        <w:t xml:space="preserve">, G.T., </w:t>
      </w:r>
      <w:proofErr w:type="spellStart"/>
      <w:r w:rsidRPr="00924FEF">
        <w:rPr>
          <w:rFonts w:ascii="Times New Roman" w:hAnsi="Times New Roman" w:cs="Times New Roman"/>
          <w:color w:val="323232"/>
          <w:sz w:val="24"/>
          <w:szCs w:val="24"/>
          <w:shd w:val="clear" w:color="auto" w:fill="FFFFFF"/>
        </w:rPr>
        <w:t>Crais</w:t>
      </w:r>
      <w:proofErr w:type="spellEnd"/>
      <w:r w:rsidRPr="00924FEF">
        <w:rPr>
          <w:rFonts w:ascii="Times New Roman" w:hAnsi="Times New Roman" w:cs="Times New Roman"/>
          <w:color w:val="323232"/>
          <w:sz w:val="24"/>
          <w:szCs w:val="24"/>
          <w:shd w:val="clear" w:color="auto" w:fill="FFFFFF"/>
        </w:rPr>
        <w:t xml:space="preserve">, E.R., Reznick, J.S., Dykstra, J., &amp; Perryman, T. (2007). The </w:t>
      </w:r>
      <w:proofErr w:type="gramStart"/>
      <w:r w:rsidRPr="00924FEF">
        <w:rPr>
          <w:rFonts w:ascii="Times New Roman" w:hAnsi="Times New Roman" w:cs="Times New Roman"/>
          <w:color w:val="323232"/>
          <w:sz w:val="24"/>
          <w:szCs w:val="24"/>
          <w:shd w:val="clear" w:color="auto" w:fill="FFFFFF"/>
        </w:rPr>
        <w:t>first year</w:t>
      </w:r>
      <w:proofErr w:type="gramEnd"/>
      <w:r w:rsidRPr="00924FEF">
        <w:rPr>
          <w:rFonts w:ascii="Times New Roman" w:hAnsi="Times New Roman" w:cs="Times New Roman"/>
          <w:color w:val="323232"/>
          <w:sz w:val="24"/>
          <w:szCs w:val="24"/>
          <w:shd w:val="clear" w:color="auto" w:fill="FFFFFF"/>
        </w:rPr>
        <w:t xml:space="preserve"> inventory: Retrospective parent responses to a questionnaire designed to identify one-year-olds at risk for autism. </w:t>
      </w:r>
      <w:r w:rsidRPr="00924FEF">
        <w:rPr>
          <w:rFonts w:ascii="Times New Roman" w:eastAsia="Times New Roman" w:hAnsi="Times New Roman" w:cs="Times New Roman"/>
          <w:i/>
          <w:iCs/>
          <w:color w:val="323232"/>
          <w:sz w:val="24"/>
          <w:szCs w:val="24"/>
          <w:lang w:eastAsia="zh-CN"/>
        </w:rPr>
        <w:t>Journal of Autism and Developmental Disorders</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37</w:t>
      </w:r>
      <w:r w:rsidRPr="00924FEF">
        <w:rPr>
          <w:rFonts w:ascii="Times New Roman" w:hAnsi="Times New Roman" w:cs="Times New Roman"/>
          <w:color w:val="323232"/>
          <w:sz w:val="24"/>
          <w:szCs w:val="24"/>
          <w:shd w:val="clear" w:color="auto" w:fill="FFFFFF"/>
        </w:rPr>
        <w:t>, 49-61.</w:t>
      </w:r>
    </w:p>
    <w:p w14:paraId="641A3AFE"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r w:rsidRPr="00924FEF">
        <w:rPr>
          <w:rFonts w:ascii="Times New Roman" w:hAnsi="Times New Roman" w:cs="Times New Roman"/>
          <w:color w:val="323232"/>
          <w:sz w:val="24"/>
          <w:szCs w:val="24"/>
          <w:shd w:val="clear" w:color="auto" w:fill="FFFFFF"/>
        </w:rPr>
        <w:t xml:space="preserve">Wolff, J. J., Gu, H., </w:t>
      </w:r>
      <w:proofErr w:type="spellStart"/>
      <w:r w:rsidRPr="00924FEF">
        <w:rPr>
          <w:rFonts w:ascii="Times New Roman" w:hAnsi="Times New Roman" w:cs="Times New Roman"/>
          <w:color w:val="323232"/>
          <w:sz w:val="24"/>
          <w:szCs w:val="24"/>
          <w:shd w:val="clear" w:color="auto" w:fill="FFFFFF"/>
        </w:rPr>
        <w:t>Gerig</w:t>
      </w:r>
      <w:proofErr w:type="spellEnd"/>
      <w:r w:rsidRPr="00924FEF">
        <w:rPr>
          <w:rFonts w:ascii="Times New Roman" w:hAnsi="Times New Roman" w:cs="Times New Roman"/>
          <w:color w:val="323232"/>
          <w:sz w:val="24"/>
          <w:szCs w:val="24"/>
          <w:shd w:val="clear" w:color="auto" w:fill="FFFFFF"/>
        </w:rPr>
        <w:t xml:space="preserve">, G., </w:t>
      </w:r>
      <w:proofErr w:type="spellStart"/>
      <w:r w:rsidRPr="00924FEF">
        <w:rPr>
          <w:rFonts w:ascii="Times New Roman" w:hAnsi="Times New Roman" w:cs="Times New Roman"/>
          <w:color w:val="323232"/>
          <w:sz w:val="24"/>
          <w:szCs w:val="24"/>
          <w:shd w:val="clear" w:color="auto" w:fill="FFFFFF"/>
        </w:rPr>
        <w:t>Elison</w:t>
      </w:r>
      <w:proofErr w:type="spellEnd"/>
      <w:r w:rsidRPr="00924FEF">
        <w:rPr>
          <w:rFonts w:ascii="Times New Roman" w:hAnsi="Times New Roman" w:cs="Times New Roman"/>
          <w:color w:val="323232"/>
          <w:sz w:val="24"/>
          <w:szCs w:val="24"/>
          <w:shd w:val="clear" w:color="auto" w:fill="FFFFFF"/>
        </w:rPr>
        <w:t xml:space="preserve">, J. T., </w:t>
      </w:r>
      <w:proofErr w:type="spellStart"/>
      <w:r w:rsidRPr="00924FEF">
        <w:rPr>
          <w:rFonts w:ascii="Times New Roman" w:hAnsi="Times New Roman" w:cs="Times New Roman"/>
          <w:color w:val="323232"/>
          <w:sz w:val="24"/>
          <w:szCs w:val="24"/>
          <w:shd w:val="clear" w:color="auto" w:fill="FFFFFF"/>
        </w:rPr>
        <w:t>Styner</w:t>
      </w:r>
      <w:proofErr w:type="spellEnd"/>
      <w:r w:rsidRPr="00924FEF">
        <w:rPr>
          <w:rFonts w:ascii="Times New Roman" w:hAnsi="Times New Roman" w:cs="Times New Roman"/>
          <w:color w:val="323232"/>
          <w:sz w:val="24"/>
          <w:szCs w:val="24"/>
          <w:shd w:val="clear" w:color="auto" w:fill="FFFFFF"/>
        </w:rPr>
        <w:t xml:space="preserve">, M., </w:t>
      </w:r>
      <w:proofErr w:type="spellStart"/>
      <w:r w:rsidRPr="00924FEF">
        <w:rPr>
          <w:rFonts w:ascii="Times New Roman" w:hAnsi="Times New Roman" w:cs="Times New Roman"/>
          <w:color w:val="323232"/>
          <w:sz w:val="24"/>
          <w:szCs w:val="24"/>
          <w:shd w:val="clear" w:color="auto" w:fill="FFFFFF"/>
        </w:rPr>
        <w:t>Gouttard</w:t>
      </w:r>
      <w:proofErr w:type="spellEnd"/>
      <w:r w:rsidRPr="00924FEF">
        <w:rPr>
          <w:rFonts w:ascii="Times New Roman" w:hAnsi="Times New Roman" w:cs="Times New Roman"/>
          <w:color w:val="323232"/>
          <w:sz w:val="24"/>
          <w:szCs w:val="24"/>
          <w:shd w:val="clear" w:color="auto" w:fill="FFFFFF"/>
        </w:rPr>
        <w:t xml:space="preserve">, S., </w:t>
      </w:r>
      <w:proofErr w:type="spellStart"/>
      <w:r w:rsidRPr="00924FEF">
        <w:rPr>
          <w:rFonts w:ascii="Times New Roman" w:hAnsi="Times New Roman" w:cs="Times New Roman"/>
          <w:color w:val="323232"/>
          <w:sz w:val="24"/>
          <w:szCs w:val="24"/>
          <w:shd w:val="clear" w:color="auto" w:fill="FFFFFF"/>
        </w:rPr>
        <w:t>Botteron</w:t>
      </w:r>
      <w:proofErr w:type="spellEnd"/>
      <w:r w:rsidRPr="00924FEF">
        <w:rPr>
          <w:rFonts w:ascii="Times New Roman" w:hAnsi="Times New Roman" w:cs="Times New Roman"/>
          <w:color w:val="323232"/>
          <w:sz w:val="24"/>
          <w:szCs w:val="24"/>
          <w:shd w:val="clear" w:color="auto" w:fill="FFFFFF"/>
        </w:rPr>
        <w:t xml:space="preserve">, K. N., </w:t>
      </w:r>
      <w:proofErr w:type="spellStart"/>
      <w:r w:rsidRPr="00924FEF">
        <w:rPr>
          <w:rFonts w:ascii="Times New Roman" w:hAnsi="Times New Roman" w:cs="Times New Roman"/>
          <w:color w:val="323232"/>
          <w:sz w:val="24"/>
          <w:szCs w:val="24"/>
          <w:shd w:val="clear" w:color="auto" w:fill="FFFFFF"/>
        </w:rPr>
        <w:t>Dager</w:t>
      </w:r>
      <w:proofErr w:type="spellEnd"/>
      <w:r w:rsidRPr="00924FEF">
        <w:rPr>
          <w:rFonts w:ascii="Times New Roman" w:hAnsi="Times New Roman" w:cs="Times New Roman"/>
          <w:color w:val="323232"/>
          <w:sz w:val="24"/>
          <w:szCs w:val="24"/>
          <w:shd w:val="clear" w:color="auto" w:fill="FFFFFF"/>
        </w:rPr>
        <w:t xml:space="preserve">, S. R., Dawson, G., Estes, A. M., Evans, A. C., Hazlett, H. C., </w:t>
      </w:r>
      <w:proofErr w:type="spellStart"/>
      <w:r w:rsidRPr="00924FEF">
        <w:rPr>
          <w:rFonts w:ascii="Times New Roman" w:hAnsi="Times New Roman" w:cs="Times New Roman"/>
          <w:color w:val="323232"/>
          <w:sz w:val="24"/>
          <w:szCs w:val="24"/>
          <w:shd w:val="clear" w:color="auto" w:fill="FFFFFF"/>
        </w:rPr>
        <w:t>Kostopoulos</w:t>
      </w:r>
      <w:proofErr w:type="spellEnd"/>
      <w:r w:rsidRPr="00924FEF">
        <w:rPr>
          <w:rFonts w:ascii="Times New Roman" w:hAnsi="Times New Roman" w:cs="Times New Roman"/>
          <w:color w:val="323232"/>
          <w:sz w:val="24"/>
          <w:szCs w:val="24"/>
          <w:shd w:val="clear" w:color="auto" w:fill="FFFFFF"/>
        </w:rPr>
        <w:t xml:space="preserve">, P., McKinstry, R. C., Paterson, S. J., Schultz, R. T., </w:t>
      </w:r>
      <w:proofErr w:type="spellStart"/>
      <w:r w:rsidRPr="00924FEF">
        <w:rPr>
          <w:rFonts w:ascii="Times New Roman" w:hAnsi="Times New Roman" w:cs="Times New Roman"/>
          <w:color w:val="323232"/>
          <w:sz w:val="24"/>
          <w:szCs w:val="24"/>
          <w:shd w:val="clear" w:color="auto" w:fill="FFFFFF"/>
        </w:rPr>
        <w:t>Zwaigenbaum</w:t>
      </w:r>
      <w:proofErr w:type="spellEnd"/>
      <w:r w:rsidRPr="00924FEF">
        <w:rPr>
          <w:rFonts w:ascii="Times New Roman" w:hAnsi="Times New Roman" w:cs="Times New Roman"/>
          <w:color w:val="323232"/>
          <w:sz w:val="24"/>
          <w:szCs w:val="24"/>
          <w:shd w:val="clear" w:color="auto" w:fill="FFFFFF"/>
        </w:rPr>
        <w:t xml:space="preserve">, L., </w:t>
      </w:r>
      <w:proofErr w:type="spellStart"/>
      <w:r w:rsidRPr="00924FEF">
        <w:rPr>
          <w:rFonts w:ascii="Times New Roman" w:hAnsi="Times New Roman" w:cs="Times New Roman"/>
          <w:color w:val="323232"/>
          <w:sz w:val="24"/>
          <w:szCs w:val="24"/>
          <w:shd w:val="clear" w:color="auto" w:fill="FFFFFF"/>
        </w:rPr>
        <w:t>Piven</w:t>
      </w:r>
      <w:proofErr w:type="spellEnd"/>
      <w:r w:rsidRPr="00924FEF">
        <w:rPr>
          <w:rFonts w:ascii="Times New Roman" w:hAnsi="Times New Roman" w:cs="Times New Roman"/>
          <w:color w:val="323232"/>
          <w:sz w:val="24"/>
          <w:szCs w:val="24"/>
          <w:shd w:val="clear" w:color="auto" w:fill="FFFFFF"/>
        </w:rPr>
        <w:t xml:space="preserve">, J., &amp; IBIS Network (2012). Differences in white matter fiber tract development present from 6 to 24 months in infants with autism. The </w:t>
      </w:r>
      <w:r w:rsidRPr="00924FEF">
        <w:rPr>
          <w:rFonts w:ascii="Times New Roman" w:hAnsi="Times New Roman" w:cs="Times New Roman"/>
          <w:i/>
          <w:iCs/>
          <w:color w:val="323232"/>
          <w:sz w:val="24"/>
          <w:szCs w:val="24"/>
          <w:shd w:val="clear" w:color="auto" w:fill="FFFFFF"/>
        </w:rPr>
        <w:t>American journal of psychiatry, 169</w:t>
      </w:r>
      <w:r w:rsidRPr="00924FEF">
        <w:rPr>
          <w:rFonts w:ascii="Times New Roman" w:hAnsi="Times New Roman" w:cs="Times New Roman"/>
          <w:color w:val="323232"/>
          <w:sz w:val="24"/>
          <w:szCs w:val="24"/>
          <w:shd w:val="clear" w:color="auto" w:fill="FFFFFF"/>
        </w:rPr>
        <w:t>(6), 589–600. doi.org/10.1176/appi.ajp.2011.11091447</w:t>
      </w:r>
    </w:p>
    <w:p w14:paraId="5D561A02" w14:textId="77777777" w:rsidR="005B4B0E" w:rsidRPr="00924FEF"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proofErr w:type="spellStart"/>
      <w:r w:rsidRPr="00924FEF">
        <w:rPr>
          <w:rFonts w:ascii="Times New Roman" w:hAnsi="Times New Roman" w:cs="Times New Roman"/>
          <w:color w:val="323232"/>
          <w:sz w:val="24"/>
          <w:szCs w:val="24"/>
          <w:shd w:val="clear" w:color="auto" w:fill="FFFFFF"/>
        </w:rPr>
        <w:t>Yoo</w:t>
      </w:r>
      <w:proofErr w:type="spellEnd"/>
      <w:r w:rsidRPr="00924FEF">
        <w:rPr>
          <w:rFonts w:ascii="Times New Roman" w:hAnsi="Times New Roman" w:cs="Times New Roman"/>
          <w:color w:val="323232"/>
          <w:sz w:val="24"/>
          <w:szCs w:val="24"/>
          <w:shd w:val="clear" w:color="auto" w:fill="FFFFFF"/>
        </w:rPr>
        <w:t xml:space="preserve">, J. E. (2009). The effect of auxiliary variables and multiple imputation on parameter estimation in confirmatory factor analysis. </w:t>
      </w:r>
      <w:r w:rsidRPr="00924FEF">
        <w:rPr>
          <w:rFonts w:ascii="Times New Roman" w:hAnsi="Times New Roman" w:cs="Times New Roman"/>
          <w:i/>
          <w:iCs/>
          <w:color w:val="323232"/>
          <w:sz w:val="24"/>
          <w:szCs w:val="24"/>
          <w:shd w:val="clear" w:color="auto" w:fill="FFFFFF"/>
        </w:rPr>
        <w:t>Educational and Psychological Measurement</w:t>
      </w:r>
      <w:r w:rsidRPr="00924FEF">
        <w:rPr>
          <w:rFonts w:ascii="Times New Roman" w:hAnsi="Times New Roman" w:cs="Times New Roman"/>
          <w:color w:val="323232"/>
          <w:sz w:val="24"/>
          <w:szCs w:val="24"/>
          <w:shd w:val="clear" w:color="auto" w:fill="FFFFFF"/>
        </w:rPr>
        <w:t>, 69(6), 929-947. doi:10.1177/0013164409332225</w:t>
      </w:r>
    </w:p>
    <w:p w14:paraId="4B30A29B" w14:textId="77777777" w:rsidR="005B4B0E" w:rsidRPr="00187C3B" w:rsidRDefault="005B4B0E" w:rsidP="005B4B0E">
      <w:pPr>
        <w:spacing w:after="0" w:line="480" w:lineRule="auto"/>
        <w:ind w:left="720" w:hanging="720"/>
        <w:jc w:val="both"/>
        <w:rPr>
          <w:rFonts w:ascii="Times New Roman" w:hAnsi="Times New Roman" w:cs="Times New Roman"/>
          <w:color w:val="323232"/>
          <w:sz w:val="24"/>
          <w:szCs w:val="24"/>
          <w:shd w:val="clear" w:color="auto" w:fill="FFFFFF"/>
        </w:rPr>
      </w:pPr>
      <w:proofErr w:type="spellStart"/>
      <w:r w:rsidRPr="00924FEF">
        <w:rPr>
          <w:rFonts w:ascii="Times New Roman" w:hAnsi="Times New Roman" w:cs="Times New Roman"/>
          <w:color w:val="323232"/>
          <w:sz w:val="24"/>
          <w:szCs w:val="24"/>
          <w:shd w:val="clear" w:color="auto" w:fill="FFFFFF"/>
        </w:rPr>
        <w:t>Zwaigenbaum</w:t>
      </w:r>
      <w:proofErr w:type="spellEnd"/>
      <w:r w:rsidRPr="00924FEF">
        <w:rPr>
          <w:rFonts w:ascii="Times New Roman" w:hAnsi="Times New Roman" w:cs="Times New Roman"/>
          <w:color w:val="323232"/>
          <w:sz w:val="24"/>
          <w:szCs w:val="24"/>
          <w:shd w:val="clear" w:color="auto" w:fill="FFFFFF"/>
        </w:rPr>
        <w:t xml:space="preserve">, L., Bryson, S.E., Brian, J., Smith, I.M., </w:t>
      </w:r>
      <w:proofErr w:type="spellStart"/>
      <w:r w:rsidRPr="00924FEF">
        <w:rPr>
          <w:rFonts w:ascii="Times New Roman" w:hAnsi="Times New Roman" w:cs="Times New Roman"/>
          <w:color w:val="323232"/>
          <w:sz w:val="24"/>
          <w:szCs w:val="24"/>
          <w:shd w:val="clear" w:color="auto" w:fill="FFFFFF"/>
        </w:rPr>
        <w:t>Sacrey</w:t>
      </w:r>
      <w:proofErr w:type="spellEnd"/>
      <w:r w:rsidRPr="00924FEF">
        <w:rPr>
          <w:rFonts w:ascii="Times New Roman" w:hAnsi="Times New Roman" w:cs="Times New Roman"/>
          <w:color w:val="323232"/>
          <w:sz w:val="24"/>
          <w:szCs w:val="24"/>
          <w:shd w:val="clear" w:color="auto" w:fill="FFFFFF"/>
        </w:rPr>
        <w:t xml:space="preserve">, L., Armstrong, V., Roberts, W., </w:t>
      </w:r>
      <w:proofErr w:type="spellStart"/>
      <w:r w:rsidRPr="00924FEF">
        <w:rPr>
          <w:rFonts w:ascii="Times New Roman" w:hAnsi="Times New Roman" w:cs="Times New Roman"/>
          <w:color w:val="323232"/>
          <w:sz w:val="24"/>
          <w:szCs w:val="24"/>
          <w:shd w:val="clear" w:color="auto" w:fill="FFFFFF"/>
        </w:rPr>
        <w:t>Szatmari</w:t>
      </w:r>
      <w:proofErr w:type="spellEnd"/>
      <w:r w:rsidRPr="00924FEF">
        <w:rPr>
          <w:rFonts w:ascii="Times New Roman" w:hAnsi="Times New Roman" w:cs="Times New Roman"/>
          <w:color w:val="323232"/>
          <w:sz w:val="24"/>
          <w:szCs w:val="24"/>
          <w:shd w:val="clear" w:color="auto" w:fill="FFFFFF"/>
        </w:rPr>
        <w:t xml:space="preserve">, P., </w:t>
      </w:r>
      <w:proofErr w:type="spellStart"/>
      <w:r w:rsidRPr="00924FEF">
        <w:rPr>
          <w:rFonts w:ascii="Times New Roman" w:hAnsi="Times New Roman" w:cs="Times New Roman"/>
          <w:color w:val="323232"/>
          <w:sz w:val="24"/>
          <w:szCs w:val="24"/>
          <w:shd w:val="clear" w:color="auto" w:fill="FFFFFF"/>
        </w:rPr>
        <w:t>Garon</w:t>
      </w:r>
      <w:proofErr w:type="spellEnd"/>
      <w:r w:rsidRPr="00924FEF">
        <w:rPr>
          <w:rFonts w:ascii="Times New Roman" w:hAnsi="Times New Roman" w:cs="Times New Roman"/>
          <w:color w:val="323232"/>
          <w:sz w:val="24"/>
          <w:szCs w:val="24"/>
          <w:shd w:val="clear" w:color="auto" w:fill="FFFFFF"/>
        </w:rPr>
        <w:t xml:space="preserve">, N., Vaillancourt, T., &amp; </w:t>
      </w:r>
      <w:proofErr w:type="spellStart"/>
      <w:r w:rsidRPr="00924FEF">
        <w:rPr>
          <w:rFonts w:ascii="Times New Roman" w:hAnsi="Times New Roman" w:cs="Times New Roman"/>
          <w:color w:val="323232"/>
          <w:sz w:val="24"/>
          <w:szCs w:val="24"/>
          <w:shd w:val="clear" w:color="auto" w:fill="FFFFFF"/>
        </w:rPr>
        <w:t>Roncadin</w:t>
      </w:r>
      <w:proofErr w:type="spellEnd"/>
      <w:r w:rsidRPr="00924FEF">
        <w:rPr>
          <w:rFonts w:ascii="Times New Roman" w:hAnsi="Times New Roman" w:cs="Times New Roman"/>
          <w:color w:val="323232"/>
          <w:sz w:val="24"/>
          <w:szCs w:val="24"/>
          <w:shd w:val="clear" w:color="auto" w:fill="FFFFFF"/>
        </w:rPr>
        <w:t xml:space="preserve">, C. (2021). Assessment of autism symptoms from 6 to 18 months of age using the autism observation scale for infants in a prospective high‐risk cohort. </w:t>
      </w:r>
      <w:r w:rsidRPr="00924FEF">
        <w:rPr>
          <w:rFonts w:ascii="Times New Roman" w:hAnsi="Times New Roman" w:cs="Times New Roman"/>
          <w:i/>
          <w:iCs/>
          <w:color w:val="323232"/>
          <w:sz w:val="24"/>
          <w:szCs w:val="24"/>
          <w:shd w:val="clear" w:color="auto" w:fill="FFFFFF"/>
        </w:rPr>
        <w:t>Child Development</w:t>
      </w:r>
      <w:r w:rsidRPr="00924FEF">
        <w:rPr>
          <w:rFonts w:ascii="Times New Roman" w:hAnsi="Times New Roman" w:cs="Times New Roman"/>
          <w:color w:val="323232"/>
          <w:sz w:val="24"/>
          <w:szCs w:val="24"/>
          <w:shd w:val="clear" w:color="auto" w:fill="FFFFFF"/>
        </w:rPr>
        <w:t xml:space="preserve">, </w:t>
      </w:r>
      <w:r w:rsidRPr="00924FEF">
        <w:rPr>
          <w:rFonts w:ascii="Times New Roman" w:hAnsi="Times New Roman" w:cs="Times New Roman"/>
          <w:i/>
          <w:iCs/>
          <w:color w:val="323232"/>
          <w:sz w:val="24"/>
          <w:szCs w:val="24"/>
          <w:shd w:val="clear" w:color="auto" w:fill="FFFFFF"/>
        </w:rPr>
        <w:t>92</w:t>
      </w:r>
      <w:r w:rsidRPr="00924FEF">
        <w:rPr>
          <w:rFonts w:ascii="Times New Roman" w:hAnsi="Times New Roman" w:cs="Times New Roman"/>
          <w:color w:val="323232"/>
          <w:sz w:val="24"/>
          <w:szCs w:val="24"/>
          <w:shd w:val="clear" w:color="auto" w:fill="FFFFFF"/>
        </w:rPr>
        <w:t>, 1187-1198.</w:t>
      </w:r>
      <w:r w:rsidRPr="00924FEF">
        <w:t xml:space="preserve"> </w:t>
      </w:r>
      <w:r w:rsidRPr="00924FEF">
        <w:rPr>
          <w:rFonts w:ascii="Times New Roman" w:hAnsi="Times New Roman" w:cs="Times New Roman"/>
          <w:color w:val="323232"/>
          <w:sz w:val="24"/>
          <w:szCs w:val="24"/>
          <w:shd w:val="clear" w:color="auto" w:fill="FFFFFF"/>
        </w:rPr>
        <w:t>doi.org/10.1111/cdev.13485</w:t>
      </w:r>
    </w:p>
    <w:p w14:paraId="23DAF305" w14:textId="77777777" w:rsidR="005B4B0E" w:rsidRPr="006078D6" w:rsidRDefault="005B4B0E" w:rsidP="005B4B0E">
      <w:pPr>
        <w:widowControl w:val="0"/>
        <w:spacing w:after="0" w:line="480" w:lineRule="auto"/>
        <w:ind w:left="720" w:hanging="720"/>
        <w:rPr>
          <w:rFonts w:ascii="Times New Roman" w:hAnsi="Times New Roman" w:cs="Times New Roman"/>
          <w:color w:val="323232"/>
          <w:sz w:val="24"/>
          <w:szCs w:val="24"/>
          <w:shd w:val="clear" w:color="auto" w:fill="FFFFFF"/>
        </w:rPr>
      </w:pPr>
    </w:p>
    <w:p w14:paraId="1BC7292B" w14:textId="77777777" w:rsidR="00C25A97" w:rsidRDefault="00C25A97"/>
    <w:sectPr w:rsidR="00C25A97" w:rsidSect="005C6B9A">
      <w:headerReference w:type="default" r:id="rId15"/>
      <w:pgSz w:w="12240" w:h="15840"/>
      <w:pgMar w:top="1440" w:right="1440" w:bottom="1440" w:left="1440" w:header="576" w:footer="720" w:gutter="0"/>
      <w:pgNumType w:chapStyle="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059359"/>
      <w:docPartObj>
        <w:docPartGallery w:val="Page Numbers (Top of Page)"/>
        <w:docPartUnique/>
      </w:docPartObj>
    </w:sdtPr>
    <w:sdtEndPr>
      <w:rPr>
        <w:noProof/>
      </w:rPr>
    </w:sdtEndPr>
    <w:sdtContent>
      <w:p w14:paraId="0B40BF78" w14:textId="77777777" w:rsidR="00A26A80"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FE1298" w14:textId="77777777" w:rsidR="00A26A8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1013196"/>
      <w:docPartObj>
        <w:docPartGallery w:val="Page Numbers (Top of Page)"/>
        <w:docPartUnique/>
      </w:docPartObj>
    </w:sdtPr>
    <w:sdtEndPr>
      <w:rPr>
        <w:noProof/>
      </w:rPr>
    </w:sdtEndPr>
    <w:sdtContent>
      <w:p w14:paraId="7F02EC3D" w14:textId="77777777" w:rsidR="002B34EE"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2DD75F" w14:textId="77777777" w:rsidR="002B34EE"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B0E"/>
    <w:rsid w:val="005B4B0E"/>
    <w:rsid w:val="00C25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E9325"/>
  <w15:chartTrackingRefBased/>
  <w15:docId w15:val="{BB9DFA46-6908-41B0-BFDF-E74126F3F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B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4B0E"/>
    <w:rPr>
      <w:color w:val="0000FF"/>
      <w:u w:val="single"/>
    </w:rPr>
  </w:style>
  <w:style w:type="paragraph" w:styleId="Header">
    <w:name w:val="header"/>
    <w:basedOn w:val="Normal"/>
    <w:link w:val="HeaderChar"/>
    <w:uiPriority w:val="99"/>
    <w:unhideWhenUsed/>
    <w:rsid w:val="005B4B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header" Target="header2.xm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eader" Target="header1.xml"/><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2862</Words>
  <Characters>16315</Characters>
  <Application>Microsoft Office Word</Application>
  <DocSecurity>0</DocSecurity>
  <Lines>135</Lines>
  <Paragraphs>38</Paragraphs>
  <ScaleCrop>false</ScaleCrop>
  <Company/>
  <LinksUpToDate>false</LinksUpToDate>
  <CharactersWithSpaces>19139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Marrus</dc:creator>
  <cp:keywords/>
  <dc:description/>
  <cp:lastModifiedBy>Natasha Marrus</cp:lastModifiedBy>
  <cp:revision>1</cp:revision>
  <dcterms:created xsi:type="dcterms:W3CDTF">2022-07-30T18:41:00Z</dcterms:created>
  <dcterms:modified xsi:type="dcterms:W3CDTF">2022-07-30T18:42:00Z</dcterms:modified>
</cp:coreProperties>
</file>