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3E54" w14:textId="0C0FC4A1" w:rsidR="005B4069" w:rsidRPr="000F18A7" w:rsidRDefault="005B4069" w:rsidP="001A4A48">
      <w:pPr>
        <w:spacing w:line="480" w:lineRule="auto"/>
        <w:jc w:val="left"/>
        <w:rPr>
          <w:rFonts w:ascii="Times New Roman" w:hAnsi="Times New Roman" w:cs="Times New Roman"/>
          <w:bCs/>
          <w:sz w:val="24"/>
          <w:szCs w:val="24"/>
        </w:rPr>
      </w:pPr>
      <w:r w:rsidRPr="000F18A7">
        <w:rPr>
          <w:rFonts w:ascii="Times New Roman" w:hAnsi="Times New Roman" w:cs="Times New Roman"/>
          <w:b/>
          <w:sz w:val="24"/>
          <w:szCs w:val="24"/>
        </w:rPr>
        <w:t xml:space="preserve">Appendix </w:t>
      </w:r>
      <w:r w:rsidR="00516B9D">
        <w:rPr>
          <w:rFonts w:ascii="Times New Roman" w:hAnsi="Times New Roman" w:cs="Times New Roman"/>
          <w:b/>
          <w:sz w:val="24"/>
          <w:szCs w:val="24"/>
        </w:rPr>
        <w:t>2</w:t>
      </w:r>
      <w:r w:rsidR="000F18A7" w:rsidRPr="000F18A7">
        <w:rPr>
          <w:rFonts w:ascii="Times New Roman" w:hAnsi="Times New Roman" w:cs="Times New Roman"/>
          <w:b/>
          <w:sz w:val="24"/>
          <w:szCs w:val="24"/>
        </w:rPr>
        <w:t>.</w:t>
      </w:r>
      <w:r w:rsidR="000F18A7">
        <w:rPr>
          <w:rFonts w:ascii="Times New Roman" w:hAnsi="Times New Roman" w:cs="Times New Roman"/>
          <w:bCs/>
          <w:sz w:val="24"/>
          <w:szCs w:val="24"/>
        </w:rPr>
        <w:t xml:space="preserve"> </w:t>
      </w:r>
      <w:r w:rsidRPr="000F18A7">
        <w:rPr>
          <w:rFonts w:ascii="Times New Roman" w:hAnsi="Times New Roman" w:cs="Times New Roman"/>
          <w:bCs/>
          <w:sz w:val="24"/>
          <w:szCs w:val="24"/>
        </w:rPr>
        <w:t>Calculation of polygenic risk score for mental disorders, mental health, and cognitive functioning</w:t>
      </w:r>
    </w:p>
    <w:p w14:paraId="11DDD936" w14:textId="77777777" w:rsidR="005B4069" w:rsidRPr="00024157" w:rsidRDefault="005B4069" w:rsidP="001A4A48">
      <w:pPr>
        <w:spacing w:line="480" w:lineRule="auto"/>
        <w:jc w:val="left"/>
        <w:rPr>
          <w:rFonts w:ascii="Times New Roman" w:hAnsi="Times New Roman" w:cs="Times New Roman"/>
          <w:bCs/>
          <w:sz w:val="24"/>
          <w:szCs w:val="24"/>
        </w:rPr>
      </w:pPr>
    </w:p>
    <w:p w14:paraId="06E2A50B" w14:textId="77777777" w:rsidR="005B4069" w:rsidRPr="00AA0F4C" w:rsidRDefault="005B4069" w:rsidP="001A4A48">
      <w:pPr>
        <w:spacing w:line="480" w:lineRule="auto"/>
        <w:jc w:val="left"/>
        <w:rPr>
          <w:rFonts w:ascii="Times New Roman" w:hAnsi="Times New Roman" w:cs="Times New Roman"/>
          <w:sz w:val="24"/>
          <w:szCs w:val="24"/>
        </w:rPr>
      </w:pPr>
      <w:r w:rsidRPr="00AA0F4C">
        <w:rPr>
          <w:rFonts w:ascii="Times New Roman" w:hAnsi="Times New Roman" w:cs="Times New Roman"/>
          <w:sz w:val="24"/>
          <w:szCs w:val="24"/>
        </w:rPr>
        <w:t>Raw genotype and phenotype data were processed through the same quality control and analysis pipeline.</w:t>
      </w:r>
    </w:p>
    <w:p w14:paraId="3FE241DB" w14:textId="77777777" w:rsidR="005B4069" w:rsidRPr="00AA0F4C" w:rsidRDefault="005B4069" w:rsidP="001A4A48">
      <w:pPr>
        <w:spacing w:line="480" w:lineRule="auto"/>
        <w:jc w:val="left"/>
        <w:rPr>
          <w:rFonts w:ascii="Times New Roman" w:hAnsi="Times New Roman" w:cs="Times New Roman"/>
          <w:sz w:val="24"/>
          <w:szCs w:val="24"/>
        </w:rPr>
      </w:pPr>
      <w:r w:rsidRPr="00AA0F4C">
        <w:rPr>
          <w:rFonts w:ascii="Times New Roman" w:hAnsi="Times New Roman" w:cs="Times New Roman"/>
          <w:b/>
          <w:sz w:val="24"/>
          <w:szCs w:val="24"/>
        </w:rPr>
        <w:t>Quality control</w:t>
      </w:r>
      <w:r w:rsidRPr="00AA0F4C">
        <w:rPr>
          <w:rFonts w:ascii="Times New Roman" w:hAnsi="Times New Roman" w:cs="Times New Roman"/>
          <w:sz w:val="24"/>
          <w:szCs w:val="24"/>
        </w:rPr>
        <w:t xml:space="preserve">: Respondents with low genotyping rate (&lt;98%) and SNPs showing significant deviation from Hardy-Weinberg equilibrium (HWE, P-value &lt; 1×10-5), a low minor allele frequency (MAF &lt;10%) or high rates of missing data (&gt;5%) were excluded. Mismatch between recorded and genotypic sex were also excluded. </w:t>
      </w:r>
    </w:p>
    <w:p w14:paraId="66054480" w14:textId="77777777" w:rsidR="005B4069" w:rsidRPr="00AA0F4C" w:rsidRDefault="005B4069" w:rsidP="001A4A48">
      <w:pPr>
        <w:spacing w:line="480" w:lineRule="auto"/>
        <w:jc w:val="left"/>
        <w:rPr>
          <w:rFonts w:ascii="Times New Roman" w:hAnsi="Times New Roman" w:cs="Times New Roman"/>
          <w:sz w:val="24"/>
          <w:szCs w:val="24"/>
        </w:rPr>
      </w:pPr>
      <w:r w:rsidRPr="00AA0F4C">
        <w:rPr>
          <w:rFonts w:ascii="Times New Roman" w:hAnsi="Times New Roman" w:cs="Times New Roman"/>
          <w:b/>
          <w:sz w:val="24"/>
          <w:szCs w:val="24"/>
        </w:rPr>
        <w:t>Imputation</w:t>
      </w:r>
      <w:r w:rsidRPr="00AA0F4C">
        <w:rPr>
          <w:rFonts w:ascii="Times New Roman" w:hAnsi="Times New Roman" w:cs="Times New Roman"/>
          <w:sz w:val="24"/>
          <w:szCs w:val="24"/>
        </w:rPr>
        <w:t xml:space="preserve">: We used IMPUTE v2 to account for variation in SNP coverage across genotyping platforms, generating data on ~8 million SNPs </w:t>
      </w:r>
      <w:proofErr w:type="gramStart"/>
      <w:r w:rsidRPr="00AA0F4C">
        <w:rPr>
          <w:rFonts w:ascii="Times New Roman" w:hAnsi="Times New Roman" w:cs="Times New Roman"/>
          <w:sz w:val="24"/>
          <w:szCs w:val="24"/>
        </w:rPr>
        <w:t>on the basis of</w:t>
      </w:r>
      <w:proofErr w:type="gramEnd"/>
      <w:r w:rsidRPr="00AA0F4C">
        <w:rPr>
          <w:rFonts w:ascii="Times New Roman" w:hAnsi="Times New Roman" w:cs="Times New Roman"/>
          <w:sz w:val="24"/>
          <w:szCs w:val="24"/>
        </w:rPr>
        <w:t xml:space="preserve"> the UK10K data release </w:t>
      </w:r>
      <w:r w:rsidRPr="00AA0F4C">
        <w:rPr>
          <w:rFonts w:ascii="Times New Roman" w:hAnsi="Times New Roman" w:cs="Times New Roman"/>
          <w:noProof/>
          <w:sz w:val="24"/>
          <w:szCs w:val="24"/>
        </w:rPr>
        <w:t>(Wain et al., 2015)</w:t>
      </w:r>
      <w:r w:rsidRPr="00AA0F4C">
        <w:rPr>
          <w:rFonts w:ascii="Times New Roman" w:hAnsi="Times New Roman" w:cs="Times New Roman"/>
          <w:sz w:val="24"/>
          <w:szCs w:val="24"/>
        </w:rPr>
        <w:t xml:space="preserve"> and the 1,000 Genomes Project version June 2010. Imputed SNPs with posterior probability averages &lt; 90% for the most likely genotype were excluded. Principal component analysis (PCA) </w:t>
      </w:r>
      <w:r w:rsidRPr="00AA0F4C">
        <w:rPr>
          <w:rFonts w:ascii="Times New Roman" w:hAnsi="Times New Roman" w:cs="Times New Roman"/>
          <w:noProof/>
          <w:sz w:val="24"/>
          <w:szCs w:val="24"/>
        </w:rPr>
        <w:t>(Price et al., 2006)</w:t>
      </w:r>
      <w:r w:rsidRPr="00AA0F4C">
        <w:rPr>
          <w:rFonts w:ascii="Times New Roman" w:hAnsi="Times New Roman" w:cs="Times New Roman"/>
          <w:sz w:val="24"/>
          <w:szCs w:val="24"/>
        </w:rPr>
        <w:t xml:space="preserve"> was used to identify, and control for, population stratification in our models. </w:t>
      </w:r>
    </w:p>
    <w:p w14:paraId="7321C973" w14:textId="77777777" w:rsidR="005B4069" w:rsidRPr="00AA0F4C" w:rsidRDefault="005B4069" w:rsidP="001A4A48">
      <w:pPr>
        <w:spacing w:line="480" w:lineRule="auto"/>
        <w:jc w:val="left"/>
        <w:rPr>
          <w:rFonts w:ascii="Times New Roman" w:eastAsia="MS Mincho" w:hAnsi="Times New Roman" w:cs="Times New Roman"/>
          <w:bCs/>
          <w:noProof/>
          <w:sz w:val="24"/>
          <w:szCs w:val="24"/>
          <w:lang w:eastAsia="fr-FR"/>
        </w:rPr>
      </w:pPr>
      <w:r w:rsidRPr="00AA0F4C">
        <w:rPr>
          <w:rFonts w:ascii="Times New Roman" w:hAnsi="Times New Roman" w:cs="Times New Roman"/>
          <w:b/>
          <w:sz w:val="24"/>
          <w:szCs w:val="24"/>
        </w:rPr>
        <w:t>Statistical analysis</w:t>
      </w:r>
      <w:r w:rsidRPr="00AA0F4C">
        <w:rPr>
          <w:rFonts w:ascii="Times New Roman" w:hAnsi="Times New Roman" w:cs="Times New Roman"/>
          <w:sz w:val="24"/>
          <w:szCs w:val="24"/>
        </w:rPr>
        <w:t>: After linkage disequilibrium pruning and frequency filtering of the genotyped SNPs, we</w:t>
      </w:r>
      <w:r w:rsidRPr="00AA0F4C">
        <w:rPr>
          <w:rFonts w:ascii="Times New Roman" w:eastAsia="MS Mincho" w:hAnsi="Times New Roman" w:cs="Times New Roman"/>
          <w:noProof/>
          <w:sz w:val="24"/>
          <w:szCs w:val="24"/>
          <w:lang w:eastAsia="fr-FR"/>
        </w:rPr>
        <w:t xml:space="preserve"> exploited publically available data from the Cross-Disorder working group of the psychiatric genomic consortium (PGC) to account for polygenic effects on risk of common mental disorders within the offspring cohort. We generated </w:t>
      </w:r>
      <w:r w:rsidRPr="00AA0F4C">
        <w:rPr>
          <w:rFonts w:ascii="Times New Roman" w:eastAsia="MS Mincho" w:hAnsi="Times New Roman" w:cs="Times New Roman"/>
          <w:bCs/>
          <w:noProof/>
          <w:sz w:val="24"/>
          <w:szCs w:val="24"/>
          <w:lang w:eastAsia="fr-FR"/>
        </w:rPr>
        <w:t>polygenic risk scores (PRS) derived from analyses of selected mental disorders (PRS</w:t>
      </w:r>
      <w:r w:rsidRPr="00AA0F4C">
        <w:rPr>
          <w:rFonts w:ascii="Times New Roman" w:eastAsia="MS Mincho" w:hAnsi="Times New Roman" w:cs="Times New Roman"/>
          <w:noProof/>
          <w:sz w:val="24"/>
          <w:szCs w:val="24"/>
          <w:vertAlign w:val="subscript"/>
          <w:lang w:eastAsia="fr-FR"/>
        </w:rPr>
        <w:t>cross</w:t>
      </w:r>
      <w:r w:rsidRPr="00AA0F4C">
        <w:rPr>
          <w:rFonts w:ascii="Times New Roman" w:eastAsia="MS Mincho" w:hAnsi="Times New Roman" w:cs="Times New Roman"/>
          <w:bCs/>
          <w:noProof/>
          <w:sz w:val="24"/>
          <w:szCs w:val="24"/>
          <w:lang w:eastAsia="fr-FR"/>
        </w:rPr>
        <w:t>) (</w:t>
      </w:r>
      <w:r w:rsidRPr="00AA0F4C">
        <w:rPr>
          <w:rFonts w:ascii="Times New Roman" w:hAnsi="Times New Roman" w:cs="Times New Roman"/>
          <w:color w:val="222222"/>
          <w:sz w:val="24"/>
          <w:szCs w:val="24"/>
          <w:shd w:val="clear" w:color="auto" w:fill="FFFFFF"/>
        </w:rPr>
        <w:t>Cross-Disorder Group of the Psychiatric Genomics Consortium</w:t>
      </w:r>
      <w:r w:rsidRPr="00AA0F4C">
        <w:rPr>
          <w:rFonts w:ascii="Times New Roman" w:eastAsia="MS Mincho" w:hAnsi="Times New Roman" w:cs="Times New Roman"/>
          <w:bCs/>
          <w:noProof/>
          <w:sz w:val="24"/>
          <w:szCs w:val="24"/>
          <w:lang w:eastAsia="fr-FR"/>
        </w:rPr>
        <w:t>, 2013). Assoicatioon of PRSs with phenotype status were performed with logistic regression. Nagelkerke’s pseudo-R</w:t>
      </w:r>
      <w:r w:rsidRPr="00AA0F4C">
        <w:rPr>
          <w:rFonts w:ascii="Times New Roman" w:eastAsia="MS Mincho" w:hAnsi="Times New Roman" w:cs="Times New Roman"/>
          <w:bCs/>
          <w:noProof/>
          <w:sz w:val="24"/>
          <w:szCs w:val="24"/>
          <w:vertAlign w:val="superscript"/>
          <w:lang w:eastAsia="fr-FR"/>
        </w:rPr>
        <w:t>2</w:t>
      </w:r>
      <w:r w:rsidRPr="00AA0F4C">
        <w:rPr>
          <w:rFonts w:ascii="Times New Roman" w:eastAsia="MS Mincho" w:hAnsi="Times New Roman" w:cs="Times New Roman"/>
          <w:bCs/>
          <w:noProof/>
          <w:sz w:val="24"/>
          <w:szCs w:val="24"/>
          <w:lang w:eastAsia="fr-FR"/>
        </w:rPr>
        <w:t xml:space="preserve"> was calculated to measure the proportion of variance explained. To estimate heritability (i.e., variance explained at the liability scale) assuming a </w:t>
      </w:r>
      <w:r w:rsidRPr="00AA0F4C">
        <w:rPr>
          <w:rFonts w:ascii="Times New Roman" w:eastAsia="MS Mincho" w:hAnsi="Times New Roman" w:cs="Times New Roman"/>
          <w:bCs/>
          <w:noProof/>
          <w:sz w:val="24"/>
          <w:szCs w:val="24"/>
          <w:lang w:eastAsia="fr-FR"/>
        </w:rPr>
        <w:lastRenderedPageBreak/>
        <w:t>liability-threshold model, a lifetime risk of 25% of poor mental health, 20% of mental disorders, and 10% cognitive dysfunction, the Genetic Anaysis Repository (</w:t>
      </w:r>
      <w:hyperlink r:id="rId6" w:history="1">
        <w:r w:rsidRPr="00AA0F4C">
          <w:rPr>
            <w:rStyle w:val="Hyperlink"/>
            <w:rFonts w:ascii="Times New Roman" w:eastAsia="MS Mincho" w:hAnsi="Times New Roman" w:cs="Times New Roman"/>
            <w:bCs/>
            <w:noProof/>
            <w:sz w:val="24"/>
            <w:szCs w:val="24"/>
            <w:lang w:eastAsia="fr-FR"/>
          </w:rPr>
          <w:t>http://sourceforge.net/p/gbchen/wiki/GEAR/</w:t>
        </w:r>
      </w:hyperlink>
      <w:r w:rsidRPr="00AA0F4C">
        <w:rPr>
          <w:rFonts w:ascii="Times New Roman" w:eastAsia="MS Mincho" w:hAnsi="Times New Roman" w:cs="Times New Roman"/>
          <w:bCs/>
          <w:noProof/>
          <w:sz w:val="24"/>
          <w:szCs w:val="24"/>
          <w:lang w:eastAsia="fr-FR"/>
        </w:rPr>
        <w:t>) was used. For each analysis, ten different polygenic risk scores with ten different level of significance in logistic regression were fitted. The equivalent number of effective tests using the correlation matrix (</w:t>
      </w:r>
      <w:hyperlink r:id="rId7" w:history="1">
        <w:r w:rsidRPr="00AA0F4C">
          <w:rPr>
            <w:rStyle w:val="Hyperlink"/>
            <w:rFonts w:ascii="Times New Roman" w:eastAsia="MS Mincho" w:hAnsi="Times New Roman" w:cs="Times New Roman"/>
            <w:bCs/>
            <w:noProof/>
            <w:sz w:val="24"/>
            <w:szCs w:val="24"/>
            <w:lang w:eastAsia="fr-FR"/>
          </w:rPr>
          <w:t>http://gump.qimr.edu.au/general/daleN/matSpD/</w:t>
        </w:r>
      </w:hyperlink>
      <w:r w:rsidRPr="00AA0F4C">
        <w:rPr>
          <w:rFonts w:ascii="Times New Roman" w:eastAsia="MS Mincho" w:hAnsi="Times New Roman" w:cs="Times New Roman"/>
          <w:bCs/>
          <w:noProof/>
          <w:sz w:val="24"/>
          <w:szCs w:val="24"/>
          <w:lang w:eastAsia="fr-FR"/>
        </w:rPr>
        <w:t>) and Bonferroni correction were also used on the sum of effective tests across parents and offspring cohort.</w:t>
      </w:r>
    </w:p>
    <w:p w14:paraId="723A30A4" w14:textId="77777777" w:rsidR="005B4069" w:rsidRPr="00AA0F4C" w:rsidRDefault="005B4069" w:rsidP="001A4A48">
      <w:pPr>
        <w:spacing w:line="480" w:lineRule="auto"/>
        <w:jc w:val="left"/>
        <w:rPr>
          <w:rFonts w:ascii="Times New Roman" w:hAnsi="Times New Roman" w:cs="Times New Roman"/>
          <w:sz w:val="24"/>
          <w:szCs w:val="24"/>
        </w:rPr>
      </w:pPr>
    </w:p>
    <w:p w14:paraId="3D690B20" w14:textId="77777777" w:rsidR="005B4069" w:rsidRPr="00AA0F4C" w:rsidRDefault="005B4069" w:rsidP="001A4A48">
      <w:pPr>
        <w:spacing w:line="480" w:lineRule="auto"/>
        <w:jc w:val="left"/>
        <w:rPr>
          <w:rFonts w:ascii="Times New Roman" w:hAnsi="Times New Roman" w:cs="Times New Roman"/>
          <w:sz w:val="24"/>
          <w:szCs w:val="24"/>
        </w:rPr>
      </w:pPr>
      <w:r w:rsidRPr="00AA0F4C">
        <w:rPr>
          <w:rFonts w:ascii="Times New Roman" w:hAnsi="Times New Roman" w:cs="Times New Roman"/>
          <w:sz w:val="24"/>
          <w:szCs w:val="24"/>
        </w:rPr>
        <w:t>References</w:t>
      </w:r>
    </w:p>
    <w:p w14:paraId="01DC94BC" w14:textId="77777777" w:rsidR="005B4069" w:rsidRPr="00AA0F4C" w:rsidRDefault="005B4069" w:rsidP="001A4A48">
      <w:pPr>
        <w:pStyle w:val="EndNoteBibliography"/>
        <w:spacing w:line="480" w:lineRule="auto"/>
        <w:ind w:left="720" w:hanging="720"/>
        <w:rPr>
          <w:rFonts w:ascii="Times New Roman" w:hAnsi="Times New Roman" w:cs="Times New Roman"/>
          <w:sz w:val="24"/>
          <w:szCs w:val="24"/>
        </w:rPr>
      </w:pPr>
      <w:r w:rsidRPr="00AA0F4C">
        <w:rPr>
          <w:rFonts w:ascii="Times New Roman" w:hAnsi="Times New Roman" w:cs="Times New Roman"/>
          <w:color w:val="222222"/>
          <w:sz w:val="24"/>
          <w:szCs w:val="24"/>
          <w:shd w:val="clear" w:color="auto" w:fill="FFFFFF"/>
        </w:rPr>
        <w:t>Cross-Disorder Group of the Psychiatric Genomics Consortium</w:t>
      </w:r>
      <w:r w:rsidRPr="00AA0F4C">
        <w:rPr>
          <w:rFonts w:ascii="Times New Roman" w:hAnsi="Times New Roman" w:cs="Times New Roman"/>
          <w:sz w:val="24"/>
          <w:szCs w:val="24"/>
        </w:rPr>
        <w:t xml:space="preserve">. (2013). Identification of risk loci with shared effects on five major psychiatric disorders: a genome-wide analysis. </w:t>
      </w:r>
      <w:r w:rsidRPr="00AA0F4C">
        <w:rPr>
          <w:rFonts w:ascii="Times New Roman" w:hAnsi="Times New Roman" w:cs="Times New Roman"/>
          <w:i/>
          <w:sz w:val="24"/>
          <w:szCs w:val="24"/>
        </w:rPr>
        <w:t>The Lancet</w:t>
      </w:r>
      <w:r w:rsidRPr="00AA0F4C">
        <w:rPr>
          <w:rFonts w:ascii="Times New Roman" w:hAnsi="Times New Roman" w:cs="Times New Roman"/>
          <w:sz w:val="24"/>
          <w:szCs w:val="24"/>
        </w:rPr>
        <w:t>,</w:t>
      </w:r>
      <w:r w:rsidRPr="00AA0F4C">
        <w:rPr>
          <w:rFonts w:ascii="Times New Roman" w:hAnsi="Times New Roman" w:cs="Times New Roman"/>
          <w:i/>
          <w:sz w:val="24"/>
          <w:szCs w:val="24"/>
        </w:rPr>
        <w:t xml:space="preserve"> 381</w:t>
      </w:r>
      <w:r w:rsidRPr="00AA0F4C">
        <w:rPr>
          <w:rFonts w:ascii="Times New Roman" w:hAnsi="Times New Roman" w:cs="Times New Roman"/>
          <w:sz w:val="24"/>
          <w:szCs w:val="24"/>
        </w:rPr>
        <w:t xml:space="preserve">(9875), 1371-1379. </w:t>
      </w:r>
    </w:p>
    <w:p w14:paraId="06429611" w14:textId="77777777" w:rsidR="005B4069" w:rsidRPr="00AA0F4C" w:rsidRDefault="005B4069" w:rsidP="001A4A48">
      <w:pPr>
        <w:pStyle w:val="EndNoteBibliography"/>
        <w:spacing w:line="480" w:lineRule="auto"/>
        <w:ind w:left="720" w:hanging="720"/>
        <w:rPr>
          <w:rFonts w:ascii="Times New Roman" w:hAnsi="Times New Roman" w:cs="Times New Roman"/>
          <w:sz w:val="24"/>
          <w:szCs w:val="24"/>
        </w:rPr>
      </w:pPr>
      <w:r w:rsidRPr="00AA0F4C">
        <w:rPr>
          <w:rFonts w:ascii="Times New Roman" w:hAnsi="Times New Roman" w:cs="Times New Roman"/>
          <w:sz w:val="24"/>
          <w:szCs w:val="24"/>
        </w:rPr>
        <w:t xml:space="preserve">Price, A. L., Patterson, N. J., Plenge, R. M., Weinblatt, M. E., Shadick, N. A., &amp; Reich, D. (2006). Principal components analysis corrects for stratification in genome-wide association studies. </w:t>
      </w:r>
      <w:r w:rsidRPr="00AA0F4C">
        <w:rPr>
          <w:rFonts w:ascii="Times New Roman" w:hAnsi="Times New Roman" w:cs="Times New Roman"/>
          <w:i/>
          <w:sz w:val="24"/>
          <w:szCs w:val="24"/>
        </w:rPr>
        <w:t>Nature genetics</w:t>
      </w:r>
      <w:r w:rsidRPr="00AA0F4C">
        <w:rPr>
          <w:rFonts w:ascii="Times New Roman" w:hAnsi="Times New Roman" w:cs="Times New Roman"/>
          <w:sz w:val="24"/>
          <w:szCs w:val="24"/>
        </w:rPr>
        <w:t>,</w:t>
      </w:r>
      <w:r w:rsidRPr="00AA0F4C">
        <w:rPr>
          <w:rFonts w:ascii="Times New Roman" w:hAnsi="Times New Roman" w:cs="Times New Roman"/>
          <w:i/>
          <w:sz w:val="24"/>
          <w:szCs w:val="24"/>
        </w:rPr>
        <w:t xml:space="preserve"> 38</w:t>
      </w:r>
      <w:r w:rsidRPr="00AA0F4C">
        <w:rPr>
          <w:rFonts w:ascii="Times New Roman" w:hAnsi="Times New Roman" w:cs="Times New Roman"/>
          <w:sz w:val="24"/>
          <w:szCs w:val="24"/>
        </w:rPr>
        <w:t xml:space="preserve">(8), 904-909. </w:t>
      </w:r>
    </w:p>
    <w:p w14:paraId="4383AC45" w14:textId="77777777" w:rsidR="005B4069" w:rsidRPr="00AA0F4C" w:rsidRDefault="005B4069" w:rsidP="001A4A48">
      <w:pPr>
        <w:pStyle w:val="EndNoteBibliography"/>
        <w:spacing w:line="480" w:lineRule="auto"/>
        <w:ind w:left="720" w:hanging="720"/>
        <w:rPr>
          <w:rFonts w:ascii="Times New Roman" w:hAnsi="Times New Roman" w:cs="Times New Roman"/>
          <w:sz w:val="24"/>
          <w:szCs w:val="24"/>
        </w:rPr>
      </w:pPr>
      <w:r w:rsidRPr="00AA0F4C">
        <w:rPr>
          <w:rFonts w:ascii="Times New Roman" w:hAnsi="Times New Roman" w:cs="Times New Roman"/>
          <w:sz w:val="24"/>
          <w:szCs w:val="24"/>
        </w:rPr>
        <w:t>Wain, L. V., Walter, K., Min, J., Huang, J., Crooks, L., Memari, Y., MCCarthy, S., Perry, J., &amp; Xu, C. (2015). The UK10K project identifies rare variants in health and disease.</w:t>
      </w:r>
    </w:p>
    <w:p w14:paraId="2D74B657" w14:textId="77777777" w:rsidR="00EE1686" w:rsidRDefault="00EE1686" w:rsidP="001A4A48">
      <w:pPr>
        <w:spacing w:line="480" w:lineRule="auto"/>
      </w:pPr>
    </w:p>
    <w:sectPr w:rsidR="00EE1686" w:rsidSect="00674455">
      <w:pgSz w:w="12242" w:h="15842" w:code="1"/>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20E8" w14:textId="77777777" w:rsidR="00643365" w:rsidRDefault="00643365" w:rsidP="000F18A7">
      <w:r>
        <w:separator/>
      </w:r>
    </w:p>
  </w:endnote>
  <w:endnote w:type="continuationSeparator" w:id="0">
    <w:p w14:paraId="6A41D37E" w14:textId="77777777" w:rsidR="00643365" w:rsidRDefault="00643365" w:rsidP="000F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BC1F" w14:textId="77777777" w:rsidR="00643365" w:rsidRDefault="00643365" w:rsidP="000F18A7">
      <w:r>
        <w:separator/>
      </w:r>
    </w:p>
  </w:footnote>
  <w:footnote w:type="continuationSeparator" w:id="0">
    <w:p w14:paraId="595F5515" w14:textId="77777777" w:rsidR="00643365" w:rsidRDefault="00643365" w:rsidP="000F1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69"/>
    <w:rsid w:val="0005202E"/>
    <w:rsid w:val="000F18A7"/>
    <w:rsid w:val="001A4A48"/>
    <w:rsid w:val="002833E1"/>
    <w:rsid w:val="00516B9D"/>
    <w:rsid w:val="005546D5"/>
    <w:rsid w:val="005B4069"/>
    <w:rsid w:val="00643365"/>
    <w:rsid w:val="006742E9"/>
    <w:rsid w:val="0074145F"/>
    <w:rsid w:val="00743784"/>
    <w:rsid w:val="00B3558A"/>
    <w:rsid w:val="00BE3D73"/>
    <w:rsid w:val="00C3572C"/>
    <w:rsid w:val="00CE35EC"/>
    <w:rsid w:val="00D2175F"/>
    <w:rsid w:val="00D3059A"/>
    <w:rsid w:val="00E85DE6"/>
    <w:rsid w:val="00EE1686"/>
    <w:rsid w:val="00F8579F"/>
    <w:rsid w:val="00F9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BE2E0"/>
  <w15:chartTrackingRefBased/>
  <w15:docId w15:val="{9774FB2A-1CC0-407F-8AAC-9362FB1D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69"/>
    <w:pPr>
      <w:widowControl w:val="0"/>
      <w:jc w:val="both"/>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B4069"/>
    <w:pPr>
      <w:jc w:val="left"/>
    </w:pPr>
    <w:rPr>
      <w:rFonts w:ascii="等线" w:eastAsia="等线" w:hAnsi="等线"/>
      <w:noProof/>
      <w:sz w:val="20"/>
    </w:rPr>
  </w:style>
  <w:style w:type="character" w:customStyle="1" w:styleId="EndNoteBibliographyChar">
    <w:name w:val="EndNote Bibliography Char"/>
    <w:basedOn w:val="DefaultParagraphFont"/>
    <w:link w:val="EndNoteBibliography"/>
    <w:rsid w:val="005B4069"/>
    <w:rPr>
      <w:rFonts w:ascii="等线" w:eastAsia="等线" w:hAnsi="等线"/>
      <w:noProof/>
      <w:sz w:val="20"/>
      <w:lang w:val="en-CA"/>
    </w:rPr>
  </w:style>
  <w:style w:type="character" w:styleId="Hyperlink">
    <w:name w:val="Hyperlink"/>
    <w:basedOn w:val="DefaultParagraphFont"/>
    <w:uiPriority w:val="99"/>
    <w:unhideWhenUsed/>
    <w:rsid w:val="005B4069"/>
    <w:rPr>
      <w:color w:val="0563C1" w:themeColor="hyperlink"/>
      <w:u w:val="single"/>
    </w:rPr>
  </w:style>
  <w:style w:type="paragraph" w:styleId="Header">
    <w:name w:val="header"/>
    <w:basedOn w:val="Normal"/>
    <w:link w:val="HeaderChar"/>
    <w:uiPriority w:val="99"/>
    <w:unhideWhenUsed/>
    <w:rsid w:val="000F18A7"/>
    <w:pPr>
      <w:tabs>
        <w:tab w:val="center" w:pos="4153"/>
        <w:tab w:val="right" w:pos="8306"/>
      </w:tabs>
    </w:pPr>
  </w:style>
  <w:style w:type="character" w:customStyle="1" w:styleId="HeaderChar">
    <w:name w:val="Header Char"/>
    <w:basedOn w:val="DefaultParagraphFont"/>
    <w:link w:val="Header"/>
    <w:uiPriority w:val="99"/>
    <w:rsid w:val="000F18A7"/>
    <w:rPr>
      <w:lang w:val="en-CA"/>
    </w:rPr>
  </w:style>
  <w:style w:type="paragraph" w:styleId="Footer">
    <w:name w:val="footer"/>
    <w:basedOn w:val="Normal"/>
    <w:link w:val="FooterChar"/>
    <w:uiPriority w:val="99"/>
    <w:unhideWhenUsed/>
    <w:rsid w:val="000F18A7"/>
    <w:pPr>
      <w:tabs>
        <w:tab w:val="center" w:pos="4153"/>
        <w:tab w:val="right" w:pos="8306"/>
      </w:tabs>
    </w:pPr>
  </w:style>
  <w:style w:type="character" w:customStyle="1" w:styleId="FooterChar">
    <w:name w:val="Footer Char"/>
    <w:basedOn w:val="DefaultParagraphFont"/>
    <w:link w:val="Footer"/>
    <w:uiPriority w:val="99"/>
    <w:rsid w:val="000F18A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ump.qimr.edu.au/general/daleN/matS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ceforge.net/p/gbchen/wiki/GE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Muzi</dc:creator>
  <cp:keywords/>
  <dc:description/>
  <cp:lastModifiedBy>Li Muzi</cp:lastModifiedBy>
  <cp:revision>3</cp:revision>
  <dcterms:created xsi:type="dcterms:W3CDTF">2022-05-05T16:09:00Z</dcterms:created>
  <dcterms:modified xsi:type="dcterms:W3CDTF">2022-06-01T18:00:00Z</dcterms:modified>
</cp:coreProperties>
</file>