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B0BEA" w14:textId="77777777" w:rsidR="00856260" w:rsidRDefault="00856260" w:rsidP="00856260">
      <w:pPr>
        <w:spacing w:line="276" w:lineRule="auto"/>
        <w:jc w:val="both"/>
        <w:rPr>
          <w:sz w:val="24"/>
          <w:szCs w:val="24"/>
        </w:rPr>
      </w:pPr>
      <w:r>
        <w:rPr>
          <w:sz w:val="24"/>
          <w:szCs w:val="24"/>
        </w:rPr>
        <w:t>Table S3.</w:t>
      </w:r>
      <w:r w:rsidRPr="00BA72E5">
        <w:t xml:space="preserve"> </w:t>
      </w:r>
      <w:r w:rsidRPr="00BA72E5">
        <w:rPr>
          <w:sz w:val="24"/>
          <w:szCs w:val="24"/>
        </w:rPr>
        <w:t xml:space="preserve">The association between IPI and </w:t>
      </w:r>
      <w:r>
        <w:rPr>
          <w:sz w:val="24"/>
          <w:szCs w:val="24"/>
        </w:rPr>
        <w:t xml:space="preserve">offspring </w:t>
      </w:r>
      <w:r w:rsidRPr="00BA72E5">
        <w:rPr>
          <w:sz w:val="24"/>
          <w:szCs w:val="24"/>
        </w:rPr>
        <w:t>ODD</w:t>
      </w:r>
      <w:r>
        <w:rPr>
          <w:sz w:val="24"/>
          <w:szCs w:val="24"/>
        </w:rPr>
        <w:t xml:space="preserve"> at 7 and 10 years after adjustment to comorbid ADHD.</w:t>
      </w:r>
      <w:bookmarkStart w:id="0" w:name="_GoBack"/>
      <w:bookmarkEnd w:id="0"/>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4"/>
        <w:gridCol w:w="2471"/>
        <w:gridCol w:w="2651"/>
      </w:tblGrid>
      <w:tr w:rsidR="00856260" w:rsidRPr="00136846" w14:paraId="50005460" w14:textId="77777777" w:rsidTr="00C92ED2">
        <w:tc>
          <w:tcPr>
            <w:tcW w:w="3946" w:type="dxa"/>
            <w:vMerge w:val="restart"/>
            <w:tcBorders>
              <w:top w:val="single" w:sz="4" w:space="0" w:color="auto"/>
              <w:bottom w:val="nil"/>
            </w:tcBorders>
          </w:tcPr>
          <w:p w14:paraId="3BC4EFD7" w14:textId="77777777" w:rsidR="00856260" w:rsidRPr="00136846" w:rsidRDefault="00856260" w:rsidP="00136846">
            <w:pPr>
              <w:spacing w:line="360" w:lineRule="auto"/>
            </w:pPr>
            <w:r w:rsidRPr="00136846">
              <w:t xml:space="preserve">Interpregnancy intervals </w:t>
            </w:r>
          </w:p>
        </w:tc>
        <w:tc>
          <w:tcPr>
            <w:tcW w:w="5070" w:type="dxa"/>
            <w:gridSpan w:val="2"/>
            <w:tcBorders>
              <w:top w:val="single" w:sz="4" w:space="0" w:color="auto"/>
              <w:bottom w:val="nil"/>
            </w:tcBorders>
          </w:tcPr>
          <w:p w14:paraId="0D31F13C" w14:textId="77777777" w:rsidR="00856260" w:rsidRPr="00136846" w:rsidRDefault="00856260" w:rsidP="00136846">
            <w:pPr>
              <w:spacing w:line="360" w:lineRule="auto"/>
              <w:rPr>
                <w:b/>
              </w:rPr>
            </w:pPr>
            <w:r w:rsidRPr="00136846">
              <w:rPr>
                <w:rFonts w:ascii="Calibri" w:hAnsi="Calibri" w:cs="Calibri"/>
                <w:color w:val="000000" w:themeColor="text1"/>
              </w:rPr>
              <w:t xml:space="preserve">                               </w:t>
            </w:r>
            <w:r w:rsidRPr="00136846">
              <w:rPr>
                <w:rFonts w:ascii="Calibri" w:hAnsi="Calibri" w:cs="Calibri"/>
                <w:b/>
                <w:color w:val="000000" w:themeColor="text1"/>
              </w:rPr>
              <w:t xml:space="preserve"> ODD </w:t>
            </w:r>
          </w:p>
        </w:tc>
      </w:tr>
      <w:tr w:rsidR="00856260" w:rsidRPr="00136846" w14:paraId="28AD7DB4" w14:textId="77777777" w:rsidTr="00C92ED2">
        <w:tc>
          <w:tcPr>
            <w:tcW w:w="4649" w:type="dxa"/>
            <w:vMerge/>
            <w:tcBorders>
              <w:top w:val="nil"/>
              <w:bottom w:val="nil"/>
            </w:tcBorders>
          </w:tcPr>
          <w:p w14:paraId="37B1CEF4" w14:textId="77777777" w:rsidR="00856260" w:rsidRPr="00136846" w:rsidRDefault="00856260" w:rsidP="00136846">
            <w:pPr>
              <w:spacing w:line="360" w:lineRule="auto"/>
            </w:pPr>
          </w:p>
        </w:tc>
        <w:tc>
          <w:tcPr>
            <w:tcW w:w="2859" w:type="dxa"/>
            <w:tcBorders>
              <w:top w:val="nil"/>
              <w:bottom w:val="nil"/>
            </w:tcBorders>
          </w:tcPr>
          <w:p w14:paraId="3B5D2595" w14:textId="77777777" w:rsidR="00856260" w:rsidRPr="00136846" w:rsidRDefault="00856260" w:rsidP="00136846">
            <w:pPr>
              <w:spacing w:line="360" w:lineRule="auto"/>
            </w:pPr>
            <w:r w:rsidRPr="00136846">
              <w:rPr>
                <w:rFonts w:ascii="Calibri" w:hAnsi="Calibri" w:cs="Calibri"/>
                <w:color w:val="000000" w:themeColor="text1"/>
              </w:rPr>
              <w:t xml:space="preserve">7 Years ( </w:t>
            </w:r>
            <w:r w:rsidRPr="00136846">
              <w:rPr>
                <w:rFonts w:ascii="Calibri" w:hAnsi="Calibri" w:cs="Calibri"/>
                <w:i/>
                <w:iCs/>
                <w:color w:val="000000" w:themeColor="text1"/>
              </w:rPr>
              <w:t>n</w:t>
            </w:r>
            <w:r w:rsidRPr="00136846">
              <w:rPr>
                <w:rFonts w:ascii="Calibri" w:hAnsi="Calibri" w:cs="Calibri"/>
                <w:color w:val="000000" w:themeColor="text1"/>
              </w:rPr>
              <w:t xml:space="preserve"> = 3435)*</w:t>
            </w:r>
          </w:p>
        </w:tc>
        <w:tc>
          <w:tcPr>
            <w:tcW w:w="3119" w:type="dxa"/>
            <w:tcBorders>
              <w:top w:val="nil"/>
              <w:bottom w:val="nil"/>
            </w:tcBorders>
          </w:tcPr>
          <w:p w14:paraId="7F778EC8" w14:textId="77777777" w:rsidR="00856260" w:rsidRPr="00136846" w:rsidRDefault="00856260" w:rsidP="00136846">
            <w:pPr>
              <w:spacing w:line="360" w:lineRule="auto"/>
            </w:pPr>
            <w:r w:rsidRPr="00136846">
              <w:rPr>
                <w:rFonts w:ascii="Calibri" w:hAnsi="Calibri" w:cs="Calibri"/>
                <w:color w:val="000000" w:themeColor="text1"/>
              </w:rPr>
              <w:t xml:space="preserve">10 Years ( </w:t>
            </w:r>
            <w:r w:rsidRPr="00136846">
              <w:rPr>
                <w:rFonts w:ascii="Calibri" w:hAnsi="Calibri" w:cs="Calibri"/>
                <w:i/>
                <w:iCs/>
                <w:color w:val="000000" w:themeColor="text1"/>
              </w:rPr>
              <w:t>n</w:t>
            </w:r>
            <w:r w:rsidRPr="00136846">
              <w:rPr>
                <w:rFonts w:ascii="Calibri" w:hAnsi="Calibri" w:cs="Calibri"/>
                <w:color w:val="000000" w:themeColor="text1"/>
              </w:rPr>
              <w:t xml:space="preserve"> = 3170)*</w:t>
            </w:r>
          </w:p>
        </w:tc>
      </w:tr>
      <w:tr w:rsidR="00856260" w:rsidRPr="00136846" w14:paraId="31C9FB3F" w14:textId="77777777" w:rsidTr="00C92ED2">
        <w:tc>
          <w:tcPr>
            <w:tcW w:w="4649" w:type="dxa"/>
            <w:vMerge/>
            <w:tcBorders>
              <w:top w:val="nil"/>
              <w:bottom w:val="single" w:sz="4" w:space="0" w:color="auto"/>
            </w:tcBorders>
          </w:tcPr>
          <w:p w14:paraId="22BC1D5C" w14:textId="77777777" w:rsidR="00856260" w:rsidRPr="00136846" w:rsidRDefault="00856260" w:rsidP="00136846">
            <w:pPr>
              <w:spacing w:line="360" w:lineRule="auto"/>
            </w:pPr>
          </w:p>
        </w:tc>
        <w:tc>
          <w:tcPr>
            <w:tcW w:w="5978" w:type="dxa"/>
            <w:gridSpan w:val="2"/>
            <w:tcBorders>
              <w:top w:val="nil"/>
              <w:bottom w:val="single" w:sz="4" w:space="0" w:color="auto"/>
            </w:tcBorders>
          </w:tcPr>
          <w:p w14:paraId="25BF2A64" w14:textId="77777777" w:rsidR="00856260" w:rsidRPr="00136846" w:rsidRDefault="00856260" w:rsidP="00136846">
            <w:pPr>
              <w:spacing w:line="360" w:lineRule="auto"/>
              <w:rPr>
                <w:rFonts w:ascii="Calibri" w:hAnsi="Calibri" w:cs="Calibri"/>
                <w:color w:val="000000" w:themeColor="text1"/>
              </w:rPr>
            </w:pPr>
            <w:r w:rsidRPr="00136846">
              <w:rPr>
                <w:rFonts w:ascii="Calibri" w:hAnsi="Calibri" w:cs="Calibri"/>
                <w:color w:val="000000" w:themeColor="text1"/>
              </w:rPr>
              <w:t xml:space="preserve">                            OR (95% CI)#</w:t>
            </w:r>
          </w:p>
        </w:tc>
      </w:tr>
      <w:tr w:rsidR="00856260" w:rsidRPr="00136846" w14:paraId="3A669A5F" w14:textId="77777777" w:rsidTr="00C92ED2">
        <w:tc>
          <w:tcPr>
            <w:tcW w:w="4649" w:type="dxa"/>
            <w:tcBorders>
              <w:top w:val="single" w:sz="4" w:space="0" w:color="auto"/>
            </w:tcBorders>
          </w:tcPr>
          <w:p w14:paraId="2CB86D37" w14:textId="77777777" w:rsidR="00856260" w:rsidRPr="00136846" w:rsidRDefault="00856260" w:rsidP="00136846">
            <w:pPr>
              <w:pStyle w:val="xmsonormal"/>
              <w:spacing w:line="360" w:lineRule="auto"/>
              <w:rPr>
                <w:sz w:val="22"/>
                <w:szCs w:val="22"/>
              </w:rPr>
            </w:pPr>
            <w:r w:rsidRPr="00136846">
              <w:rPr>
                <w:rFonts w:ascii="Calibri" w:hAnsi="Calibri" w:cs="Calibri"/>
                <w:sz w:val="22"/>
                <w:szCs w:val="22"/>
              </w:rPr>
              <w:t>&lt; 6 months</w:t>
            </w:r>
          </w:p>
        </w:tc>
        <w:tc>
          <w:tcPr>
            <w:tcW w:w="2859" w:type="dxa"/>
            <w:tcBorders>
              <w:top w:val="single" w:sz="4" w:space="0" w:color="auto"/>
            </w:tcBorders>
          </w:tcPr>
          <w:p w14:paraId="3A429BD7" w14:textId="77777777" w:rsidR="00856260" w:rsidRPr="00136846" w:rsidRDefault="00856260" w:rsidP="00136846">
            <w:pPr>
              <w:spacing w:line="360" w:lineRule="auto"/>
            </w:pPr>
            <w:r w:rsidRPr="00136846">
              <w:t>2.58 (1.16 – 5.76)</w:t>
            </w:r>
          </w:p>
        </w:tc>
        <w:tc>
          <w:tcPr>
            <w:tcW w:w="3119" w:type="dxa"/>
            <w:tcBorders>
              <w:top w:val="single" w:sz="4" w:space="0" w:color="auto"/>
            </w:tcBorders>
          </w:tcPr>
          <w:p w14:paraId="28615E2D" w14:textId="77777777" w:rsidR="00856260" w:rsidRPr="00136846" w:rsidRDefault="00856260" w:rsidP="00136846">
            <w:pPr>
              <w:spacing w:line="360" w:lineRule="auto"/>
            </w:pPr>
            <w:r w:rsidRPr="00136846">
              <w:t>3.02 (1.22 – 7.51)</w:t>
            </w:r>
          </w:p>
        </w:tc>
      </w:tr>
      <w:tr w:rsidR="00856260" w:rsidRPr="00136846" w14:paraId="2268C1A8" w14:textId="77777777" w:rsidTr="00C92ED2">
        <w:tc>
          <w:tcPr>
            <w:tcW w:w="4649" w:type="dxa"/>
          </w:tcPr>
          <w:p w14:paraId="0D3D06EE" w14:textId="77777777" w:rsidR="00856260" w:rsidRPr="00136846" w:rsidRDefault="00856260" w:rsidP="00136846">
            <w:pPr>
              <w:pStyle w:val="xmsonormal"/>
              <w:spacing w:line="360" w:lineRule="auto"/>
              <w:rPr>
                <w:sz w:val="22"/>
                <w:szCs w:val="22"/>
              </w:rPr>
            </w:pPr>
            <w:r w:rsidRPr="00136846">
              <w:rPr>
                <w:rFonts w:ascii="Calibri" w:hAnsi="Calibri" w:cs="Calibri"/>
                <w:sz w:val="22"/>
                <w:szCs w:val="22"/>
              </w:rPr>
              <w:t xml:space="preserve">6-11 months </w:t>
            </w:r>
          </w:p>
        </w:tc>
        <w:tc>
          <w:tcPr>
            <w:tcW w:w="2859" w:type="dxa"/>
          </w:tcPr>
          <w:p w14:paraId="793F98D2" w14:textId="77777777" w:rsidR="00856260" w:rsidRPr="00136846" w:rsidRDefault="00856260" w:rsidP="00136846">
            <w:pPr>
              <w:spacing w:line="360" w:lineRule="auto"/>
            </w:pPr>
            <w:r w:rsidRPr="00136846">
              <w:t xml:space="preserve">1.64 (0.72 – 3.69) </w:t>
            </w:r>
          </w:p>
        </w:tc>
        <w:tc>
          <w:tcPr>
            <w:tcW w:w="3119" w:type="dxa"/>
          </w:tcPr>
          <w:p w14:paraId="17D6B19E" w14:textId="77777777" w:rsidR="00856260" w:rsidRPr="00136846" w:rsidRDefault="00856260" w:rsidP="00136846">
            <w:pPr>
              <w:spacing w:line="360" w:lineRule="auto"/>
            </w:pPr>
            <w:r w:rsidRPr="00136846">
              <w:t>1.71 (0.68 – 4.33)</w:t>
            </w:r>
          </w:p>
        </w:tc>
      </w:tr>
      <w:tr w:rsidR="00856260" w:rsidRPr="00136846" w14:paraId="579D7BFD" w14:textId="77777777" w:rsidTr="00C92ED2">
        <w:tc>
          <w:tcPr>
            <w:tcW w:w="4649" w:type="dxa"/>
          </w:tcPr>
          <w:p w14:paraId="27DA19E8" w14:textId="77777777" w:rsidR="00856260" w:rsidRPr="00136846" w:rsidRDefault="00856260" w:rsidP="00136846">
            <w:pPr>
              <w:pStyle w:val="xmsonormal"/>
              <w:spacing w:line="360" w:lineRule="auto"/>
              <w:rPr>
                <w:sz w:val="22"/>
                <w:szCs w:val="22"/>
              </w:rPr>
            </w:pPr>
            <w:r w:rsidRPr="00136846">
              <w:rPr>
                <w:rFonts w:ascii="Calibri" w:hAnsi="Calibri" w:cs="Calibri"/>
                <w:sz w:val="22"/>
                <w:szCs w:val="22"/>
              </w:rPr>
              <w:t>12-17 months</w:t>
            </w:r>
          </w:p>
        </w:tc>
        <w:tc>
          <w:tcPr>
            <w:tcW w:w="2859" w:type="dxa"/>
          </w:tcPr>
          <w:p w14:paraId="7520A4E2" w14:textId="77777777" w:rsidR="00856260" w:rsidRPr="00136846" w:rsidRDefault="00856260" w:rsidP="00136846">
            <w:pPr>
              <w:spacing w:line="360" w:lineRule="auto"/>
            </w:pPr>
            <w:r w:rsidRPr="00136846">
              <w:t>1.54 (0.70 – 3.39)</w:t>
            </w:r>
          </w:p>
        </w:tc>
        <w:tc>
          <w:tcPr>
            <w:tcW w:w="3119" w:type="dxa"/>
          </w:tcPr>
          <w:p w14:paraId="00625682" w14:textId="77777777" w:rsidR="00856260" w:rsidRPr="00136846" w:rsidRDefault="00856260" w:rsidP="00136846">
            <w:pPr>
              <w:spacing w:line="360" w:lineRule="auto"/>
            </w:pPr>
            <w:r w:rsidRPr="00136846">
              <w:t>1.57 (0.62 – 3.97)</w:t>
            </w:r>
          </w:p>
        </w:tc>
      </w:tr>
      <w:tr w:rsidR="00856260" w:rsidRPr="00136846" w14:paraId="4C1183EF" w14:textId="77777777" w:rsidTr="00C92ED2">
        <w:tc>
          <w:tcPr>
            <w:tcW w:w="4649" w:type="dxa"/>
          </w:tcPr>
          <w:p w14:paraId="4FAA6CAE" w14:textId="77777777" w:rsidR="00856260" w:rsidRPr="00136846" w:rsidRDefault="00856260" w:rsidP="00136846">
            <w:pPr>
              <w:pStyle w:val="xmsonormal"/>
              <w:spacing w:line="360" w:lineRule="auto"/>
              <w:rPr>
                <w:sz w:val="22"/>
                <w:szCs w:val="22"/>
              </w:rPr>
            </w:pPr>
            <w:r w:rsidRPr="00136846">
              <w:rPr>
                <w:rFonts w:ascii="Calibri" w:hAnsi="Calibri" w:cs="Calibri"/>
                <w:sz w:val="22"/>
                <w:szCs w:val="22"/>
              </w:rPr>
              <w:t xml:space="preserve">18-23 months </w:t>
            </w:r>
          </w:p>
        </w:tc>
        <w:tc>
          <w:tcPr>
            <w:tcW w:w="2859" w:type="dxa"/>
          </w:tcPr>
          <w:p w14:paraId="58183A48" w14:textId="77777777" w:rsidR="00856260" w:rsidRPr="00136846" w:rsidRDefault="00856260" w:rsidP="00136846">
            <w:pPr>
              <w:spacing w:line="360" w:lineRule="auto"/>
            </w:pPr>
            <w:r w:rsidRPr="00136846">
              <w:t xml:space="preserve">1 (Reference) </w:t>
            </w:r>
          </w:p>
        </w:tc>
        <w:tc>
          <w:tcPr>
            <w:tcW w:w="3119" w:type="dxa"/>
          </w:tcPr>
          <w:p w14:paraId="3480CBA7" w14:textId="77777777" w:rsidR="00856260" w:rsidRPr="00136846" w:rsidRDefault="00856260" w:rsidP="00136846">
            <w:pPr>
              <w:spacing w:line="360" w:lineRule="auto"/>
            </w:pPr>
            <w:r w:rsidRPr="00136846">
              <w:t>1 (Reference )</w:t>
            </w:r>
          </w:p>
        </w:tc>
      </w:tr>
      <w:tr w:rsidR="00856260" w:rsidRPr="00136846" w14:paraId="2BEF3E0B" w14:textId="77777777" w:rsidTr="00C92ED2">
        <w:tc>
          <w:tcPr>
            <w:tcW w:w="4649" w:type="dxa"/>
          </w:tcPr>
          <w:p w14:paraId="56FF3F7D" w14:textId="77777777" w:rsidR="00856260" w:rsidRPr="00136846" w:rsidRDefault="00856260" w:rsidP="00136846">
            <w:pPr>
              <w:pStyle w:val="xmsonormal"/>
              <w:spacing w:line="360" w:lineRule="auto"/>
              <w:rPr>
                <w:sz w:val="22"/>
                <w:szCs w:val="22"/>
              </w:rPr>
            </w:pPr>
            <w:r w:rsidRPr="00136846">
              <w:rPr>
                <w:rFonts w:ascii="Calibri" w:hAnsi="Calibri" w:cs="Calibri"/>
                <w:sz w:val="22"/>
                <w:szCs w:val="22"/>
              </w:rPr>
              <w:t xml:space="preserve">24-35 months </w:t>
            </w:r>
          </w:p>
        </w:tc>
        <w:tc>
          <w:tcPr>
            <w:tcW w:w="2859" w:type="dxa"/>
          </w:tcPr>
          <w:p w14:paraId="19338C2F" w14:textId="77777777" w:rsidR="00856260" w:rsidRPr="00136846" w:rsidRDefault="00856260" w:rsidP="00136846">
            <w:pPr>
              <w:spacing w:line="360" w:lineRule="auto"/>
            </w:pPr>
            <w:r w:rsidRPr="00136846">
              <w:t>1.41 (0.64 – 3.08)</w:t>
            </w:r>
          </w:p>
        </w:tc>
        <w:tc>
          <w:tcPr>
            <w:tcW w:w="3119" w:type="dxa"/>
          </w:tcPr>
          <w:p w14:paraId="69959E85" w14:textId="77777777" w:rsidR="00856260" w:rsidRPr="00136846" w:rsidRDefault="00856260" w:rsidP="00136846">
            <w:pPr>
              <w:spacing w:line="360" w:lineRule="auto"/>
            </w:pPr>
            <w:r w:rsidRPr="00136846">
              <w:t>1.96 (0.81 – 4.72)</w:t>
            </w:r>
          </w:p>
        </w:tc>
      </w:tr>
      <w:tr w:rsidR="00856260" w:rsidRPr="00136846" w14:paraId="505D6F95" w14:textId="77777777" w:rsidTr="00C92ED2">
        <w:tc>
          <w:tcPr>
            <w:tcW w:w="4649" w:type="dxa"/>
            <w:tcBorders>
              <w:bottom w:val="single" w:sz="4" w:space="0" w:color="auto"/>
            </w:tcBorders>
          </w:tcPr>
          <w:p w14:paraId="142BEACA" w14:textId="77777777" w:rsidR="00856260" w:rsidRPr="00136846" w:rsidRDefault="00856260" w:rsidP="00136846">
            <w:pPr>
              <w:pStyle w:val="xmsonormal"/>
              <w:spacing w:line="360" w:lineRule="auto"/>
              <w:rPr>
                <w:sz w:val="22"/>
                <w:szCs w:val="22"/>
              </w:rPr>
            </w:pPr>
            <w:r w:rsidRPr="00136846">
              <w:rPr>
                <w:rFonts w:ascii="Calibri" w:hAnsi="Calibri" w:cs="Calibri"/>
                <w:sz w:val="22"/>
                <w:szCs w:val="22"/>
              </w:rPr>
              <w:t xml:space="preserve">&gt; 36 months </w:t>
            </w:r>
          </w:p>
        </w:tc>
        <w:tc>
          <w:tcPr>
            <w:tcW w:w="2859" w:type="dxa"/>
            <w:tcBorders>
              <w:bottom w:val="single" w:sz="4" w:space="0" w:color="auto"/>
            </w:tcBorders>
          </w:tcPr>
          <w:p w14:paraId="73DB0319" w14:textId="77777777" w:rsidR="00856260" w:rsidRPr="00136846" w:rsidRDefault="00856260" w:rsidP="00136846">
            <w:pPr>
              <w:spacing w:line="360" w:lineRule="auto"/>
            </w:pPr>
            <w:r w:rsidRPr="00136846">
              <w:t>1.15 (0.52 – 2.52)</w:t>
            </w:r>
          </w:p>
        </w:tc>
        <w:tc>
          <w:tcPr>
            <w:tcW w:w="3119" w:type="dxa"/>
            <w:tcBorders>
              <w:bottom w:val="single" w:sz="4" w:space="0" w:color="auto"/>
            </w:tcBorders>
          </w:tcPr>
          <w:p w14:paraId="3412CD5E" w14:textId="77777777" w:rsidR="00856260" w:rsidRPr="00136846" w:rsidRDefault="00856260" w:rsidP="00136846">
            <w:pPr>
              <w:spacing w:line="360" w:lineRule="auto"/>
            </w:pPr>
            <w:r w:rsidRPr="00136846">
              <w:t>1.69 (0.70 – 4.09)</w:t>
            </w:r>
          </w:p>
        </w:tc>
      </w:tr>
      <w:tr w:rsidR="00856260" w:rsidRPr="00136846" w14:paraId="68C88262" w14:textId="77777777" w:rsidTr="00C92ED2">
        <w:tc>
          <w:tcPr>
            <w:tcW w:w="9016" w:type="dxa"/>
            <w:gridSpan w:val="3"/>
            <w:tcBorders>
              <w:top w:val="single" w:sz="4" w:space="0" w:color="auto"/>
              <w:bottom w:val="single" w:sz="4" w:space="0" w:color="auto"/>
            </w:tcBorders>
          </w:tcPr>
          <w:p w14:paraId="2B8E7834" w14:textId="77777777" w:rsidR="00856260" w:rsidRPr="00136846" w:rsidRDefault="00856260" w:rsidP="00136846">
            <w:pPr>
              <w:spacing w:line="360" w:lineRule="auto"/>
              <w:jc w:val="both"/>
              <w:rPr>
                <w:rFonts w:cstheme="minorHAnsi"/>
              </w:rPr>
            </w:pPr>
            <w:r w:rsidRPr="00136846">
              <w:rPr>
                <w:rFonts w:cstheme="minorHAnsi"/>
              </w:rPr>
              <w:t># Adjusted for maternal and paternal age at birth, marital status, maternal education, parity, alcohol drinking during pregnancy, smoking during pregnancy, maternal depression, maternal anxiety, and maternal urinary tract infection during pregnancy, pregnancy diabetes status, and hypertensive disorders during pregnancy, maternal folic acid and iron supplementation during pregnancy and comorbid ADHD at each age groups. We used the logit model instead of a log-binomial model as convergence not achieved.</w:t>
            </w:r>
          </w:p>
          <w:p w14:paraId="13A62AE6" w14:textId="77777777" w:rsidR="00856260" w:rsidRPr="00136846" w:rsidRDefault="00856260" w:rsidP="00136846">
            <w:pPr>
              <w:spacing w:line="360" w:lineRule="auto"/>
              <w:jc w:val="both"/>
            </w:pPr>
            <w:r w:rsidRPr="00136846">
              <w:rPr>
                <w:rFonts w:cstheme="minorHAnsi"/>
              </w:rPr>
              <w:t xml:space="preserve"> * The sample was limited to term and normal birth weight offspring. </w:t>
            </w:r>
          </w:p>
        </w:tc>
      </w:tr>
    </w:tbl>
    <w:p w14:paraId="60D2E6B1" w14:textId="67B1326E" w:rsidR="00856260" w:rsidRDefault="00856260" w:rsidP="00152AA6"/>
    <w:sectPr w:rsidR="00856260" w:rsidSect="00152AA6">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zsDCyNAcCSwNDCyUdpeDU4uLM/DyQAuNaAEUl4BIsAAAA"/>
  </w:docVars>
  <w:rsids>
    <w:rsidRoot w:val="00856260"/>
    <w:rsid w:val="00052711"/>
    <w:rsid w:val="00063128"/>
    <w:rsid w:val="00136846"/>
    <w:rsid w:val="00152AA6"/>
    <w:rsid w:val="00541A85"/>
    <w:rsid w:val="00856260"/>
    <w:rsid w:val="008C1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92F6"/>
  <w15:chartTrackingRefBased/>
  <w15:docId w15:val="{7A39A00C-0032-4D1E-BB01-263C63A6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856260"/>
    <w:pPr>
      <w:spacing w:after="0" w:line="240" w:lineRule="auto"/>
    </w:pPr>
    <w:rPr>
      <w:rFonts w:ascii="Times New Roman" w:hAnsi="Times New Roman" w:cs="Times New Roman"/>
      <w:sz w:val="24"/>
      <w:szCs w:val="24"/>
      <w:lang w:eastAsia="en-AU"/>
    </w:rPr>
  </w:style>
  <w:style w:type="table" w:styleId="TableGrid">
    <w:name w:val="Table Grid"/>
    <w:basedOn w:val="TableNormal"/>
    <w:uiPriority w:val="39"/>
    <w:rsid w:val="00856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F815961DBCB84B8507470B0D1BAFB3" ma:contentTypeVersion="10" ma:contentTypeDescription="Create a new document." ma:contentTypeScope="" ma:versionID="b0229e3e256d5b9612a5adf6bdf7dd13">
  <xsd:schema xmlns:xsd="http://www.w3.org/2001/XMLSchema" xmlns:xs="http://www.w3.org/2001/XMLSchema" xmlns:p="http://schemas.microsoft.com/office/2006/metadata/properties" xmlns:ns3="222c0d6b-4807-43aa-b25a-82b135d8959f" targetNamespace="http://schemas.microsoft.com/office/2006/metadata/properties" ma:root="true" ma:fieldsID="93a7d2ec0c2727687ec3d429a550bd25" ns3:_="">
    <xsd:import namespace="222c0d6b-4807-43aa-b25a-82b135d8959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c0d6b-4807-43aa-b25a-82b135d89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BE8C0D-4DFD-42A8-B6F4-95692AC5887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22c0d6b-4807-43aa-b25a-82b135d8959f"/>
    <ds:schemaRef ds:uri="http://www.w3.org/XML/1998/namespace"/>
    <ds:schemaRef ds:uri="http://purl.org/dc/dcmitype/"/>
  </ds:schemaRefs>
</ds:datastoreItem>
</file>

<file path=customXml/itemProps2.xml><?xml version="1.0" encoding="utf-8"?>
<ds:datastoreItem xmlns:ds="http://schemas.openxmlformats.org/officeDocument/2006/customXml" ds:itemID="{F2740448-EF19-4FBD-B216-A2CBA69E6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c0d6b-4807-43aa-b25a-82b135d89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8D079-9C26-4FEF-8584-C45434874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Berihun Dachew</dc:creator>
  <cp:keywords/>
  <dc:description/>
  <cp:lastModifiedBy>Berihun Dachew</cp:lastModifiedBy>
  <cp:revision>4</cp:revision>
  <dcterms:created xsi:type="dcterms:W3CDTF">2021-06-09T05:08:00Z</dcterms:created>
  <dcterms:modified xsi:type="dcterms:W3CDTF">2021-11-25T03:21:00Z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0x01010033F815961DBCB84B8507470B0D1BAFB3</vt:lpwstr>
  </property>
</Properties>
</file>