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9562" w14:textId="66EFB747" w:rsidR="00D54B51" w:rsidRDefault="00D54B51" w:rsidP="00D54B51">
      <w:pPr>
        <w:ind w:left="708" w:hangingChars="295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Material</w:t>
      </w:r>
    </w:p>
    <w:p w14:paraId="15571DCD" w14:textId="4A1F0761" w:rsidR="00D54B51" w:rsidRDefault="00D54B51" w:rsidP="00BC0AA0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</w:p>
    <w:p w14:paraId="52C276CA" w14:textId="31840BDF" w:rsidR="003F5726" w:rsidRDefault="003F5726" w:rsidP="00D54B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supplemental material, we used maternal sensitivity at 6 months alone in the path model to run the same analysis as in the main manuscript. This analytic model is more similar to those in </w:t>
      </w:r>
      <w:r w:rsidRPr="005C66D3">
        <w:rPr>
          <w:rFonts w:ascii="Times New Roman" w:hAnsi="Times New Roman" w:cs="Times New Roman"/>
          <w:sz w:val="24"/>
          <w:szCs w:val="24"/>
        </w:rPr>
        <w:t>Geeraerts et al. (2020)</w:t>
      </w:r>
      <w:r>
        <w:rPr>
          <w:rFonts w:ascii="Times New Roman" w:hAnsi="Times New Roman" w:cs="Times New Roman"/>
          <w:sz w:val="24"/>
          <w:szCs w:val="24"/>
        </w:rPr>
        <w:t>’s study, so findings can be comparable.</w:t>
      </w:r>
      <w:r w:rsidRPr="005C6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355C7" w14:textId="647F5695" w:rsidR="00D54B51" w:rsidRDefault="00D54B51" w:rsidP="00D54B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66D3">
        <w:rPr>
          <w:rFonts w:ascii="Times New Roman" w:hAnsi="Times New Roman" w:cs="Times New Roman"/>
          <w:sz w:val="24"/>
          <w:szCs w:val="24"/>
        </w:rPr>
        <w:t xml:space="preserve">The path model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5C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C66D3">
        <w:rPr>
          <w:rFonts w:ascii="Times New Roman" w:hAnsi="Times New Roman" w:cs="Times New Roman"/>
          <w:sz w:val="24"/>
          <w:szCs w:val="24"/>
        </w:rPr>
        <w:t>perfect model fit</w:t>
      </w:r>
      <w:r>
        <w:rPr>
          <w:rFonts w:ascii="Times New Roman" w:hAnsi="Times New Roman" w:cs="Times New Roman"/>
          <w:sz w:val="24"/>
          <w:szCs w:val="24"/>
        </w:rPr>
        <w:t xml:space="preserve"> due to being saturated</w:t>
      </w:r>
      <w:r w:rsidRPr="005C66D3">
        <w:rPr>
          <w:rFonts w:ascii="Times New Roman" w:hAnsi="Times New Roman" w:cs="Times New Roman"/>
          <w:sz w:val="24"/>
          <w:szCs w:val="24"/>
        </w:rPr>
        <w:t>, χ</w:t>
      </w:r>
      <w:r w:rsidRPr="005C66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66D3">
        <w:rPr>
          <w:rFonts w:ascii="Times New Roman" w:hAnsi="Times New Roman" w:cs="Times New Roman"/>
          <w:sz w:val="24"/>
          <w:szCs w:val="24"/>
        </w:rPr>
        <w:t xml:space="preserve">(0) = 0.000, CFI = 1.000, TLI = 1.000, RMSEA = .000 (90% CI [.000, .000]). As shown in Table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5C66D3">
        <w:rPr>
          <w:rFonts w:ascii="Times New Roman" w:hAnsi="Times New Roman" w:cs="Times New Roman"/>
          <w:sz w:val="24"/>
          <w:szCs w:val="24"/>
        </w:rPr>
        <w:t>, maternal sensitivity</w:t>
      </w:r>
      <w:r>
        <w:rPr>
          <w:rFonts w:ascii="Times New Roman" w:hAnsi="Times New Roman" w:cs="Times New Roman"/>
          <w:sz w:val="24"/>
          <w:szCs w:val="24"/>
        </w:rPr>
        <w:t xml:space="preserve"> at 6 months</w:t>
      </w:r>
      <w:r w:rsidRPr="005C66D3">
        <w:rPr>
          <w:rFonts w:ascii="Times New Roman" w:hAnsi="Times New Roman" w:cs="Times New Roman"/>
          <w:sz w:val="24"/>
          <w:szCs w:val="24"/>
        </w:rPr>
        <w:t xml:space="preserve"> predicted higher attention shifting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74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A743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2400D">
        <w:rPr>
          <w:rFonts w:ascii="Times New Roman" w:hAnsi="Times New Roman" w:cs="Times New Roman"/>
          <w:sz w:val="24"/>
          <w:szCs w:val="24"/>
        </w:rPr>
        <w:t>00</w:t>
      </w:r>
      <w:r w:rsidRPr="004A7432">
        <w:rPr>
          <w:rFonts w:ascii="Times New Roman" w:hAnsi="Times New Roman" w:cs="Times New Roman"/>
          <w:sz w:val="24"/>
          <w:szCs w:val="24"/>
        </w:rPr>
        <w:t xml:space="preserve">, </w:t>
      </w:r>
      <w:r w:rsidRPr="004A7432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4A7432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2400D">
        <w:rPr>
          <w:rFonts w:ascii="Times New Roman" w:hAnsi="Times New Roman" w:cs="Times New Roman"/>
          <w:sz w:val="24"/>
          <w:szCs w:val="24"/>
        </w:rPr>
        <w:t>4</w:t>
      </w:r>
      <w:r w:rsidRPr="004A7432">
        <w:rPr>
          <w:rFonts w:ascii="Times New Roman" w:hAnsi="Times New Roman" w:cs="Times New Roman"/>
          <w:sz w:val="24"/>
          <w:szCs w:val="24"/>
        </w:rPr>
        <w:t xml:space="preserve">, </w:t>
      </w:r>
      <w:r w:rsidRPr="004A743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A7432">
        <w:rPr>
          <w:rFonts w:ascii="Times New Roman" w:hAnsi="Times New Roman" w:cs="Times New Roman"/>
          <w:sz w:val="24"/>
          <w:szCs w:val="24"/>
        </w:rPr>
        <w:t xml:space="preserve"> = </w:t>
      </w:r>
      <w:r w:rsidR="00F2400D">
        <w:rPr>
          <w:rFonts w:ascii="Times New Roman" w:hAnsi="Times New Roman" w:cs="Times New Roman"/>
          <w:sz w:val="24"/>
          <w:szCs w:val="24"/>
        </w:rPr>
        <w:t>2.29</w:t>
      </w:r>
      <w:r w:rsidRPr="004A7432">
        <w:rPr>
          <w:rFonts w:ascii="Times New Roman" w:hAnsi="Times New Roman" w:cs="Times New Roman"/>
          <w:sz w:val="24"/>
          <w:szCs w:val="24"/>
        </w:rPr>
        <w:t xml:space="preserve">, </w:t>
      </w:r>
      <w:r w:rsidRPr="004A743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A7432">
        <w:rPr>
          <w:rFonts w:ascii="Times New Roman" w:hAnsi="Times New Roman" w:cs="Times New Roman"/>
          <w:sz w:val="24"/>
          <w:szCs w:val="24"/>
        </w:rPr>
        <w:t xml:space="preserve"> = 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40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66D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C66D3">
        <w:rPr>
          <w:rFonts w:ascii="Times New Roman" w:hAnsi="Times New Roman" w:cs="Times New Roman"/>
          <w:sz w:val="24"/>
          <w:szCs w:val="24"/>
        </w:rPr>
        <w:t xml:space="preserve"> months. Additionally, an interaction between the quadratic term of infant negative reactivity and maternal sensitivity</w:t>
      </w:r>
      <w:r>
        <w:rPr>
          <w:rFonts w:ascii="Times New Roman" w:hAnsi="Times New Roman" w:cs="Times New Roman"/>
          <w:sz w:val="24"/>
          <w:szCs w:val="24"/>
        </w:rPr>
        <w:t>, both assessed at 6 months,</w:t>
      </w:r>
      <w:r w:rsidRPr="005C66D3">
        <w:rPr>
          <w:rFonts w:ascii="Times New Roman" w:hAnsi="Times New Roman" w:cs="Times New Roman"/>
          <w:sz w:val="24"/>
          <w:szCs w:val="24"/>
        </w:rPr>
        <w:t xml:space="preserve"> emerged in predicting preschoolers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inhibitory control</w:t>
      </w:r>
      <w:r w:rsidRPr="005C66D3">
        <w:rPr>
          <w:rFonts w:ascii="Times New Roman" w:hAnsi="Times New Roman" w:cs="Times New Roman"/>
          <w:sz w:val="24"/>
          <w:szCs w:val="24"/>
        </w:rPr>
        <w:t xml:space="preserve"> (Figure </w:t>
      </w:r>
      <w:r w:rsidR="003F5726">
        <w:rPr>
          <w:rFonts w:ascii="Times New Roman" w:hAnsi="Times New Roman" w:cs="Times New Roman"/>
          <w:sz w:val="24"/>
          <w:szCs w:val="24"/>
        </w:rPr>
        <w:t>S</w:t>
      </w:r>
      <w:r w:rsidRPr="005C66D3">
        <w:rPr>
          <w:rFonts w:ascii="Times New Roman" w:hAnsi="Times New Roman" w:cs="Times New Roman"/>
          <w:sz w:val="24"/>
          <w:szCs w:val="24"/>
        </w:rPr>
        <w:t xml:space="preserve">1). The </w:t>
      </w:r>
      <w:r>
        <w:rPr>
          <w:rFonts w:ascii="Times New Roman" w:hAnsi="Times New Roman" w:cs="Times New Roman"/>
          <w:sz w:val="24"/>
          <w:szCs w:val="24"/>
        </w:rPr>
        <w:t xml:space="preserve">U-shaped </w:t>
      </w:r>
      <w:r w:rsidRPr="005C66D3">
        <w:rPr>
          <w:rFonts w:ascii="Times New Roman" w:hAnsi="Times New Roman" w:cs="Times New Roman"/>
          <w:sz w:val="24"/>
          <w:szCs w:val="24"/>
        </w:rPr>
        <w:t>quadratic effect of infant negative reactivity on preschoolers’ inhibitory control was only significant when maternal sensitivity was high (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0.10,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0.05, </w:t>
      </w:r>
      <w:r w:rsidR="00197F11">
        <w:rPr>
          <w:rFonts w:ascii="Times New Roman" w:hAnsi="Times New Roman" w:cs="Times New Roman"/>
          <w:sz w:val="24"/>
          <w:szCs w:val="24"/>
        </w:rPr>
        <w:t>β = .</w:t>
      </w:r>
      <w:r w:rsidR="00197F11">
        <w:rPr>
          <w:rFonts w:ascii="Times New Roman" w:hAnsi="Times New Roman" w:cs="Times New Roman"/>
          <w:sz w:val="24"/>
          <w:szCs w:val="24"/>
        </w:rPr>
        <w:t>10</w:t>
      </w:r>
      <w:r w:rsidR="00197F11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2.</w:t>
      </w:r>
      <w:r w:rsidR="00197F11">
        <w:rPr>
          <w:rFonts w:ascii="Times New Roman" w:hAnsi="Times New Roman" w:cs="Times New Roman"/>
          <w:sz w:val="24"/>
          <w:szCs w:val="24"/>
        </w:rPr>
        <w:t>08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.0</w:t>
      </w:r>
      <w:r w:rsidR="00197F11">
        <w:rPr>
          <w:rFonts w:ascii="Times New Roman" w:hAnsi="Times New Roman" w:cs="Times New Roman"/>
          <w:sz w:val="24"/>
          <w:szCs w:val="24"/>
        </w:rPr>
        <w:t>4</w:t>
      </w:r>
      <w:r w:rsidRPr="005C66D3">
        <w:rPr>
          <w:rFonts w:ascii="Times New Roman" w:hAnsi="Times New Roman" w:cs="Times New Roman"/>
          <w:sz w:val="24"/>
          <w:szCs w:val="24"/>
        </w:rPr>
        <w:t>). When maternal sensitivity</w:t>
      </w:r>
      <w:r>
        <w:rPr>
          <w:rFonts w:ascii="Times New Roman" w:hAnsi="Times New Roman" w:cs="Times New Roman"/>
          <w:sz w:val="24"/>
          <w:szCs w:val="24"/>
        </w:rPr>
        <w:t xml:space="preserve"> at 6 months</w:t>
      </w:r>
      <w:r w:rsidRPr="005C66D3">
        <w:rPr>
          <w:rFonts w:ascii="Times New Roman" w:hAnsi="Times New Roman" w:cs="Times New Roman"/>
          <w:sz w:val="24"/>
          <w:szCs w:val="24"/>
        </w:rPr>
        <w:t xml:space="preserve"> was low, infant negative reactivity did not predict inhibitory control in quadratic (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-0.</w:t>
      </w:r>
      <w:r w:rsidR="00197F11">
        <w:rPr>
          <w:rFonts w:ascii="Times New Roman" w:hAnsi="Times New Roman" w:cs="Times New Roman"/>
          <w:sz w:val="24"/>
          <w:szCs w:val="24"/>
        </w:rPr>
        <w:t>08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0.0</w:t>
      </w:r>
      <w:r w:rsidR="00197F11">
        <w:rPr>
          <w:rFonts w:ascii="Times New Roman" w:hAnsi="Times New Roman" w:cs="Times New Roman"/>
          <w:sz w:val="24"/>
          <w:szCs w:val="24"/>
        </w:rPr>
        <w:t>7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="00197F11">
        <w:rPr>
          <w:rFonts w:ascii="Times New Roman" w:hAnsi="Times New Roman" w:cs="Times New Roman"/>
          <w:sz w:val="24"/>
          <w:szCs w:val="24"/>
        </w:rPr>
        <w:t xml:space="preserve">β = </w:t>
      </w:r>
      <w:r w:rsidR="00197F11">
        <w:rPr>
          <w:rFonts w:ascii="Times New Roman" w:hAnsi="Times New Roman" w:cs="Times New Roman"/>
          <w:sz w:val="24"/>
          <w:szCs w:val="24"/>
        </w:rPr>
        <w:t>-</w:t>
      </w:r>
      <w:r w:rsidR="00197F11">
        <w:rPr>
          <w:rFonts w:ascii="Times New Roman" w:hAnsi="Times New Roman" w:cs="Times New Roman"/>
          <w:sz w:val="24"/>
          <w:szCs w:val="24"/>
        </w:rPr>
        <w:t>.0</w:t>
      </w:r>
      <w:r w:rsidR="00197F11">
        <w:rPr>
          <w:rFonts w:ascii="Times New Roman" w:hAnsi="Times New Roman" w:cs="Times New Roman"/>
          <w:sz w:val="24"/>
          <w:szCs w:val="24"/>
        </w:rPr>
        <w:t>7</w:t>
      </w:r>
      <w:r w:rsidR="00197F11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-1.</w:t>
      </w:r>
      <w:r w:rsidR="00197F11">
        <w:rPr>
          <w:rFonts w:ascii="Times New Roman" w:hAnsi="Times New Roman" w:cs="Times New Roman"/>
          <w:sz w:val="24"/>
          <w:szCs w:val="24"/>
        </w:rPr>
        <w:t>16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.</w:t>
      </w:r>
      <w:r w:rsidR="00197F11">
        <w:rPr>
          <w:rFonts w:ascii="Times New Roman" w:hAnsi="Times New Roman" w:cs="Times New Roman"/>
          <w:sz w:val="24"/>
          <w:szCs w:val="24"/>
        </w:rPr>
        <w:t>2</w:t>
      </w:r>
      <w:r w:rsidRPr="005C66D3">
        <w:rPr>
          <w:rFonts w:ascii="Times New Roman" w:hAnsi="Times New Roman" w:cs="Times New Roman"/>
          <w:sz w:val="24"/>
          <w:szCs w:val="24"/>
        </w:rPr>
        <w:t>5) or linear formats (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0.</w:t>
      </w:r>
      <w:r w:rsidR="00197F11">
        <w:rPr>
          <w:rFonts w:ascii="Times New Roman" w:hAnsi="Times New Roman" w:cs="Times New Roman"/>
          <w:sz w:val="24"/>
          <w:szCs w:val="24"/>
        </w:rPr>
        <w:t>30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0.2</w:t>
      </w:r>
      <w:r w:rsidR="00197F11">
        <w:rPr>
          <w:rFonts w:ascii="Times New Roman" w:hAnsi="Times New Roman" w:cs="Times New Roman"/>
          <w:sz w:val="24"/>
          <w:szCs w:val="24"/>
        </w:rPr>
        <w:t>1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="00197F11">
        <w:rPr>
          <w:rFonts w:ascii="Times New Roman" w:hAnsi="Times New Roman" w:cs="Times New Roman"/>
          <w:sz w:val="24"/>
          <w:szCs w:val="24"/>
        </w:rPr>
        <w:t xml:space="preserve">β = .09,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1.</w:t>
      </w:r>
      <w:r w:rsidR="00197F11">
        <w:rPr>
          <w:rFonts w:ascii="Times New Roman" w:hAnsi="Times New Roman" w:cs="Times New Roman"/>
          <w:sz w:val="24"/>
          <w:szCs w:val="24"/>
        </w:rPr>
        <w:t>41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.</w:t>
      </w:r>
      <w:r w:rsidR="00197F11">
        <w:rPr>
          <w:rFonts w:ascii="Times New Roman" w:hAnsi="Times New Roman" w:cs="Times New Roman"/>
          <w:sz w:val="24"/>
          <w:szCs w:val="24"/>
        </w:rPr>
        <w:t>16</w:t>
      </w:r>
      <w:r w:rsidRPr="005C66D3">
        <w:rPr>
          <w:rFonts w:ascii="Times New Roman" w:hAnsi="Times New Roman" w:cs="Times New Roman"/>
          <w:sz w:val="24"/>
          <w:szCs w:val="24"/>
        </w:rPr>
        <w:t>). The covariance of attention shifting and inhibitory control was correlated (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6.</w:t>
      </w:r>
      <w:r w:rsidR="00E37795">
        <w:rPr>
          <w:rFonts w:ascii="Times New Roman" w:hAnsi="Times New Roman" w:cs="Times New Roman"/>
          <w:sz w:val="24"/>
          <w:szCs w:val="24"/>
        </w:rPr>
        <w:t>91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1.79,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3.8</w:t>
      </w:r>
      <w:r w:rsidR="00E37795">
        <w:rPr>
          <w:rFonts w:ascii="Times New Roman" w:hAnsi="Times New Roman" w:cs="Times New Roman"/>
          <w:sz w:val="24"/>
          <w:szCs w:val="24"/>
        </w:rPr>
        <w:t>6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C66D3">
        <w:rPr>
          <w:rFonts w:ascii="Times New Roman" w:hAnsi="Times New Roman" w:cs="Times New Roman"/>
          <w:sz w:val="24"/>
          <w:szCs w:val="24"/>
        </w:rPr>
        <w:t xml:space="preserve"> &lt; .001), but not those between attention shifting and working memory (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2.</w:t>
      </w:r>
      <w:r w:rsidR="00E37795">
        <w:rPr>
          <w:rFonts w:ascii="Times New Roman" w:hAnsi="Times New Roman" w:cs="Times New Roman"/>
          <w:sz w:val="24"/>
          <w:szCs w:val="24"/>
        </w:rPr>
        <w:t>67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1.6</w:t>
      </w:r>
      <w:r w:rsidR="00E37795">
        <w:rPr>
          <w:rFonts w:ascii="Times New Roman" w:hAnsi="Times New Roman" w:cs="Times New Roman"/>
          <w:sz w:val="24"/>
          <w:szCs w:val="24"/>
        </w:rPr>
        <w:t>6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1.</w:t>
      </w:r>
      <w:r w:rsidR="00E37795">
        <w:rPr>
          <w:rFonts w:ascii="Times New Roman" w:hAnsi="Times New Roman" w:cs="Times New Roman"/>
          <w:sz w:val="24"/>
          <w:szCs w:val="24"/>
        </w:rPr>
        <w:t>61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.1</w:t>
      </w:r>
      <w:r w:rsidR="00E37795">
        <w:rPr>
          <w:rFonts w:ascii="Times New Roman" w:hAnsi="Times New Roman" w:cs="Times New Roman"/>
          <w:sz w:val="24"/>
          <w:szCs w:val="24"/>
        </w:rPr>
        <w:t>1</w:t>
      </w:r>
      <w:r w:rsidRPr="005C66D3">
        <w:rPr>
          <w:rFonts w:ascii="Times New Roman" w:hAnsi="Times New Roman" w:cs="Times New Roman"/>
          <w:sz w:val="24"/>
          <w:szCs w:val="24"/>
        </w:rPr>
        <w:t>) or between inhibitory control and working memory (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1.</w:t>
      </w:r>
      <w:r w:rsidR="00197F11">
        <w:rPr>
          <w:rFonts w:ascii="Times New Roman" w:hAnsi="Times New Roman" w:cs="Times New Roman"/>
          <w:sz w:val="24"/>
          <w:szCs w:val="24"/>
        </w:rPr>
        <w:t>91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1.4</w:t>
      </w:r>
      <w:r w:rsidR="00197F11">
        <w:rPr>
          <w:rFonts w:ascii="Times New Roman" w:hAnsi="Times New Roman" w:cs="Times New Roman"/>
          <w:sz w:val="24"/>
          <w:szCs w:val="24"/>
        </w:rPr>
        <w:t>7</w:t>
      </w:r>
      <w:r w:rsidRPr="005C66D3">
        <w:rPr>
          <w:rFonts w:ascii="Times New Roman" w:hAnsi="Times New Roman" w:cs="Times New Roman"/>
          <w:sz w:val="24"/>
          <w:szCs w:val="24"/>
        </w:rPr>
        <w:t xml:space="preserve">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C66D3">
        <w:rPr>
          <w:rFonts w:ascii="Times New Roman" w:hAnsi="Times New Roman" w:cs="Times New Roman"/>
          <w:sz w:val="24"/>
          <w:szCs w:val="24"/>
        </w:rPr>
        <w:t xml:space="preserve">  1.</w:t>
      </w:r>
      <w:r w:rsidR="00197F11">
        <w:rPr>
          <w:rFonts w:ascii="Times New Roman" w:hAnsi="Times New Roman" w:cs="Times New Roman"/>
          <w:sz w:val="24"/>
          <w:szCs w:val="24"/>
        </w:rPr>
        <w:t>3</w:t>
      </w:r>
      <w:r w:rsidRPr="005C66D3">
        <w:rPr>
          <w:rFonts w:ascii="Times New Roman" w:hAnsi="Times New Roman" w:cs="Times New Roman"/>
          <w:sz w:val="24"/>
          <w:szCs w:val="24"/>
        </w:rPr>
        <w:t xml:space="preserve">0, </w:t>
      </w:r>
      <w:r w:rsidRPr="005C66D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C66D3">
        <w:rPr>
          <w:rFonts w:ascii="Times New Roman" w:hAnsi="Times New Roman" w:cs="Times New Roman"/>
          <w:sz w:val="24"/>
          <w:szCs w:val="24"/>
        </w:rPr>
        <w:t xml:space="preserve"> = .</w:t>
      </w:r>
      <w:r w:rsidR="00197F11">
        <w:rPr>
          <w:rFonts w:ascii="Times New Roman" w:hAnsi="Times New Roman" w:cs="Times New Roman"/>
          <w:sz w:val="24"/>
          <w:szCs w:val="24"/>
        </w:rPr>
        <w:t>19</w:t>
      </w:r>
      <w:r w:rsidRPr="005C66D3">
        <w:rPr>
          <w:rFonts w:ascii="Times New Roman" w:hAnsi="Times New Roman" w:cs="Times New Roman"/>
          <w:sz w:val="24"/>
          <w:szCs w:val="24"/>
        </w:rPr>
        <w:t>).</w:t>
      </w:r>
    </w:p>
    <w:p w14:paraId="2363DC6E" w14:textId="2896E274" w:rsidR="00D54B51" w:rsidRDefault="00D54B51" w:rsidP="00D54B51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2400D">
        <w:rPr>
          <w:rFonts w:ascii="Times New Roman" w:hAnsi="Times New Roman" w:cs="Times New Roman"/>
          <w:sz w:val="24"/>
          <w:szCs w:val="24"/>
        </w:rPr>
        <w:t>re are a few minor</w:t>
      </w:r>
      <w:r>
        <w:rPr>
          <w:rFonts w:ascii="Times New Roman" w:hAnsi="Times New Roman" w:cs="Times New Roman"/>
          <w:sz w:val="24"/>
          <w:szCs w:val="24"/>
        </w:rPr>
        <w:t xml:space="preserve"> differences between findings in the supplementary analysis and analysis in the main manuscript</w:t>
      </w:r>
      <w:r w:rsidR="00F2400D">
        <w:rPr>
          <w:rFonts w:ascii="Times New Roman" w:hAnsi="Times New Roman" w:cs="Times New Roman"/>
          <w:sz w:val="24"/>
          <w:szCs w:val="24"/>
        </w:rPr>
        <w:t>. First,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3">
        <w:rPr>
          <w:rFonts w:ascii="Times New Roman" w:hAnsi="Times New Roman" w:cs="Times New Roman"/>
          <w:sz w:val="24"/>
          <w:szCs w:val="24"/>
        </w:rPr>
        <w:t>maternal sensitivity</w:t>
      </w:r>
      <w:r>
        <w:rPr>
          <w:rFonts w:ascii="Times New Roman" w:hAnsi="Times New Roman" w:cs="Times New Roman"/>
          <w:sz w:val="24"/>
          <w:szCs w:val="24"/>
        </w:rPr>
        <w:t xml:space="preserve"> at 6 months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00D">
        <w:rPr>
          <w:rFonts w:ascii="Times New Roman" w:hAnsi="Times New Roman" w:cs="Times New Roman"/>
          <w:sz w:val="24"/>
          <w:szCs w:val="24"/>
        </w:rPr>
        <w:t xml:space="preserve">alone </w:t>
      </w:r>
      <w:r>
        <w:rPr>
          <w:rFonts w:ascii="Times New Roman" w:hAnsi="Times New Roman" w:cs="Times New Roman"/>
          <w:sz w:val="24"/>
          <w:szCs w:val="24"/>
        </w:rPr>
        <w:t>did not</w:t>
      </w:r>
      <w:r w:rsidRPr="005C66D3">
        <w:rPr>
          <w:rFonts w:ascii="Times New Roman" w:hAnsi="Times New Roman" w:cs="Times New Roman"/>
          <w:sz w:val="24"/>
          <w:szCs w:val="24"/>
        </w:rPr>
        <w:t xml:space="preserve"> predicted higher working memory</w:t>
      </w:r>
      <w:r>
        <w:rPr>
          <w:rFonts w:ascii="Times New Roman" w:hAnsi="Times New Roman" w:cs="Times New Roman"/>
          <w:sz w:val="24"/>
          <w:szCs w:val="24"/>
        </w:rPr>
        <w:t>, but maternal sensitivity throughout early childhood did.</w:t>
      </w:r>
      <w:r w:rsidR="00F2400D">
        <w:rPr>
          <w:rFonts w:ascii="Times New Roman" w:hAnsi="Times New Roman" w:cs="Times New Roman"/>
          <w:sz w:val="24"/>
          <w:szCs w:val="24"/>
        </w:rPr>
        <w:t xml:space="preserve"> Second, </w:t>
      </w:r>
      <w:r w:rsidR="00F2400D" w:rsidRPr="005C66D3">
        <w:rPr>
          <w:rFonts w:ascii="Times New Roman" w:hAnsi="Times New Roman" w:cs="Times New Roman"/>
          <w:sz w:val="24"/>
          <w:szCs w:val="24"/>
        </w:rPr>
        <w:t>infant negative reactivity at 6 months</w:t>
      </w:r>
      <w:r w:rsidR="00F2400D">
        <w:rPr>
          <w:rFonts w:ascii="Times New Roman" w:hAnsi="Times New Roman" w:cs="Times New Roman"/>
          <w:sz w:val="24"/>
          <w:szCs w:val="24"/>
        </w:rPr>
        <w:t xml:space="preserve"> did not</w:t>
      </w:r>
      <w:r w:rsidR="00F2400D" w:rsidRPr="005C66D3">
        <w:rPr>
          <w:rFonts w:ascii="Times New Roman" w:hAnsi="Times New Roman" w:cs="Times New Roman"/>
          <w:sz w:val="24"/>
          <w:szCs w:val="24"/>
        </w:rPr>
        <w:t xml:space="preserve"> predicted higher attention shifting</w:t>
      </w:r>
      <w:r w:rsidR="00F2400D">
        <w:rPr>
          <w:rFonts w:ascii="Times New Roman" w:hAnsi="Times New Roman" w:cs="Times New Roman"/>
          <w:sz w:val="24"/>
          <w:szCs w:val="24"/>
        </w:rPr>
        <w:t>, whereas in the main analysis this association was significant</w:t>
      </w:r>
      <w:r w:rsidR="001E103D">
        <w:rPr>
          <w:rFonts w:ascii="Times New Roman" w:hAnsi="Times New Roman" w:cs="Times New Roman"/>
          <w:sz w:val="24"/>
          <w:szCs w:val="24"/>
        </w:rPr>
        <w:t xml:space="preserve"> after controlling for maternal sensitivity throughout </w:t>
      </w:r>
      <w:r w:rsidR="001E103D">
        <w:rPr>
          <w:rFonts w:ascii="Times New Roman" w:hAnsi="Times New Roman" w:cs="Times New Roman"/>
          <w:sz w:val="24"/>
          <w:szCs w:val="24"/>
        </w:rPr>
        <w:lastRenderedPageBreak/>
        <w:t>early childhood</w:t>
      </w:r>
      <w:r w:rsidR="00F2400D">
        <w:rPr>
          <w:rFonts w:ascii="Times New Roman" w:hAnsi="Times New Roman" w:cs="Times New Roman"/>
          <w:sz w:val="24"/>
          <w:szCs w:val="24"/>
        </w:rPr>
        <w:t xml:space="preserve">. </w:t>
      </w:r>
      <w:r w:rsidR="003F5726">
        <w:rPr>
          <w:rFonts w:ascii="Times New Roman" w:hAnsi="Times New Roman" w:cs="Times New Roman"/>
          <w:sz w:val="24"/>
          <w:szCs w:val="24"/>
        </w:rPr>
        <w:t>Third, residential state became a significant predictor of working memory, and income-to-needs ratio became a significant predictor of higher inhibitory control, whereas in the main analysis both relations were just approaching significance</w:t>
      </w:r>
      <w:r w:rsidR="001E103D">
        <w:rPr>
          <w:rFonts w:ascii="Times New Roman" w:hAnsi="Times New Roman" w:cs="Times New Roman"/>
          <w:sz w:val="24"/>
          <w:szCs w:val="24"/>
        </w:rPr>
        <w:t xml:space="preserve"> </w:t>
      </w:r>
      <w:r w:rsidR="001E103D">
        <w:rPr>
          <w:rFonts w:ascii="Times New Roman" w:hAnsi="Times New Roman" w:cs="Times New Roman"/>
          <w:sz w:val="24"/>
          <w:szCs w:val="24"/>
        </w:rPr>
        <w:t xml:space="preserve">after controlling for </w:t>
      </w:r>
      <w:r w:rsidR="001E103D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1E103D">
        <w:rPr>
          <w:rFonts w:ascii="Times New Roman" w:hAnsi="Times New Roman" w:cs="Times New Roman"/>
          <w:sz w:val="24"/>
          <w:szCs w:val="24"/>
        </w:rPr>
        <w:t>maternal sensitivity throughout early childhood</w:t>
      </w:r>
      <w:r w:rsidR="003F57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B0023" w14:textId="5AF107C5" w:rsidR="00D54B51" w:rsidRDefault="00D54B51" w:rsidP="00BC0AA0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</w:p>
    <w:p w14:paraId="6BC3EE39" w14:textId="77777777" w:rsidR="00D54B51" w:rsidRDefault="00D54B51" w:rsidP="00BC0AA0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</w:p>
    <w:p w14:paraId="02D600F7" w14:textId="77777777" w:rsidR="00D54B51" w:rsidRDefault="00D54B51" w:rsidP="00D54B51">
      <w:pPr>
        <w:rPr>
          <w:rFonts w:ascii="Times New Roman" w:hAnsi="Times New Roman" w:cs="Times New Roman"/>
          <w:sz w:val="24"/>
          <w:szCs w:val="24"/>
        </w:rPr>
      </w:pPr>
    </w:p>
    <w:p w14:paraId="09DF897C" w14:textId="058CBA5C" w:rsidR="00D54B51" w:rsidRDefault="00D54B51" w:rsidP="00D54B51">
      <w:pPr>
        <w:rPr>
          <w:rFonts w:ascii="Times New Roman" w:hAnsi="Times New Roman" w:cs="Times New Roman"/>
          <w:sz w:val="24"/>
          <w:szCs w:val="24"/>
        </w:rPr>
        <w:sectPr w:rsidR="00D54B51" w:rsidSect="00D54B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2269B8" w14:textId="0FECC8C9" w:rsidR="00BC0AA0" w:rsidRPr="00024D3D" w:rsidRDefault="00BC0AA0" w:rsidP="00BC0AA0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r w:rsidRPr="00024D3D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54B51">
        <w:rPr>
          <w:rFonts w:ascii="Times New Roman" w:hAnsi="Times New Roman" w:cs="Times New Roman"/>
          <w:sz w:val="24"/>
          <w:szCs w:val="24"/>
        </w:rPr>
        <w:t>S1</w:t>
      </w:r>
      <w:r w:rsidRPr="00024D3D">
        <w:rPr>
          <w:rFonts w:ascii="Times New Roman" w:hAnsi="Times New Roman" w:cs="Times New Roman"/>
          <w:sz w:val="24"/>
          <w:szCs w:val="24"/>
        </w:rPr>
        <w:t>.</w:t>
      </w:r>
    </w:p>
    <w:p w14:paraId="273E76C9" w14:textId="77777777" w:rsidR="00BC0AA0" w:rsidRPr="00024D3D" w:rsidRDefault="00BC0AA0" w:rsidP="00BC0AA0">
      <w:pPr>
        <w:ind w:left="708" w:hangingChars="295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024D3D">
        <w:rPr>
          <w:rFonts w:ascii="Times New Roman" w:hAnsi="Times New Roman" w:cs="Times New Roman"/>
          <w:i/>
          <w:iCs/>
          <w:sz w:val="24"/>
          <w:szCs w:val="24"/>
        </w:rPr>
        <w:t>Results of the Path Model.</w:t>
      </w:r>
    </w:p>
    <w:p w14:paraId="225FC6AD" w14:textId="77777777" w:rsidR="00BC0AA0" w:rsidRPr="00024D3D" w:rsidRDefault="00BC0AA0" w:rsidP="00BC0AA0">
      <w:pPr>
        <w:ind w:left="708" w:hangingChars="295" w:hanging="70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65" w:type="dxa"/>
        <w:tblLook w:val="04A0" w:firstRow="1" w:lastRow="0" w:firstColumn="1" w:lastColumn="0" w:noHBand="0" w:noVBand="1"/>
      </w:tblPr>
      <w:tblGrid>
        <w:gridCol w:w="2610"/>
        <w:gridCol w:w="1034"/>
        <w:gridCol w:w="960"/>
        <w:gridCol w:w="1116"/>
        <w:gridCol w:w="675"/>
        <w:gridCol w:w="1034"/>
        <w:gridCol w:w="960"/>
        <w:gridCol w:w="1116"/>
        <w:gridCol w:w="675"/>
        <w:gridCol w:w="1034"/>
        <w:gridCol w:w="960"/>
        <w:gridCol w:w="1116"/>
        <w:gridCol w:w="675"/>
      </w:tblGrid>
      <w:tr w:rsidR="00BC0AA0" w:rsidRPr="00BC0AA0" w14:paraId="0C508550" w14:textId="77777777" w:rsidTr="00BC0AA0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3AE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</w:rPr>
              <w:t>35 months outcomes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FA3" w14:textId="1A7F37B9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Working Memory (R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= .1</w:t>
            </w:r>
            <w:r w:rsidR="00D54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073F" w14:textId="3F18AB2E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Inhibitory Control (R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= .0</w:t>
            </w:r>
            <w:r w:rsidR="00D54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D38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Attention Shifting (R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= .13)</w:t>
            </w:r>
          </w:p>
        </w:tc>
      </w:tr>
      <w:tr w:rsidR="00BC0AA0" w:rsidRPr="00BC0AA0" w14:paraId="7EDFA75B" w14:textId="77777777" w:rsidTr="00BC0AA0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0AFC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0C82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C273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8CEB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7F6BA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11DD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3264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4D767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89A5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6943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25F4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C9B9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8E02" w14:textId="77777777" w:rsidR="00BC0AA0" w:rsidRPr="00BC0AA0" w:rsidRDefault="00BC0AA0" w:rsidP="003768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β</w:t>
            </w:r>
          </w:p>
        </w:tc>
      </w:tr>
      <w:tr w:rsidR="00BC0AA0" w:rsidRPr="00BC0AA0" w14:paraId="04F1A7C7" w14:textId="77777777" w:rsidTr="00BC0AA0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5CF2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8B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8EC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C8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1.98</w:t>
            </w:r>
            <w:r w:rsidRPr="00BC0AA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C65CE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E10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DF9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AFC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4.02</w:t>
            </w:r>
            <w:r w:rsidRPr="00BC0AA0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6321D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65F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F1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718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4.43</w:t>
            </w:r>
            <w:r w:rsidRPr="00BC0AA0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C3F096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</w:tr>
      <w:tr w:rsidR="00BC0AA0" w:rsidRPr="00BC0AA0" w14:paraId="06D35E69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2561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</w:rPr>
              <w:t>Child sex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AE6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692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8A1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2.16</w:t>
            </w:r>
            <w:r w:rsidRPr="00BC0AA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827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D9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40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C4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2.64</w:t>
            </w:r>
            <w:r w:rsidRPr="00BC0AA0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370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B49A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1B5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E69A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2.00</w:t>
            </w:r>
            <w:r w:rsidRPr="00BC0AA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C5E1E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BC0AA0" w:rsidRPr="00BC0AA0" w14:paraId="7F940D94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9222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</w:rPr>
              <w:t>Child race and ethnicity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C73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2DD6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3E3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3.14</w:t>
            </w:r>
            <w:r w:rsidRPr="00BC0AA0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84C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E2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94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D0E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-1.22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487C5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790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E5E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8B0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2.27</w:t>
            </w:r>
            <w:r w:rsidRPr="00BC0AA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A7E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BC0AA0" w:rsidRPr="00BC0AA0" w14:paraId="538C8B78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E8D7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</w:rPr>
              <w:t>Income-to-needs ratio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688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54EF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363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2.93</w:t>
            </w:r>
            <w:r w:rsidRPr="00BC0AA0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31949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C17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1B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DB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2.55</w:t>
            </w:r>
            <w:r w:rsidRPr="00BC0AA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5777F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0A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561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47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EAFD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BC0AA0" w:rsidRPr="00BC0AA0" w14:paraId="390A5D4E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558E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</w:rPr>
              <w:t>M sensitivity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160F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F63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4CCF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84DA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F5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B96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D5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FD34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22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03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C15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2.29</w:t>
            </w:r>
            <w:r w:rsidRPr="00BC0AA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78D74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BC0AA0" w:rsidRPr="00BC0AA0" w14:paraId="0E76A5CB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A3BB9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negative reactivity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FF7F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9C6E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F403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FEF1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33F4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74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62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7150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8D9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C60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38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5F64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BC0AA0" w:rsidRPr="00BC0AA0" w14:paraId="21697A1F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0AAD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negative reactivity</w:t>
            </w:r>
            <w:r w:rsidRPr="00BC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5F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2B9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5C9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1AC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F416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EEC5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24C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-1.86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3236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08B9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898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41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DA3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BC0AA0" w:rsidRPr="00BC0AA0" w14:paraId="2E326FCC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B573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NR × M sensitivity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F3D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AA3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64A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-0.78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bottom"/>
          </w:tcPr>
          <w:p w14:paraId="66680BC4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3D10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6701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632F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-1.59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bottom"/>
          </w:tcPr>
          <w:p w14:paraId="16F8E967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-0.26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DA66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DE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BA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bottom"/>
          </w:tcPr>
          <w:p w14:paraId="0D526D29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BC0AA0" w:rsidRPr="00BC0AA0" w14:paraId="7CFDAA30" w14:textId="77777777" w:rsidTr="00BC0AA0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BDE6" w14:textId="77777777" w:rsidR="00BC0AA0" w:rsidRPr="00BC0AA0" w:rsidRDefault="00BC0AA0" w:rsidP="003768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NR</w:t>
            </w:r>
            <w:r w:rsidRPr="00BC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C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M sensitivity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D03C3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1633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6B8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F30E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8748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69BD0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45F6A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2.15</w:t>
            </w:r>
            <w:r w:rsidRPr="00BC0AA0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D523A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6A7D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A1B12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5D54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2268B" w14:textId="77777777" w:rsidR="00BC0AA0" w:rsidRPr="00BC0AA0" w:rsidRDefault="00BC0AA0" w:rsidP="00376896">
            <w:pPr>
              <w:tabs>
                <w:tab w:val="decimal" w:pos="1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AA0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</w:tr>
    </w:tbl>
    <w:p w14:paraId="3962BBB9" w14:textId="77777777" w:rsidR="00BC0AA0" w:rsidRPr="00024D3D" w:rsidRDefault="00BC0AA0" w:rsidP="00BC0AA0">
      <w:pPr>
        <w:rPr>
          <w:rFonts w:ascii="Times New Roman" w:hAnsi="Times New Roman" w:cs="Times New Roman"/>
          <w:sz w:val="24"/>
          <w:szCs w:val="24"/>
        </w:rPr>
      </w:pPr>
      <w:r w:rsidRPr="00024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86846" w14:textId="77777777" w:rsidR="00BC0AA0" w:rsidRPr="00024D3D" w:rsidRDefault="00BC0AA0" w:rsidP="00BC0AA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4D3D">
        <w:rPr>
          <w:rFonts w:ascii="Times New Roman" w:hAnsi="Times New Roman" w:cs="Times New Roman"/>
          <w:i/>
          <w:iCs/>
          <w:sz w:val="24"/>
          <w:szCs w:val="24"/>
        </w:rPr>
        <w:t xml:space="preserve">Note. SE = </w:t>
      </w:r>
      <w:r w:rsidRPr="00024D3D">
        <w:rPr>
          <w:rFonts w:ascii="Times New Roman" w:hAnsi="Times New Roman" w:cs="Times New Roman"/>
          <w:sz w:val="24"/>
          <w:szCs w:val="24"/>
        </w:rPr>
        <w:t xml:space="preserve">standard error. C = </w:t>
      </w:r>
      <w:r w:rsidRPr="00024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child. M = mother.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NR = negative reactivity. </w:t>
      </w:r>
      <w:r w:rsidRPr="00024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Child sex: 1 = male, 2 = female. Child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race and </w:t>
      </w:r>
      <w:r w:rsidRPr="00024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ethnicity: 0 = African American, 1 = </w:t>
      </w:r>
      <w:r>
        <w:rPr>
          <w:rFonts w:ascii="Times New Roman" w:hAnsi="Times New Roman" w:cs="Times New Roman"/>
          <w:bCs/>
          <w:sz w:val="24"/>
          <w:szCs w:val="24"/>
        </w:rPr>
        <w:t>non-Hispanic White</w:t>
      </w:r>
      <w:r w:rsidRPr="00024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(Residential) State: 0 = North Carolina, 1 = Pennsylvania. </w:t>
      </w:r>
    </w:p>
    <w:p w14:paraId="2C0C43D6" w14:textId="77777777" w:rsidR="00E37795" w:rsidRDefault="00BC0AA0" w:rsidP="00BC0AA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37795" w:rsidSect="00BC0AA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24D3D">
        <w:rPr>
          <w:rFonts w:ascii="Times New Roman" w:hAnsi="Times New Roman" w:cs="Times New Roman"/>
          <w:sz w:val="24"/>
          <w:szCs w:val="24"/>
        </w:rPr>
        <w:t xml:space="preserve">* </w:t>
      </w:r>
      <w:r w:rsidRPr="00024D3D">
        <w:rPr>
          <w:rFonts w:ascii="Times New Roman" w:hAnsi="Times New Roman" w:cs="Times New Roman"/>
          <w:i/>
          <w:sz w:val="24"/>
          <w:szCs w:val="24"/>
        </w:rPr>
        <w:t>p</w:t>
      </w:r>
      <w:r w:rsidRPr="00024D3D">
        <w:rPr>
          <w:rFonts w:ascii="Times New Roman" w:hAnsi="Times New Roman" w:cs="Times New Roman"/>
          <w:sz w:val="24"/>
          <w:szCs w:val="24"/>
        </w:rPr>
        <w:t xml:space="preserve"> &lt; .05,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24D3D">
        <w:rPr>
          <w:rFonts w:ascii="Times New Roman" w:hAnsi="Times New Roman" w:cs="Times New Roman"/>
          <w:sz w:val="24"/>
          <w:szCs w:val="24"/>
        </w:rPr>
        <w:t xml:space="preserve">* </w:t>
      </w:r>
      <w:r w:rsidRPr="00024D3D">
        <w:rPr>
          <w:rFonts w:ascii="Times New Roman" w:hAnsi="Times New Roman" w:cs="Times New Roman"/>
          <w:i/>
          <w:sz w:val="24"/>
          <w:szCs w:val="24"/>
        </w:rPr>
        <w:t>p</w:t>
      </w:r>
      <w:r w:rsidRPr="00024D3D">
        <w:rPr>
          <w:rFonts w:ascii="Times New Roman" w:hAnsi="Times New Roman" w:cs="Times New Roman"/>
          <w:sz w:val="24"/>
          <w:szCs w:val="24"/>
        </w:rPr>
        <w:t xml:space="preserve"> &lt; .01, *** </w:t>
      </w:r>
      <w:r w:rsidRPr="00024D3D">
        <w:rPr>
          <w:rFonts w:ascii="Times New Roman" w:hAnsi="Times New Roman" w:cs="Times New Roman"/>
          <w:i/>
          <w:sz w:val="24"/>
          <w:szCs w:val="24"/>
        </w:rPr>
        <w:t>p</w:t>
      </w:r>
      <w:r w:rsidRPr="00024D3D">
        <w:rPr>
          <w:rFonts w:ascii="Times New Roman" w:hAnsi="Times New Roman" w:cs="Times New Roman"/>
          <w:sz w:val="24"/>
          <w:szCs w:val="24"/>
        </w:rPr>
        <w:t xml:space="preserve"> &lt; .001. </w:t>
      </w:r>
    </w:p>
    <w:p w14:paraId="72550484" w14:textId="159AB9EF" w:rsidR="00BC0AA0" w:rsidRDefault="005A2B85" w:rsidP="00BC0A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D120" wp14:editId="1392060F">
                <wp:simplePos x="0" y="0"/>
                <wp:positionH relativeFrom="column">
                  <wp:posOffset>3648075</wp:posOffset>
                </wp:positionH>
                <wp:positionV relativeFrom="paragraph">
                  <wp:posOffset>781050</wp:posOffset>
                </wp:positionV>
                <wp:extent cx="48577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2F8D9" w14:textId="78C7B3B4" w:rsidR="005A2B85" w:rsidRPr="005A2B85" w:rsidRDefault="005A2B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B85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BD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61.5pt;width:38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" filled="f" stroked="f" strokeweight=".5pt">
                <v:textbox>
                  <w:txbxContent>
                    <w:p w14:paraId="5A32F8D9" w14:textId="78C7B3B4" w:rsidR="005A2B85" w:rsidRPr="005A2B85" w:rsidRDefault="005A2B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A2B85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1FE01A" wp14:editId="1EC575FD">
            <wp:extent cx="5476875" cy="36576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82F05B1-0FE4-4BCB-80FB-2B4DCA5D94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4740B0D" w14:textId="32D8D873" w:rsidR="00E37795" w:rsidRDefault="00E37795" w:rsidP="00BC0A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DEB9E6" w14:textId="77777777" w:rsidR="00E37795" w:rsidRPr="00024D3D" w:rsidRDefault="00E37795" w:rsidP="00E37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D3D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024D3D">
        <w:rPr>
          <w:rFonts w:ascii="Times New Roman" w:hAnsi="Times New Roman" w:cs="Times New Roman"/>
          <w:sz w:val="24"/>
          <w:szCs w:val="24"/>
        </w:rPr>
        <w:t>Every unit of the x-axis indicates one standard deviation (</w:t>
      </w:r>
      <w:r w:rsidRPr="00024D3D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024D3D">
        <w:rPr>
          <w:rFonts w:ascii="Times New Roman" w:hAnsi="Times New Roman" w:cs="Times New Roman"/>
          <w:sz w:val="24"/>
          <w:szCs w:val="24"/>
        </w:rPr>
        <w:t xml:space="preserve">), and zero indicate the mean of infant negative reactivity. The actual variable range is -1.15 – 4.07 </w:t>
      </w:r>
      <w:r w:rsidRPr="00024D3D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024D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E77B5" w14:textId="77777777" w:rsidR="00E37795" w:rsidRPr="00024D3D" w:rsidRDefault="00E37795" w:rsidP="00E37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33BB7" w14:textId="77777777" w:rsidR="00E37795" w:rsidRPr="00024D3D" w:rsidRDefault="00E37795" w:rsidP="00E377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6909B" w14:textId="77777777" w:rsidR="00E37795" w:rsidRPr="00024D3D" w:rsidRDefault="00E37795" w:rsidP="00E37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D3D">
        <w:rPr>
          <w:rFonts w:ascii="Times New Roman" w:hAnsi="Times New Roman" w:cs="Times New Roman"/>
          <w:i/>
          <w:iCs/>
          <w:sz w:val="24"/>
          <w:szCs w:val="24"/>
        </w:rPr>
        <w:t xml:space="preserve">Figure 1.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24D3D">
        <w:rPr>
          <w:rFonts w:ascii="Times New Roman" w:hAnsi="Times New Roman" w:cs="Times New Roman"/>
          <w:sz w:val="24"/>
          <w:szCs w:val="24"/>
        </w:rPr>
        <w:t xml:space="preserve">he interaction between </w:t>
      </w:r>
      <w:r>
        <w:rPr>
          <w:rFonts w:ascii="Times New Roman" w:hAnsi="Times New Roman" w:cs="Times New Roman"/>
          <w:sz w:val="24"/>
          <w:szCs w:val="24"/>
        </w:rPr>
        <w:t xml:space="preserve">observed </w:t>
      </w:r>
      <w:r w:rsidRPr="00024D3D">
        <w:rPr>
          <w:rFonts w:ascii="Times New Roman" w:hAnsi="Times New Roman" w:cs="Times New Roman"/>
          <w:sz w:val="24"/>
          <w:szCs w:val="24"/>
        </w:rPr>
        <w:t xml:space="preserve">infant negative reactivity </w:t>
      </w:r>
      <w:r>
        <w:rPr>
          <w:rFonts w:ascii="Times New Roman" w:hAnsi="Times New Roman" w:cs="Times New Roman"/>
          <w:sz w:val="24"/>
          <w:szCs w:val="24"/>
        </w:rPr>
        <w:t xml:space="preserve">at 6 months </w:t>
      </w:r>
      <w:r w:rsidRPr="00024D3D">
        <w:rPr>
          <w:rFonts w:ascii="Times New Roman" w:hAnsi="Times New Roman" w:cs="Times New Roman"/>
          <w:sz w:val="24"/>
          <w:szCs w:val="24"/>
        </w:rPr>
        <w:t xml:space="preserve">and maternal sensitivity predicting child inhibitory control at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24D3D">
        <w:rPr>
          <w:rFonts w:ascii="Times New Roman" w:hAnsi="Times New Roman" w:cs="Times New Roman"/>
          <w:sz w:val="24"/>
          <w:szCs w:val="24"/>
        </w:rPr>
        <w:t xml:space="preserve"> months.</w:t>
      </w:r>
    </w:p>
    <w:p w14:paraId="43F48EBE" w14:textId="77777777" w:rsidR="00E37795" w:rsidRPr="00024D3D" w:rsidRDefault="00E37795" w:rsidP="00BC0A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CC3268" w14:textId="77777777" w:rsidR="005A6664" w:rsidRDefault="001E103D"/>
    <w:sectPr w:rsidR="005A6664" w:rsidSect="00BC0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A0"/>
    <w:rsid w:val="00197F11"/>
    <w:rsid w:val="001E103D"/>
    <w:rsid w:val="003F5726"/>
    <w:rsid w:val="005A2B85"/>
    <w:rsid w:val="00702414"/>
    <w:rsid w:val="00BC0AA0"/>
    <w:rsid w:val="00D54B51"/>
    <w:rsid w:val="00E37795"/>
    <w:rsid w:val="00F057DE"/>
    <w:rsid w:val="00F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EECB"/>
  <w15:chartTrackingRefBased/>
  <w15:docId w15:val="{08E1D090-173D-4FCD-956D-B5B3AED6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A0"/>
    <w:pPr>
      <w:spacing w:after="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3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3.%20FLP\8.%20NE%20square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'FLP-IC'!$F$1</c:f>
              <c:strCache>
                <c:ptCount val="1"/>
                <c:pt idx="0">
                  <c:v>Low sensitivity at 6 months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'FLP-IC'!$E$2:$E$52</c:f>
              <c:numCache>
                <c:formatCode>General</c:formatCode>
                <c:ptCount val="51"/>
                <c:pt idx="0">
                  <c:v>-2</c:v>
                </c:pt>
                <c:pt idx="1">
                  <c:v>-1.9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</c:v>
                </c:pt>
                <c:pt idx="14">
                  <c:v>-0.6</c:v>
                </c:pt>
                <c:pt idx="15">
                  <c:v>-0.5</c:v>
                </c:pt>
                <c:pt idx="16">
                  <c:v>-0.4</c:v>
                </c:pt>
                <c:pt idx="17">
                  <c:v>-0.3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</c:v>
                </c:pt>
                <c:pt idx="24">
                  <c:v>0.4</c:v>
                </c:pt>
                <c:pt idx="25">
                  <c:v>0.5</c:v>
                </c:pt>
                <c:pt idx="26">
                  <c:v>0.6</c:v>
                </c:pt>
                <c:pt idx="27">
                  <c:v>0.7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</c:v>
                </c:pt>
                <c:pt idx="40">
                  <c:v>2</c:v>
                </c:pt>
                <c:pt idx="41">
                  <c:v>2.1</c:v>
                </c:pt>
                <c:pt idx="42">
                  <c:v>2.2000000000000002</c:v>
                </c:pt>
                <c:pt idx="43">
                  <c:v>2.2999999999999998</c:v>
                </c:pt>
                <c:pt idx="44">
                  <c:v>2.4</c:v>
                </c:pt>
                <c:pt idx="45">
                  <c:v>2.5</c:v>
                </c:pt>
                <c:pt idx="46">
                  <c:v>2.6</c:v>
                </c:pt>
                <c:pt idx="47">
                  <c:v>2.7</c:v>
                </c:pt>
                <c:pt idx="48">
                  <c:v>2.8</c:v>
                </c:pt>
                <c:pt idx="49">
                  <c:v>2.9</c:v>
                </c:pt>
                <c:pt idx="50">
                  <c:v>3</c:v>
                </c:pt>
              </c:numCache>
            </c:numRef>
          </c:xVal>
          <c:yVal>
            <c:numRef>
              <c:f>'FLP-IC'!$F$2:$F$52</c:f>
              <c:numCache>
                <c:formatCode>General</c:formatCode>
                <c:ptCount val="51"/>
                <c:pt idx="0">
                  <c:v>-0.55036813600000012</c:v>
                </c:pt>
                <c:pt idx="1">
                  <c:v>-0.53181764174000001</c:v>
                </c:pt>
                <c:pt idx="2">
                  <c:v>-0.51390654615999998</c:v>
                </c:pt>
                <c:pt idx="3">
                  <c:v>-0.49663484926000001</c:v>
                </c:pt>
                <c:pt idx="4">
                  <c:v>-0.48000255103999995</c:v>
                </c:pt>
                <c:pt idx="5">
                  <c:v>-0.46400965150000018</c:v>
                </c:pt>
                <c:pt idx="6">
                  <c:v>-0.44865615064000008</c:v>
                </c:pt>
                <c:pt idx="7">
                  <c:v>-0.43394204845999995</c:v>
                </c:pt>
                <c:pt idx="8">
                  <c:v>-0.41986734496000011</c:v>
                </c:pt>
                <c:pt idx="9">
                  <c:v>-0.40643204014000001</c:v>
                </c:pt>
                <c:pt idx="10">
                  <c:v>-0.39363613400000008</c:v>
                </c:pt>
                <c:pt idx="11">
                  <c:v>-0.38147962654000006</c:v>
                </c:pt>
                <c:pt idx="12">
                  <c:v>-0.36996251776000022</c:v>
                </c:pt>
                <c:pt idx="13">
                  <c:v>-0.35908480765999989</c:v>
                </c:pt>
                <c:pt idx="14">
                  <c:v>-0.34884649623999997</c:v>
                </c:pt>
                <c:pt idx="15">
                  <c:v>-0.33924758349999995</c:v>
                </c:pt>
                <c:pt idx="16">
                  <c:v>-0.33028806944</c:v>
                </c:pt>
                <c:pt idx="17">
                  <c:v>-0.32196795406000001</c:v>
                </c:pt>
                <c:pt idx="18">
                  <c:v>-0.31428723735999992</c:v>
                </c:pt>
                <c:pt idx="19">
                  <c:v>-0.30724591934000006</c:v>
                </c:pt>
                <c:pt idx="20">
                  <c:v>-0.300844</c:v>
                </c:pt>
                <c:pt idx="21">
                  <c:v>-0.29508147933999995</c:v>
                </c:pt>
                <c:pt idx="22">
                  <c:v>-0.28995835735999986</c:v>
                </c:pt>
                <c:pt idx="23">
                  <c:v>-0.28547463406000007</c:v>
                </c:pt>
                <c:pt idx="24">
                  <c:v>-0.28163030944</c:v>
                </c:pt>
                <c:pt idx="25">
                  <c:v>-0.27842538350000001</c:v>
                </c:pt>
                <c:pt idx="26">
                  <c:v>-0.27585985623999992</c:v>
                </c:pt>
                <c:pt idx="27">
                  <c:v>-0.2739337276599999</c:v>
                </c:pt>
                <c:pt idx="28">
                  <c:v>-0.27264699776000012</c:v>
                </c:pt>
                <c:pt idx="29">
                  <c:v>-0.27199966653999996</c:v>
                </c:pt>
                <c:pt idx="30">
                  <c:v>-0.27199173399999987</c:v>
                </c:pt>
                <c:pt idx="31">
                  <c:v>-0.27262320013999986</c:v>
                </c:pt>
                <c:pt idx="32">
                  <c:v>-0.27389406495999985</c:v>
                </c:pt>
                <c:pt idx="33">
                  <c:v>-0.27580432845999997</c:v>
                </c:pt>
                <c:pt idx="34">
                  <c:v>-0.27835399063999994</c:v>
                </c:pt>
                <c:pt idx="35">
                  <c:v>-0.28154305150000003</c:v>
                </c:pt>
                <c:pt idx="36">
                  <c:v>-0.28537151104000003</c:v>
                </c:pt>
                <c:pt idx="37">
                  <c:v>-0.28983936925999998</c:v>
                </c:pt>
                <c:pt idx="38">
                  <c:v>-0.29494662615999984</c:v>
                </c:pt>
                <c:pt idx="39">
                  <c:v>-0.30069328173999987</c:v>
                </c:pt>
                <c:pt idx="40">
                  <c:v>-0.30707933600000004</c:v>
                </c:pt>
                <c:pt idx="41">
                  <c:v>-0.31410478893999999</c:v>
                </c:pt>
                <c:pt idx="42">
                  <c:v>-0.32176964055999985</c:v>
                </c:pt>
                <c:pt idx="43">
                  <c:v>-0.33007389085999994</c:v>
                </c:pt>
                <c:pt idx="44">
                  <c:v>-0.33901753983999999</c:v>
                </c:pt>
                <c:pt idx="45">
                  <c:v>-0.34860058750000011</c:v>
                </c:pt>
                <c:pt idx="46">
                  <c:v>-0.35882303384000014</c:v>
                </c:pt>
                <c:pt idx="47">
                  <c:v>-0.36968487886000001</c:v>
                </c:pt>
                <c:pt idx="48">
                  <c:v>-0.3811861225599999</c:v>
                </c:pt>
                <c:pt idx="49">
                  <c:v>-0.39332676493999996</c:v>
                </c:pt>
                <c:pt idx="50">
                  <c:v>-0.40610680600000004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79F-4D4D-AD5E-22104040D4F7}"/>
            </c:ext>
          </c:extLst>
        </c:ser>
        <c:ser>
          <c:idx val="1"/>
          <c:order val="1"/>
          <c:tx>
            <c:strRef>
              <c:f>'FLP-IC'!$G$1</c:f>
              <c:strCache>
                <c:ptCount val="1"/>
                <c:pt idx="0">
                  <c:v>High sensitivity at 6 months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'FLP-IC'!$E$2:$E$52</c:f>
              <c:numCache>
                <c:formatCode>General</c:formatCode>
                <c:ptCount val="51"/>
                <c:pt idx="0">
                  <c:v>-2</c:v>
                </c:pt>
                <c:pt idx="1">
                  <c:v>-1.9</c:v>
                </c:pt>
                <c:pt idx="2">
                  <c:v>-1.8</c:v>
                </c:pt>
                <c:pt idx="3">
                  <c:v>-1.7</c:v>
                </c:pt>
                <c:pt idx="4">
                  <c:v>-1.6</c:v>
                </c:pt>
                <c:pt idx="5">
                  <c:v>-1.5</c:v>
                </c:pt>
                <c:pt idx="6">
                  <c:v>-1.4</c:v>
                </c:pt>
                <c:pt idx="7">
                  <c:v>-1.3</c:v>
                </c:pt>
                <c:pt idx="8">
                  <c:v>-1.2</c:v>
                </c:pt>
                <c:pt idx="9">
                  <c:v>-1.1000000000000001</c:v>
                </c:pt>
                <c:pt idx="10">
                  <c:v>-1</c:v>
                </c:pt>
                <c:pt idx="11">
                  <c:v>-0.9</c:v>
                </c:pt>
                <c:pt idx="12">
                  <c:v>-0.8</c:v>
                </c:pt>
                <c:pt idx="13">
                  <c:v>-0.7</c:v>
                </c:pt>
                <c:pt idx="14">
                  <c:v>-0.6</c:v>
                </c:pt>
                <c:pt idx="15">
                  <c:v>-0.5</c:v>
                </c:pt>
                <c:pt idx="16">
                  <c:v>-0.4</c:v>
                </c:pt>
                <c:pt idx="17">
                  <c:v>-0.3</c:v>
                </c:pt>
                <c:pt idx="18">
                  <c:v>-0.2</c:v>
                </c:pt>
                <c:pt idx="19">
                  <c:v>-0.1</c:v>
                </c:pt>
                <c:pt idx="20">
                  <c:v>0</c:v>
                </c:pt>
                <c:pt idx="21">
                  <c:v>0.1</c:v>
                </c:pt>
                <c:pt idx="22">
                  <c:v>0.2</c:v>
                </c:pt>
                <c:pt idx="23">
                  <c:v>0.3</c:v>
                </c:pt>
                <c:pt idx="24">
                  <c:v>0.4</c:v>
                </c:pt>
                <c:pt idx="25">
                  <c:v>0.5</c:v>
                </c:pt>
                <c:pt idx="26">
                  <c:v>0.6</c:v>
                </c:pt>
                <c:pt idx="27">
                  <c:v>0.7</c:v>
                </c:pt>
                <c:pt idx="28">
                  <c:v>0.8</c:v>
                </c:pt>
                <c:pt idx="29">
                  <c:v>0.9</c:v>
                </c:pt>
                <c:pt idx="30">
                  <c:v>1</c:v>
                </c:pt>
                <c:pt idx="31">
                  <c:v>1.1000000000000001</c:v>
                </c:pt>
                <c:pt idx="32">
                  <c:v>1.2</c:v>
                </c:pt>
                <c:pt idx="33">
                  <c:v>1.3</c:v>
                </c:pt>
                <c:pt idx="34">
                  <c:v>1.4</c:v>
                </c:pt>
                <c:pt idx="35">
                  <c:v>1.5</c:v>
                </c:pt>
                <c:pt idx="36">
                  <c:v>1.6</c:v>
                </c:pt>
                <c:pt idx="37">
                  <c:v>1.7</c:v>
                </c:pt>
                <c:pt idx="38">
                  <c:v>1.8</c:v>
                </c:pt>
                <c:pt idx="39">
                  <c:v>1.9</c:v>
                </c:pt>
                <c:pt idx="40">
                  <c:v>2</c:v>
                </c:pt>
                <c:pt idx="41">
                  <c:v>2.1</c:v>
                </c:pt>
                <c:pt idx="42">
                  <c:v>2.2000000000000002</c:v>
                </c:pt>
                <c:pt idx="43">
                  <c:v>2.2999999999999998</c:v>
                </c:pt>
                <c:pt idx="44">
                  <c:v>2.4</c:v>
                </c:pt>
                <c:pt idx="45">
                  <c:v>2.5</c:v>
                </c:pt>
                <c:pt idx="46">
                  <c:v>2.6</c:v>
                </c:pt>
                <c:pt idx="47">
                  <c:v>2.7</c:v>
                </c:pt>
                <c:pt idx="48">
                  <c:v>2.8</c:v>
                </c:pt>
                <c:pt idx="49">
                  <c:v>2.9</c:v>
                </c:pt>
                <c:pt idx="50">
                  <c:v>3</c:v>
                </c:pt>
              </c:numCache>
            </c:numRef>
          </c:xVal>
          <c:yVal>
            <c:numRef>
              <c:f>'FLP-IC'!$G$2:$G$52</c:f>
              <c:numCache>
                <c:formatCode>General</c:formatCode>
                <c:ptCount val="51"/>
                <c:pt idx="0">
                  <c:v>-6.1238639999999563E-3</c:v>
                </c:pt>
                <c:pt idx="1">
                  <c:v>-2.5743948260000017E-2</c:v>
                </c:pt>
                <c:pt idx="2">
                  <c:v>-4.4520613839999924E-2</c:v>
                </c:pt>
                <c:pt idx="3">
                  <c:v>-6.2453860739999943E-2</c:v>
                </c:pt>
                <c:pt idx="4">
                  <c:v>-7.95436889599999E-2</c:v>
                </c:pt>
                <c:pt idx="5">
                  <c:v>-9.5790098499999976E-2</c:v>
                </c:pt>
                <c:pt idx="6">
                  <c:v>-0.11119308936000008</c:v>
                </c:pt>
                <c:pt idx="7">
                  <c:v>-0.12575266153999992</c:v>
                </c:pt>
                <c:pt idx="8">
                  <c:v>-0.13946881504000008</c:v>
                </c:pt>
                <c:pt idx="9">
                  <c:v>-0.15234154985999998</c:v>
                </c:pt>
                <c:pt idx="10">
                  <c:v>-0.16437086599999992</c:v>
                </c:pt>
                <c:pt idx="11">
                  <c:v>-0.17555676345999999</c:v>
                </c:pt>
                <c:pt idx="12">
                  <c:v>-0.18589924223999996</c:v>
                </c:pt>
                <c:pt idx="13">
                  <c:v>-0.19539830233999997</c:v>
                </c:pt>
                <c:pt idx="14">
                  <c:v>-0.20405394376000002</c:v>
                </c:pt>
                <c:pt idx="15">
                  <c:v>-0.21186616649999998</c:v>
                </c:pt>
                <c:pt idx="16">
                  <c:v>-0.21883497055999998</c:v>
                </c:pt>
                <c:pt idx="17">
                  <c:v>-0.22496035593999991</c:v>
                </c:pt>
                <c:pt idx="18">
                  <c:v>-0.23024232263999997</c:v>
                </c:pt>
                <c:pt idx="19">
                  <c:v>-0.23468087065999996</c:v>
                </c:pt>
                <c:pt idx="20">
                  <c:v>-0.23827599999999999</c:v>
                </c:pt>
                <c:pt idx="21">
                  <c:v>-0.24102771065999992</c:v>
                </c:pt>
                <c:pt idx="22">
                  <c:v>-0.2429360026399999</c:v>
                </c:pt>
                <c:pt idx="23">
                  <c:v>-0.24400087594</c:v>
                </c:pt>
                <c:pt idx="24">
                  <c:v>-0.24422233056000003</c:v>
                </c:pt>
                <c:pt idx="25">
                  <c:v>-0.2436003665</c:v>
                </c:pt>
                <c:pt idx="26">
                  <c:v>-0.24213498375999998</c:v>
                </c:pt>
                <c:pt idx="27">
                  <c:v>-0.23982618233999992</c:v>
                </c:pt>
                <c:pt idx="28">
                  <c:v>-0.23667396224000004</c:v>
                </c:pt>
                <c:pt idx="29">
                  <c:v>-0.23267832346</c:v>
                </c:pt>
                <c:pt idx="30">
                  <c:v>-0.22783926599999993</c:v>
                </c:pt>
                <c:pt idx="31">
                  <c:v>-0.22215678985999979</c:v>
                </c:pt>
                <c:pt idx="32">
                  <c:v>-0.21563089503999983</c:v>
                </c:pt>
                <c:pt idx="33">
                  <c:v>-0.20826158154000002</c:v>
                </c:pt>
                <c:pt idx="34">
                  <c:v>-0.20004884936000003</c:v>
                </c:pt>
                <c:pt idx="35">
                  <c:v>-0.19099269849999997</c:v>
                </c:pt>
                <c:pt idx="36">
                  <c:v>-0.18109312896000004</c:v>
                </c:pt>
                <c:pt idx="37">
                  <c:v>-0.17035014073999988</c:v>
                </c:pt>
                <c:pt idx="38">
                  <c:v>-0.15876373384</c:v>
                </c:pt>
                <c:pt idx="39">
                  <c:v>-0.14633390825999987</c:v>
                </c:pt>
                <c:pt idx="40">
                  <c:v>-0.13306066399999997</c:v>
                </c:pt>
                <c:pt idx="41">
                  <c:v>-0.11894400105999998</c:v>
                </c:pt>
                <c:pt idx="42">
                  <c:v>-0.10398391943999959</c:v>
                </c:pt>
                <c:pt idx="43">
                  <c:v>-8.8180419139999744E-2</c:v>
                </c:pt>
                <c:pt idx="44">
                  <c:v>-7.1533500159999847E-2</c:v>
                </c:pt>
                <c:pt idx="45">
                  <c:v>-5.4043162499999874E-2</c:v>
                </c:pt>
                <c:pt idx="46">
                  <c:v>-3.5709406159999846E-2</c:v>
                </c:pt>
                <c:pt idx="47">
                  <c:v>-1.653223114000011E-2</c:v>
                </c:pt>
                <c:pt idx="48">
                  <c:v>3.4883625600002242E-3</c:v>
                </c:pt>
                <c:pt idx="49">
                  <c:v>2.4352374940000088E-2</c:v>
                </c:pt>
                <c:pt idx="50">
                  <c:v>4.6059806000000189E-2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79F-4D4D-AD5E-22104040D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2586767"/>
        <c:axId val="1194493359"/>
      </c:scatterChart>
      <c:valAx>
        <c:axId val="11525867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r>
                  <a:rPr lang="en-US"/>
                  <a:t>Child negative reactivity at 6 months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Tahoma" panose="020B0604030504040204" pitchFamily="34" charset="0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en-US"/>
          </a:p>
        </c:txPr>
        <c:crossAx val="1194493359"/>
        <c:crossesAt val="-7"/>
        <c:crossBetween val="midCat"/>
      </c:valAx>
      <c:valAx>
        <c:axId val="119449335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r>
                  <a:rPr lang="en-US"/>
                  <a:t>Child inhibitory control at 35 months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Tahoma" panose="020B0604030504040204" pitchFamily="34" charset="0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en-US"/>
          </a:p>
        </c:txPr>
        <c:crossAx val="1152586767"/>
        <c:crossesAt val="-3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ea typeface="Tahoma" panose="020B0604030504040204" pitchFamily="34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Wu</dc:creator>
  <cp:keywords/>
  <dc:description/>
  <cp:lastModifiedBy>Qiong Wu</cp:lastModifiedBy>
  <cp:revision>3</cp:revision>
  <dcterms:created xsi:type="dcterms:W3CDTF">2021-09-16T15:49:00Z</dcterms:created>
  <dcterms:modified xsi:type="dcterms:W3CDTF">2021-09-17T14:40:00Z</dcterms:modified>
</cp:coreProperties>
</file>