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F35E" w14:textId="03D0F94C" w:rsidR="000B116D" w:rsidRPr="000B116D" w:rsidRDefault="000B116D" w:rsidP="000B116D">
      <w:pPr>
        <w:spacing w:after="0" w:line="480" w:lineRule="auto"/>
        <w:rPr>
          <w:rFonts w:ascii="Times New Roman" w:eastAsia="Calibri" w:hAnsi="Times New Roman" w:cs="Times New Roman"/>
          <w:b/>
        </w:rPr>
      </w:pPr>
      <w:r>
        <w:rPr>
          <w:rFonts w:ascii="Times New Roman" w:eastAsia="Times New Roman" w:hAnsi="Times New Roman" w:cs="Times New Roman"/>
          <w:b/>
          <w:color w:val="000000"/>
        </w:rPr>
        <w:t>Supplemental r</w:t>
      </w:r>
      <w:r w:rsidRPr="000B116D">
        <w:rPr>
          <w:rFonts w:ascii="Times New Roman" w:eastAsia="Times New Roman" w:hAnsi="Times New Roman" w:cs="Times New Roman"/>
          <w:b/>
          <w:color w:val="000000"/>
        </w:rPr>
        <w:t>esults</w:t>
      </w:r>
      <w:r w:rsidRPr="000B116D">
        <w:rPr>
          <w:rFonts w:ascii="Times New Roman" w:eastAsia="Calibri" w:hAnsi="Times New Roman" w:cs="Times New Roman"/>
          <w:color w:val="000000"/>
        </w:rPr>
        <w:t xml:space="preserve"> </w:t>
      </w:r>
    </w:p>
    <w:p w14:paraId="2E931047" w14:textId="29E92F4A" w:rsidR="00B67EEE" w:rsidRDefault="000B116D" w:rsidP="000B116D">
      <w:pPr>
        <w:spacing w:after="0" w:line="480" w:lineRule="auto"/>
        <w:rPr>
          <w:rFonts w:ascii="Times New Roman" w:eastAsia="Calibri" w:hAnsi="Times New Roman" w:cs="Times New Roman"/>
        </w:rPr>
      </w:pPr>
      <w:r w:rsidRPr="000B116D">
        <w:rPr>
          <w:rFonts w:ascii="Times New Roman" w:eastAsia="Calibri" w:hAnsi="Times New Roman" w:cs="Times New Roman"/>
        </w:rPr>
        <w:tab/>
      </w:r>
      <w:r w:rsidR="00B67EEE">
        <w:rPr>
          <w:rFonts w:ascii="Times New Roman" w:eastAsia="Calibri" w:hAnsi="Times New Roman" w:cs="Times New Roman"/>
        </w:rPr>
        <w:t xml:space="preserve">In this set of results, children were classified into one of three groups based on whether they met the threshold for competent functioning at ages 8, 12, and 16 years: always competent (met the threshold at all three time points), inconsistently competent (met the threshold at one or two time points), and never competent (never met the threshold). In the first set of analyses, the proportion of children in each longitudinal competence group were compared between the </w:t>
      </w:r>
      <w:proofErr w:type="spellStart"/>
      <w:r w:rsidR="00B67EEE">
        <w:rPr>
          <w:rFonts w:ascii="Times New Roman" w:eastAsia="Calibri" w:hAnsi="Times New Roman" w:cs="Times New Roman"/>
        </w:rPr>
        <w:t>never</w:t>
      </w:r>
      <w:proofErr w:type="spellEnd"/>
      <w:r w:rsidR="00B67EEE">
        <w:rPr>
          <w:rFonts w:ascii="Times New Roman" w:eastAsia="Calibri" w:hAnsi="Times New Roman" w:cs="Times New Roman"/>
        </w:rPr>
        <w:t xml:space="preserve"> and ever</w:t>
      </w:r>
      <w:r w:rsidR="002519FA">
        <w:rPr>
          <w:rFonts w:ascii="Times New Roman" w:eastAsia="Calibri" w:hAnsi="Times New Roman" w:cs="Times New Roman"/>
        </w:rPr>
        <w:t xml:space="preserve"> </w:t>
      </w:r>
      <w:r w:rsidR="00B67EEE">
        <w:rPr>
          <w:rFonts w:ascii="Times New Roman" w:eastAsia="Calibri" w:hAnsi="Times New Roman" w:cs="Times New Roman"/>
        </w:rPr>
        <w:t>institutionalized groups, foster care and care as usual groups, early (prior to age 20 months) and late (at or beyond age 20 months) placement in foster care groups, and stable and disrupted foster care placement groups. Finally, the three longitudinal competence groups were compared in regard to caregiving quality variables: quality of caregiving at age 42 months, percent of life spent in institutional care from birth through age 54 months, and number of placement disruptions from birth through age 54 months.</w:t>
      </w:r>
    </w:p>
    <w:p w14:paraId="12C31CFE" w14:textId="529263DB" w:rsidR="000B116D" w:rsidRPr="000B116D" w:rsidRDefault="000B116D" w:rsidP="00B67EEE">
      <w:pPr>
        <w:spacing w:after="0" w:line="480" w:lineRule="auto"/>
        <w:ind w:firstLine="720"/>
        <w:rPr>
          <w:rFonts w:ascii="Times New Roman" w:eastAsia="Times New Roman" w:hAnsi="Times New Roman" w:cs="Times New Roman"/>
          <w:color w:val="000000"/>
        </w:rPr>
      </w:pPr>
      <w:r w:rsidRPr="000B116D">
        <w:rPr>
          <w:rFonts w:ascii="Times New Roman" w:eastAsia="Calibri" w:hAnsi="Times New Roman" w:cs="Times New Roman"/>
        </w:rPr>
        <w:t>Prior to all analyses, t</w:t>
      </w:r>
      <w:r w:rsidRPr="000B116D">
        <w:rPr>
          <w:rFonts w:ascii="Times New Roman" w:eastAsia="Times New Roman" w:hAnsi="Times New Roman" w:cs="Times New Roman"/>
          <w:color w:val="000000"/>
        </w:rPr>
        <w:t xml:space="preserve">he proportion of males compared to females across </w:t>
      </w:r>
      <w:r w:rsidR="00B67EEE">
        <w:rPr>
          <w:rFonts w:ascii="Times New Roman" w:eastAsia="Times New Roman" w:hAnsi="Times New Roman" w:cs="Times New Roman"/>
          <w:color w:val="000000"/>
        </w:rPr>
        <w:t xml:space="preserve">the three </w:t>
      </w:r>
      <w:r w:rsidRPr="000B116D">
        <w:rPr>
          <w:rFonts w:ascii="Times New Roman" w:eastAsia="Times New Roman" w:hAnsi="Times New Roman" w:cs="Times New Roman"/>
          <w:color w:val="000000"/>
        </w:rPr>
        <w:t xml:space="preserve">longitudinal competence categories was examined and found to be non-significant in the entire sample </w:t>
      </w:r>
      <w:r w:rsidRPr="000B116D">
        <w:rPr>
          <w:rFonts w:ascii="Times New Roman" w:eastAsia="Calibri" w:hAnsi="Times New Roman" w:cs="Times New Roman"/>
        </w:rPr>
        <w:t>(</w:t>
      </w:r>
      <w:r w:rsidRPr="000B116D">
        <w:rPr>
          <w:rFonts w:ascii="Times New Roman" w:eastAsia="Calibri" w:hAnsi="Times New Roman" w:cs="Times New Roman"/>
        </w:rPr>
        <w:sym w:font="Symbol" w:char="F063"/>
      </w:r>
      <w:r w:rsidRPr="000B116D">
        <w:rPr>
          <w:rFonts w:ascii="Times New Roman" w:eastAsia="Times New Roman" w:hAnsi="Times New Roman" w:cs="Times New Roman"/>
          <w:color w:val="000000"/>
          <w:vertAlign w:val="superscript"/>
        </w:rPr>
        <w:t>2</w:t>
      </w:r>
      <w:r w:rsidRPr="000B116D">
        <w:rPr>
          <w:rFonts w:ascii="Times New Roman" w:eastAsia="Times New Roman" w:hAnsi="Times New Roman" w:cs="Times New Roman"/>
          <w:color w:val="000000"/>
        </w:rPr>
        <w:t xml:space="preserve">[1]=4.98, </w:t>
      </w:r>
      <w:r w:rsidRPr="000B116D">
        <w:rPr>
          <w:rFonts w:ascii="Times New Roman" w:eastAsia="Times New Roman" w:hAnsi="Times New Roman" w:cs="Times New Roman"/>
          <w:i/>
          <w:color w:val="000000"/>
        </w:rPr>
        <w:t>p</w:t>
      </w:r>
      <w:r w:rsidRPr="000B116D">
        <w:rPr>
          <w:rFonts w:ascii="Times New Roman" w:eastAsia="Times New Roman" w:hAnsi="Times New Roman" w:cs="Times New Roman"/>
          <w:color w:val="000000"/>
        </w:rPr>
        <w:t xml:space="preserve">=.083, </w:t>
      </w:r>
      <w:r w:rsidRPr="000B116D">
        <w:rPr>
          <w:rFonts w:ascii="Times New Roman" w:eastAsia="Times New Roman" w:hAnsi="Times New Roman" w:cs="Times New Roman"/>
          <w:i/>
          <w:color w:val="000000"/>
        </w:rPr>
        <w:t>V</w:t>
      </w:r>
      <w:r w:rsidRPr="000B116D">
        <w:rPr>
          <w:rFonts w:ascii="Times New Roman" w:eastAsia="Times New Roman" w:hAnsi="Times New Roman" w:cs="Times New Roman"/>
          <w:color w:val="000000"/>
        </w:rPr>
        <w:t xml:space="preserve">=.210) as well as among the EIG only </w:t>
      </w:r>
      <w:r w:rsidRPr="000B116D">
        <w:rPr>
          <w:rFonts w:ascii="Times New Roman" w:eastAsia="Calibri" w:hAnsi="Times New Roman" w:cs="Times New Roman"/>
        </w:rPr>
        <w:t>(</w:t>
      </w:r>
      <w:r w:rsidRPr="000B116D">
        <w:rPr>
          <w:rFonts w:ascii="Times New Roman" w:eastAsia="Calibri" w:hAnsi="Times New Roman" w:cs="Times New Roman"/>
        </w:rPr>
        <w:sym w:font="Symbol" w:char="F063"/>
      </w:r>
      <w:r w:rsidRPr="000B116D">
        <w:rPr>
          <w:rFonts w:ascii="Times New Roman" w:eastAsia="Times New Roman" w:hAnsi="Times New Roman" w:cs="Times New Roman"/>
          <w:color w:val="000000"/>
          <w:vertAlign w:val="superscript"/>
        </w:rPr>
        <w:t>2</w:t>
      </w:r>
      <w:r w:rsidRPr="000B116D">
        <w:rPr>
          <w:rFonts w:ascii="Times New Roman" w:eastAsia="Times New Roman" w:hAnsi="Times New Roman" w:cs="Times New Roman"/>
          <w:color w:val="000000"/>
        </w:rPr>
        <w:t xml:space="preserve">[1]=1.17, </w:t>
      </w:r>
      <w:r w:rsidRPr="000B116D">
        <w:rPr>
          <w:rFonts w:ascii="Times New Roman" w:eastAsia="Times New Roman" w:hAnsi="Times New Roman" w:cs="Times New Roman"/>
          <w:i/>
          <w:color w:val="000000"/>
        </w:rPr>
        <w:t>p</w:t>
      </w:r>
      <w:r w:rsidRPr="000B116D">
        <w:rPr>
          <w:rFonts w:ascii="Times New Roman" w:eastAsia="Times New Roman" w:hAnsi="Times New Roman" w:cs="Times New Roman"/>
          <w:color w:val="000000"/>
        </w:rPr>
        <w:t xml:space="preserve">=.558, </w:t>
      </w:r>
      <w:r w:rsidRPr="000B116D">
        <w:rPr>
          <w:rFonts w:ascii="Times New Roman" w:eastAsia="Times New Roman" w:hAnsi="Times New Roman" w:cs="Times New Roman"/>
          <w:i/>
          <w:color w:val="000000"/>
        </w:rPr>
        <w:t>V</w:t>
      </w:r>
      <w:r w:rsidRPr="000B116D">
        <w:rPr>
          <w:rFonts w:ascii="Times New Roman" w:eastAsia="Times New Roman" w:hAnsi="Times New Roman" w:cs="Times New Roman"/>
          <w:color w:val="000000"/>
        </w:rPr>
        <w:t xml:space="preserve">=.122). Cross-sectional data on the number and percent of children classified as competent at ages 8, 12, and 16 years are available in </w:t>
      </w:r>
      <w:r w:rsidR="008669A4">
        <w:rPr>
          <w:rFonts w:ascii="Times New Roman" w:eastAsia="Times New Roman" w:hAnsi="Times New Roman" w:cs="Times New Roman"/>
          <w:color w:val="000000"/>
        </w:rPr>
        <w:t xml:space="preserve">supplemental </w:t>
      </w:r>
      <w:r w:rsidRPr="000B116D">
        <w:rPr>
          <w:rFonts w:ascii="Times New Roman" w:eastAsia="Times New Roman" w:hAnsi="Times New Roman" w:cs="Times New Roman"/>
          <w:color w:val="000000"/>
        </w:rPr>
        <w:t xml:space="preserve">table </w:t>
      </w:r>
      <w:r w:rsidR="008669A4">
        <w:rPr>
          <w:rFonts w:ascii="Times New Roman" w:eastAsia="Times New Roman" w:hAnsi="Times New Roman" w:cs="Times New Roman"/>
          <w:color w:val="000000"/>
        </w:rPr>
        <w:t>2 (available online)</w:t>
      </w:r>
      <w:r w:rsidRPr="000B116D">
        <w:rPr>
          <w:rFonts w:ascii="Times New Roman" w:eastAsia="Times New Roman" w:hAnsi="Times New Roman" w:cs="Times New Roman"/>
          <w:color w:val="000000"/>
        </w:rPr>
        <w:t>.</w:t>
      </w:r>
    </w:p>
    <w:p w14:paraId="623BE675" w14:textId="32BAAF50" w:rsidR="000B116D" w:rsidRPr="000B116D" w:rsidRDefault="00B67EEE" w:rsidP="000B116D">
      <w:pPr>
        <w:spacing w:after="0" w:line="480" w:lineRule="auto"/>
        <w:ind w:firstLine="720"/>
        <w:rPr>
          <w:rFonts w:ascii="Times New Roman" w:eastAsia="Calibri" w:hAnsi="Times New Roman" w:cs="Times New Roman"/>
        </w:rPr>
      </w:pPr>
      <w:r>
        <w:rPr>
          <w:rFonts w:ascii="Times New Roman" w:eastAsia="Calibri" w:hAnsi="Times New Roman" w:cs="Times New Roman"/>
          <w:b/>
        </w:rPr>
        <w:t>Never</w:t>
      </w:r>
      <w:r w:rsidR="002519FA">
        <w:rPr>
          <w:rFonts w:ascii="Times New Roman" w:eastAsia="Calibri" w:hAnsi="Times New Roman" w:cs="Times New Roman"/>
          <w:b/>
        </w:rPr>
        <w:t xml:space="preserve"> </w:t>
      </w:r>
      <w:r>
        <w:rPr>
          <w:rFonts w:ascii="Times New Roman" w:eastAsia="Calibri" w:hAnsi="Times New Roman" w:cs="Times New Roman"/>
          <w:b/>
        </w:rPr>
        <w:t>institutionalized vs. ever</w:t>
      </w:r>
      <w:r w:rsidR="002519FA">
        <w:rPr>
          <w:rFonts w:ascii="Times New Roman" w:eastAsia="Calibri" w:hAnsi="Times New Roman" w:cs="Times New Roman"/>
          <w:b/>
        </w:rPr>
        <w:t xml:space="preserve"> </w:t>
      </w:r>
      <w:r>
        <w:rPr>
          <w:rFonts w:ascii="Times New Roman" w:eastAsia="Calibri" w:hAnsi="Times New Roman" w:cs="Times New Roman"/>
          <w:b/>
        </w:rPr>
        <w:t>institutionalized</w:t>
      </w:r>
      <w:r w:rsidR="000B116D" w:rsidRPr="000B116D">
        <w:rPr>
          <w:rFonts w:ascii="Times New Roman" w:eastAsia="Calibri" w:hAnsi="Times New Roman" w:cs="Times New Roman"/>
          <w:b/>
        </w:rPr>
        <w:t xml:space="preserve">. </w:t>
      </w:r>
      <w:r w:rsidR="000B116D" w:rsidRPr="000B116D">
        <w:rPr>
          <w:rFonts w:ascii="Times New Roman" w:eastAsia="Calibri" w:hAnsi="Times New Roman" w:cs="Times New Roman"/>
        </w:rPr>
        <w:t>From 8 to 16 years of age, never</w:t>
      </w:r>
      <w:r w:rsidR="002519FA">
        <w:rPr>
          <w:rFonts w:ascii="Times New Roman" w:eastAsia="Calibri" w:hAnsi="Times New Roman" w:cs="Times New Roman"/>
        </w:rPr>
        <w:t xml:space="preserve"> </w:t>
      </w:r>
      <w:r w:rsidR="000B116D" w:rsidRPr="000B116D">
        <w:rPr>
          <w:rFonts w:ascii="Times New Roman" w:eastAsia="Calibri" w:hAnsi="Times New Roman" w:cs="Times New Roman"/>
        </w:rPr>
        <w:t>institutionalized group adolescents were more likely to be consistently competent compared to ever</w:t>
      </w:r>
      <w:r w:rsidR="002519FA">
        <w:rPr>
          <w:rFonts w:ascii="Times New Roman" w:eastAsia="Calibri" w:hAnsi="Times New Roman" w:cs="Times New Roman"/>
        </w:rPr>
        <w:t xml:space="preserve"> </w:t>
      </w:r>
      <w:r w:rsidR="000B116D" w:rsidRPr="000B116D">
        <w:rPr>
          <w:rFonts w:ascii="Times New Roman" w:eastAsia="Calibri" w:hAnsi="Times New Roman" w:cs="Times New Roman"/>
        </w:rPr>
        <w:t>institutionalized adolescents (</w:t>
      </w:r>
      <w:r w:rsidR="000B116D" w:rsidRPr="000B116D">
        <w:rPr>
          <w:rFonts w:ascii="Times New Roman" w:eastAsia="Calibri" w:hAnsi="Times New Roman" w:cs="Times New Roman"/>
        </w:rPr>
        <w:sym w:font="Symbol" w:char="F063"/>
      </w:r>
      <w:r w:rsidR="000B116D" w:rsidRPr="000B116D">
        <w:rPr>
          <w:rFonts w:ascii="Times New Roman" w:eastAsia="Calibri" w:hAnsi="Times New Roman" w:cs="Times New Roman"/>
          <w:i/>
          <w:vertAlign w:val="superscript"/>
        </w:rPr>
        <w:t>2</w:t>
      </w:r>
      <w:r w:rsidR="000B116D" w:rsidRPr="000B116D">
        <w:rPr>
          <w:rFonts w:ascii="Times New Roman" w:eastAsia="Calibri" w:hAnsi="Times New Roman" w:cs="Times New Roman"/>
        </w:rPr>
        <w:t>[</w:t>
      </w:r>
      <w:proofErr w:type="gramStart"/>
      <w:r w:rsidR="000B116D" w:rsidRPr="000B116D">
        <w:rPr>
          <w:rFonts w:ascii="Times New Roman" w:eastAsia="Calibri" w:hAnsi="Times New Roman" w:cs="Times New Roman"/>
        </w:rPr>
        <w:t>1]=</w:t>
      </w:r>
      <w:proofErr w:type="gramEnd"/>
      <w:r w:rsidR="000B116D" w:rsidRPr="000B116D">
        <w:rPr>
          <w:rFonts w:ascii="Times New Roman" w:eastAsia="Calibri" w:hAnsi="Times New Roman" w:cs="Times New Roman"/>
        </w:rPr>
        <w:t xml:space="preserve">23.59, </w:t>
      </w:r>
      <w:r w:rsidR="000B116D" w:rsidRPr="000B116D">
        <w:rPr>
          <w:rFonts w:ascii="Times New Roman" w:eastAsia="Calibri" w:hAnsi="Times New Roman" w:cs="Times New Roman"/>
          <w:i/>
        </w:rPr>
        <w:t>p</w:t>
      </w:r>
      <w:r w:rsidR="000B116D" w:rsidRPr="000B116D">
        <w:rPr>
          <w:rFonts w:ascii="Times New Roman" w:eastAsia="Calibri" w:hAnsi="Times New Roman" w:cs="Times New Roman"/>
        </w:rPr>
        <w:t xml:space="preserve">&lt;.001, </w:t>
      </w:r>
      <w:r w:rsidR="000B116D" w:rsidRPr="000B116D">
        <w:rPr>
          <w:rFonts w:ascii="Times New Roman" w:eastAsia="Times New Roman" w:hAnsi="Times New Roman" w:cs="Times New Roman"/>
          <w:i/>
          <w:color w:val="000000"/>
        </w:rPr>
        <w:t>V</w:t>
      </w:r>
      <w:r w:rsidR="000B116D" w:rsidRPr="000B116D">
        <w:rPr>
          <w:rFonts w:ascii="Times New Roman" w:eastAsia="Times New Roman" w:hAnsi="Times New Roman" w:cs="Times New Roman"/>
          <w:color w:val="000000"/>
        </w:rPr>
        <w:t xml:space="preserve">=.457; see Figure </w:t>
      </w:r>
      <w:r w:rsidR="008669A4">
        <w:rPr>
          <w:rFonts w:ascii="Times New Roman" w:eastAsia="Times New Roman" w:hAnsi="Times New Roman" w:cs="Times New Roman"/>
          <w:color w:val="000000"/>
        </w:rPr>
        <w:t>1 in this document</w:t>
      </w:r>
      <w:r w:rsidR="000B116D" w:rsidRPr="000B116D">
        <w:rPr>
          <w:rFonts w:ascii="Times New Roman" w:eastAsia="Calibri" w:hAnsi="Times New Roman" w:cs="Times New Roman"/>
        </w:rPr>
        <w:t>). Sixty percent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=21) of never</w:t>
      </w:r>
      <w:r w:rsidR="002519FA">
        <w:rPr>
          <w:rFonts w:ascii="Times New Roman" w:eastAsia="Calibri" w:hAnsi="Times New Roman" w:cs="Times New Roman"/>
        </w:rPr>
        <w:t xml:space="preserve"> </w:t>
      </w:r>
      <w:r w:rsidR="000B116D" w:rsidRPr="000B116D">
        <w:rPr>
          <w:rFonts w:ascii="Times New Roman" w:eastAsia="Calibri" w:hAnsi="Times New Roman" w:cs="Times New Roman"/>
        </w:rPr>
        <w:t>institutionalized group adolescents were in the consistently competent category compared to just 17%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 xml:space="preserve">=13) of </w:t>
      </w:r>
      <w:r>
        <w:rPr>
          <w:rFonts w:ascii="Times New Roman" w:eastAsia="Calibri" w:hAnsi="Times New Roman" w:cs="Times New Roman"/>
        </w:rPr>
        <w:t>ever</w:t>
      </w:r>
      <w:r w:rsidR="002519FA">
        <w:rPr>
          <w:rFonts w:ascii="Times New Roman" w:eastAsia="Calibri" w:hAnsi="Times New Roman" w:cs="Times New Roman"/>
        </w:rPr>
        <w:t xml:space="preserve"> </w:t>
      </w:r>
      <w:r>
        <w:rPr>
          <w:rFonts w:ascii="Times New Roman" w:eastAsia="Calibri" w:hAnsi="Times New Roman" w:cs="Times New Roman"/>
        </w:rPr>
        <w:t>institutionalized</w:t>
      </w:r>
      <w:r w:rsidR="000B116D" w:rsidRPr="000B116D">
        <w:rPr>
          <w:rFonts w:ascii="Times New Roman" w:eastAsia="Calibri" w:hAnsi="Times New Roman" w:cs="Times New Roman"/>
        </w:rPr>
        <w:t xml:space="preserve"> adolescents. Conversely, only 3%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=1) of</w:t>
      </w:r>
      <w:r w:rsidR="000B116D" w:rsidRPr="000B116D">
        <w:rPr>
          <w:rFonts w:ascii="Times New Roman" w:eastAsia="Calibri" w:hAnsi="Times New Roman" w:cs="Times New Roman"/>
          <w:i/>
        </w:rPr>
        <w:t xml:space="preserve"> </w:t>
      </w:r>
      <w:r w:rsidR="000B116D" w:rsidRPr="000B116D">
        <w:rPr>
          <w:rFonts w:ascii="Times New Roman" w:eastAsia="Calibri" w:hAnsi="Times New Roman" w:cs="Times New Roman"/>
        </w:rPr>
        <w:t>never</w:t>
      </w:r>
      <w:r w:rsidR="002519FA">
        <w:rPr>
          <w:rFonts w:ascii="Times New Roman" w:eastAsia="Calibri" w:hAnsi="Times New Roman" w:cs="Times New Roman"/>
        </w:rPr>
        <w:t xml:space="preserve"> </w:t>
      </w:r>
      <w:r w:rsidR="000B116D" w:rsidRPr="000B116D">
        <w:rPr>
          <w:rFonts w:ascii="Times New Roman" w:eastAsia="Calibri" w:hAnsi="Times New Roman" w:cs="Times New Roman"/>
        </w:rPr>
        <w:t xml:space="preserve">institutionalized group adolescents were in the never </w:t>
      </w:r>
      <w:r w:rsidR="000B116D" w:rsidRPr="000B116D">
        <w:rPr>
          <w:rFonts w:ascii="Times New Roman" w:eastAsia="Calibri" w:hAnsi="Times New Roman" w:cs="Times New Roman"/>
        </w:rPr>
        <w:lastRenderedPageBreak/>
        <w:t>competent category compared to 24%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 xml:space="preserve">=19) of </w:t>
      </w:r>
      <w:r>
        <w:rPr>
          <w:rFonts w:ascii="Times New Roman" w:eastAsia="Calibri" w:hAnsi="Times New Roman" w:cs="Times New Roman"/>
        </w:rPr>
        <w:t>ever</w:t>
      </w:r>
      <w:r w:rsidR="000A5120">
        <w:rPr>
          <w:rFonts w:ascii="Times New Roman" w:eastAsia="Calibri" w:hAnsi="Times New Roman" w:cs="Times New Roman"/>
        </w:rPr>
        <w:t xml:space="preserve"> </w:t>
      </w:r>
      <w:r>
        <w:rPr>
          <w:rFonts w:ascii="Times New Roman" w:eastAsia="Calibri" w:hAnsi="Times New Roman" w:cs="Times New Roman"/>
        </w:rPr>
        <w:t>institutionalized</w:t>
      </w:r>
      <w:r w:rsidR="000B116D" w:rsidRPr="000B116D">
        <w:rPr>
          <w:rFonts w:ascii="Times New Roman" w:eastAsia="Calibri" w:hAnsi="Times New Roman" w:cs="Times New Roman"/>
        </w:rPr>
        <w:t xml:space="preserve"> adolescents. Finally, 37%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=13) of never</w:t>
      </w:r>
      <w:r w:rsidR="000A5120">
        <w:rPr>
          <w:rFonts w:ascii="Times New Roman" w:eastAsia="Calibri" w:hAnsi="Times New Roman" w:cs="Times New Roman"/>
        </w:rPr>
        <w:t xml:space="preserve"> </w:t>
      </w:r>
      <w:r w:rsidR="000B116D" w:rsidRPr="000B116D">
        <w:rPr>
          <w:rFonts w:ascii="Times New Roman" w:eastAsia="Calibri" w:hAnsi="Times New Roman" w:cs="Times New Roman"/>
        </w:rPr>
        <w:t>institutionalized group adolescents and 59%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 xml:space="preserve">=46) of </w:t>
      </w:r>
      <w:r>
        <w:rPr>
          <w:rFonts w:ascii="Times New Roman" w:eastAsia="Calibri" w:hAnsi="Times New Roman" w:cs="Times New Roman"/>
        </w:rPr>
        <w:t>ever</w:t>
      </w:r>
      <w:r w:rsidR="000A5120">
        <w:rPr>
          <w:rFonts w:ascii="Times New Roman" w:eastAsia="Calibri" w:hAnsi="Times New Roman" w:cs="Times New Roman"/>
        </w:rPr>
        <w:t xml:space="preserve"> </w:t>
      </w:r>
      <w:r>
        <w:rPr>
          <w:rFonts w:ascii="Times New Roman" w:eastAsia="Calibri" w:hAnsi="Times New Roman" w:cs="Times New Roman"/>
        </w:rPr>
        <w:t>institutionalized</w:t>
      </w:r>
      <w:r w:rsidR="000B116D" w:rsidRPr="000B116D">
        <w:rPr>
          <w:rFonts w:ascii="Times New Roman" w:eastAsia="Calibri" w:hAnsi="Times New Roman" w:cs="Times New Roman"/>
        </w:rPr>
        <w:t xml:space="preserve"> adolescents were in the inconsistently competent category. </w:t>
      </w:r>
    </w:p>
    <w:p w14:paraId="2F04FA76" w14:textId="746707AE" w:rsidR="000B116D" w:rsidRPr="000B116D" w:rsidRDefault="000B116D" w:rsidP="000B116D">
      <w:pPr>
        <w:spacing w:after="0" w:line="480" w:lineRule="auto"/>
        <w:rPr>
          <w:rFonts w:ascii="Times New Roman" w:eastAsia="Times New Roman" w:hAnsi="Times New Roman" w:cs="Times New Roman"/>
          <w:color w:val="000000"/>
        </w:rPr>
      </w:pPr>
      <w:r w:rsidRPr="000B116D">
        <w:rPr>
          <w:rFonts w:ascii="Times New Roman" w:eastAsia="Calibri" w:hAnsi="Times New Roman" w:cs="Times New Roman"/>
        </w:rPr>
        <w:tab/>
      </w:r>
      <w:r w:rsidR="00B67EEE">
        <w:rPr>
          <w:rFonts w:ascii="Times New Roman" w:eastAsia="Calibri" w:hAnsi="Times New Roman" w:cs="Times New Roman"/>
          <w:b/>
        </w:rPr>
        <w:t>Foster care group vs. care as usual group</w:t>
      </w:r>
      <w:r w:rsidRPr="000B116D">
        <w:rPr>
          <w:rFonts w:ascii="Times New Roman" w:eastAsia="Calibri" w:hAnsi="Times New Roman" w:cs="Times New Roman"/>
          <w:b/>
        </w:rPr>
        <w:t xml:space="preserve">. </w:t>
      </w:r>
      <w:r w:rsidRPr="000B116D">
        <w:rPr>
          <w:rFonts w:ascii="Times New Roman" w:eastAsia="Calibri" w:hAnsi="Times New Roman" w:cs="Times New Roman"/>
        </w:rPr>
        <w:t>Despite the fact that foster care group children were four times more likely than care as usual group children to be consistently competent from 8 to 16 years, the difference was not statistically significant (</w:t>
      </w:r>
      <w:r w:rsidRPr="000B116D">
        <w:rPr>
          <w:rFonts w:ascii="Times New Roman" w:eastAsia="Calibri" w:hAnsi="Times New Roman" w:cs="Times New Roman"/>
        </w:rPr>
        <w:sym w:font="Symbol" w:char="F063"/>
      </w:r>
      <w:r w:rsidRPr="000B116D">
        <w:rPr>
          <w:rFonts w:ascii="Times New Roman" w:eastAsia="Times New Roman" w:hAnsi="Times New Roman" w:cs="Times New Roman"/>
          <w:color w:val="000000"/>
          <w:vertAlign w:val="superscript"/>
        </w:rPr>
        <w:t>2</w:t>
      </w:r>
      <w:r w:rsidRPr="000B116D">
        <w:rPr>
          <w:rFonts w:ascii="Times New Roman" w:eastAsia="Times New Roman" w:hAnsi="Times New Roman" w:cs="Times New Roman"/>
          <w:color w:val="000000"/>
        </w:rPr>
        <w:t>[</w:t>
      </w:r>
      <w:proofErr w:type="gramStart"/>
      <w:r w:rsidRPr="000B116D">
        <w:rPr>
          <w:rFonts w:ascii="Times New Roman" w:eastAsia="Times New Roman" w:hAnsi="Times New Roman" w:cs="Times New Roman"/>
          <w:color w:val="000000"/>
        </w:rPr>
        <w:t>1]=</w:t>
      </w:r>
      <w:proofErr w:type="gramEnd"/>
      <w:r w:rsidRPr="000B116D">
        <w:rPr>
          <w:rFonts w:ascii="Times New Roman" w:eastAsia="Times New Roman" w:hAnsi="Times New Roman" w:cs="Times New Roman"/>
          <w:color w:val="000000"/>
        </w:rPr>
        <w:t xml:space="preserve">5.61, </w:t>
      </w:r>
      <w:r w:rsidRPr="000B116D">
        <w:rPr>
          <w:rFonts w:ascii="Times New Roman" w:eastAsia="Times New Roman" w:hAnsi="Times New Roman" w:cs="Times New Roman"/>
          <w:i/>
          <w:color w:val="000000"/>
        </w:rPr>
        <w:t>p</w:t>
      </w:r>
      <w:r w:rsidRPr="000B116D">
        <w:rPr>
          <w:rFonts w:ascii="Times New Roman" w:eastAsia="Times New Roman" w:hAnsi="Times New Roman" w:cs="Times New Roman"/>
          <w:color w:val="000000"/>
        </w:rPr>
        <w:t xml:space="preserve">=.061, </w:t>
      </w:r>
      <w:r w:rsidRPr="000B116D">
        <w:rPr>
          <w:rFonts w:ascii="Times New Roman" w:eastAsia="Times New Roman" w:hAnsi="Times New Roman" w:cs="Times New Roman"/>
          <w:i/>
          <w:color w:val="000000"/>
        </w:rPr>
        <w:t>V</w:t>
      </w:r>
      <w:r w:rsidRPr="000B116D">
        <w:rPr>
          <w:rFonts w:ascii="Times New Roman" w:eastAsia="Times New Roman" w:hAnsi="Times New Roman" w:cs="Times New Roman"/>
          <w:color w:val="000000"/>
        </w:rPr>
        <w:t xml:space="preserve">=.268). </w:t>
      </w:r>
      <w:r w:rsidRPr="000B116D">
        <w:rPr>
          <w:rFonts w:ascii="Times New Roman" w:eastAsia="Calibri" w:hAnsi="Times New Roman" w:cs="Times New Roman"/>
        </w:rPr>
        <w:t>From 8 to 16 years of age, 26% (</w:t>
      </w:r>
      <w:r w:rsidRPr="000B116D">
        <w:rPr>
          <w:rFonts w:ascii="Times New Roman" w:eastAsia="Calibri" w:hAnsi="Times New Roman" w:cs="Times New Roman"/>
          <w:i/>
        </w:rPr>
        <w:t>n</w:t>
      </w:r>
      <w:r w:rsidRPr="000B116D">
        <w:rPr>
          <w:rFonts w:ascii="Times New Roman" w:eastAsia="Calibri" w:hAnsi="Times New Roman" w:cs="Times New Roman"/>
        </w:rPr>
        <w:t>=11) of foster care group adolescents were consistently competent compared to only 6% (</w:t>
      </w:r>
      <w:r w:rsidRPr="000B116D">
        <w:rPr>
          <w:rFonts w:ascii="Times New Roman" w:eastAsia="Calibri" w:hAnsi="Times New Roman" w:cs="Times New Roman"/>
          <w:i/>
        </w:rPr>
        <w:t>n</w:t>
      </w:r>
      <w:r w:rsidRPr="000B116D">
        <w:rPr>
          <w:rFonts w:ascii="Times New Roman" w:eastAsia="Calibri" w:hAnsi="Times New Roman" w:cs="Times New Roman"/>
        </w:rPr>
        <w:t xml:space="preserve">=2) of care as usual group adolescents (see Figure </w:t>
      </w:r>
      <w:r w:rsidR="008669A4">
        <w:rPr>
          <w:rFonts w:ascii="Times New Roman" w:eastAsia="Calibri" w:hAnsi="Times New Roman" w:cs="Times New Roman"/>
        </w:rPr>
        <w:t>2 in this document</w:t>
      </w:r>
      <w:r w:rsidRPr="000B116D">
        <w:rPr>
          <w:rFonts w:ascii="Times New Roman" w:eastAsia="Calibri" w:hAnsi="Times New Roman" w:cs="Times New Roman"/>
        </w:rPr>
        <w:t>). Similar proportions of foster care group and care as usual group adolescents were never competent (21% [</w:t>
      </w:r>
      <w:r w:rsidRPr="000B116D">
        <w:rPr>
          <w:rFonts w:ascii="Times New Roman" w:eastAsia="Calibri" w:hAnsi="Times New Roman" w:cs="Times New Roman"/>
          <w:i/>
        </w:rPr>
        <w:t>n</w:t>
      </w:r>
      <w:r w:rsidRPr="000B116D">
        <w:rPr>
          <w:rFonts w:ascii="Times New Roman" w:eastAsia="Calibri" w:hAnsi="Times New Roman" w:cs="Times New Roman"/>
        </w:rPr>
        <w:t>=10] and 26% [</w:t>
      </w:r>
      <w:r w:rsidRPr="000B116D">
        <w:rPr>
          <w:rFonts w:ascii="Times New Roman" w:eastAsia="Calibri" w:hAnsi="Times New Roman" w:cs="Times New Roman"/>
          <w:i/>
        </w:rPr>
        <w:t>n</w:t>
      </w:r>
      <w:r w:rsidRPr="000B116D">
        <w:rPr>
          <w:rFonts w:ascii="Times New Roman" w:eastAsia="Calibri" w:hAnsi="Times New Roman" w:cs="Times New Roman"/>
        </w:rPr>
        <w:t>=9] respectively).</w:t>
      </w:r>
    </w:p>
    <w:p w14:paraId="6D09402E" w14:textId="36C62BD4" w:rsidR="000B116D" w:rsidRPr="000B116D" w:rsidRDefault="00B67EEE" w:rsidP="000B116D">
      <w:pPr>
        <w:spacing w:after="0" w:line="480" w:lineRule="auto"/>
        <w:ind w:firstLine="720"/>
        <w:rPr>
          <w:rFonts w:ascii="Times New Roman" w:eastAsia="Calibri" w:hAnsi="Times New Roman" w:cs="Times New Roman"/>
          <w:b/>
        </w:rPr>
      </w:pPr>
      <w:r>
        <w:rPr>
          <w:rFonts w:ascii="Times New Roman" w:eastAsia="Calibri" w:hAnsi="Times New Roman" w:cs="Times New Roman"/>
          <w:b/>
        </w:rPr>
        <w:t>Early vs. late placement into foster care</w:t>
      </w:r>
      <w:r w:rsidR="000B116D" w:rsidRPr="000B116D">
        <w:rPr>
          <w:rFonts w:ascii="Times New Roman" w:eastAsia="Calibri" w:hAnsi="Times New Roman" w:cs="Times New Roman"/>
          <w:b/>
        </w:rPr>
        <w:t xml:space="preserve">. </w:t>
      </w:r>
      <w:r w:rsidR="000B116D" w:rsidRPr="000B116D">
        <w:rPr>
          <w:rFonts w:ascii="Times New Roman" w:eastAsia="Calibri" w:hAnsi="Times New Roman" w:cs="Times New Roman"/>
        </w:rPr>
        <w:t>Despite differences in the proportion of early- compared to late-placed adolescents in the consistently and never competent categories, the association between early placement and longitudinal competence was not statistically significant (</w:t>
      </w:r>
      <w:r w:rsidR="000B116D" w:rsidRPr="000B116D">
        <w:rPr>
          <w:rFonts w:ascii="Times New Roman" w:eastAsia="Calibri" w:hAnsi="Times New Roman" w:cs="Times New Roman"/>
        </w:rPr>
        <w:sym w:font="Symbol" w:char="F063"/>
      </w:r>
      <w:r w:rsidR="000B116D" w:rsidRPr="000B116D">
        <w:rPr>
          <w:rFonts w:ascii="Times New Roman" w:eastAsia="Times New Roman" w:hAnsi="Times New Roman" w:cs="Times New Roman"/>
          <w:color w:val="000000"/>
          <w:vertAlign w:val="superscript"/>
        </w:rPr>
        <w:t>2</w:t>
      </w:r>
      <w:r w:rsidR="000B116D" w:rsidRPr="000B116D">
        <w:rPr>
          <w:rFonts w:ascii="Times New Roman" w:eastAsia="Times New Roman" w:hAnsi="Times New Roman" w:cs="Times New Roman"/>
          <w:color w:val="000000"/>
        </w:rPr>
        <w:t>[</w:t>
      </w:r>
      <w:proofErr w:type="gramStart"/>
      <w:r w:rsidR="000B116D" w:rsidRPr="000B116D">
        <w:rPr>
          <w:rFonts w:ascii="Times New Roman" w:eastAsia="Times New Roman" w:hAnsi="Times New Roman" w:cs="Times New Roman"/>
          <w:color w:val="000000"/>
        </w:rPr>
        <w:t>1]=</w:t>
      </w:r>
      <w:proofErr w:type="gramEnd"/>
      <w:r w:rsidR="000B116D" w:rsidRPr="000B116D">
        <w:rPr>
          <w:rFonts w:ascii="Times New Roman" w:eastAsia="Times New Roman" w:hAnsi="Times New Roman" w:cs="Times New Roman"/>
          <w:color w:val="000000"/>
        </w:rPr>
        <w:t xml:space="preserve">3.53, </w:t>
      </w:r>
      <w:r w:rsidR="000B116D" w:rsidRPr="000B116D">
        <w:rPr>
          <w:rFonts w:ascii="Times New Roman" w:eastAsia="Times New Roman" w:hAnsi="Times New Roman" w:cs="Times New Roman"/>
          <w:i/>
          <w:color w:val="000000"/>
        </w:rPr>
        <w:t>p</w:t>
      </w:r>
      <w:r w:rsidR="000B116D" w:rsidRPr="000B116D">
        <w:rPr>
          <w:rFonts w:ascii="Times New Roman" w:eastAsia="Times New Roman" w:hAnsi="Times New Roman" w:cs="Times New Roman"/>
          <w:color w:val="000000"/>
        </w:rPr>
        <w:t xml:space="preserve">=.171, </w:t>
      </w:r>
      <w:r w:rsidR="000B116D" w:rsidRPr="000B116D">
        <w:rPr>
          <w:rFonts w:ascii="Times New Roman" w:eastAsia="Times New Roman" w:hAnsi="Times New Roman" w:cs="Times New Roman"/>
          <w:i/>
          <w:color w:val="000000"/>
        </w:rPr>
        <w:t>V</w:t>
      </w:r>
      <w:r w:rsidR="000B116D" w:rsidRPr="000B116D">
        <w:rPr>
          <w:rFonts w:ascii="Times New Roman" w:eastAsia="Times New Roman" w:hAnsi="Times New Roman" w:cs="Times New Roman"/>
          <w:color w:val="000000"/>
        </w:rPr>
        <w:t xml:space="preserve">=.29). </w:t>
      </w:r>
      <w:r w:rsidR="000B116D" w:rsidRPr="000B116D">
        <w:rPr>
          <w:rFonts w:ascii="Times New Roman" w:eastAsia="Calibri" w:hAnsi="Times New Roman" w:cs="Times New Roman"/>
        </w:rPr>
        <w:t>Forty-six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=5) percent of adolescents placed prior to age 20 months were consistently competent compared to 19%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 xml:space="preserve">=6) of adolescents placed at or following 20 months of age (see Figure </w:t>
      </w:r>
      <w:r w:rsidR="008669A4">
        <w:rPr>
          <w:rFonts w:ascii="Times New Roman" w:eastAsia="Calibri" w:hAnsi="Times New Roman" w:cs="Times New Roman"/>
        </w:rPr>
        <w:t>3 in this document</w:t>
      </w:r>
      <w:r w:rsidR="000B116D" w:rsidRPr="000B116D">
        <w:rPr>
          <w:rFonts w:ascii="Times New Roman" w:eastAsia="Calibri" w:hAnsi="Times New Roman" w:cs="Times New Roman"/>
        </w:rPr>
        <w:t>). Only 1 (9%) early-placed adolescent was never competent compared to 29% (</w:t>
      </w:r>
      <w:r w:rsidR="000B116D" w:rsidRPr="000B116D">
        <w:rPr>
          <w:rFonts w:ascii="Times New Roman" w:eastAsia="Calibri" w:hAnsi="Times New Roman" w:cs="Times New Roman"/>
          <w:i/>
        </w:rPr>
        <w:t>n</w:t>
      </w:r>
      <w:r w:rsidR="000B116D" w:rsidRPr="000B116D">
        <w:rPr>
          <w:rFonts w:ascii="Times New Roman" w:eastAsia="Calibri" w:hAnsi="Times New Roman" w:cs="Times New Roman"/>
        </w:rPr>
        <w:t>=9) of late-placed adolescents.</w:t>
      </w:r>
    </w:p>
    <w:p w14:paraId="16F01136" w14:textId="72B80ED4" w:rsidR="000B116D" w:rsidRPr="000B116D" w:rsidRDefault="003B74B4" w:rsidP="000B116D">
      <w:pPr>
        <w:spacing w:after="0" w:line="480" w:lineRule="auto"/>
        <w:ind w:firstLine="720"/>
        <w:rPr>
          <w:rFonts w:ascii="Times New Roman" w:eastAsia="Calibri" w:hAnsi="Times New Roman" w:cs="Times New Roman"/>
          <w:b/>
        </w:rPr>
      </w:pPr>
      <w:r w:rsidRPr="003B74B4">
        <w:rPr>
          <w:rFonts w:ascii="Times New Roman" w:eastAsia="Calibri" w:hAnsi="Times New Roman" w:cs="Times New Roman"/>
          <w:b/>
          <w:bCs/>
        </w:rPr>
        <w:t>Stable vs. disrupted foster care placement.</w:t>
      </w:r>
      <w:r>
        <w:rPr>
          <w:rFonts w:ascii="Times New Roman" w:eastAsia="Calibri" w:hAnsi="Times New Roman" w:cs="Times New Roman"/>
        </w:rPr>
        <w:t xml:space="preserve"> </w:t>
      </w:r>
      <w:r w:rsidR="000B116D" w:rsidRPr="000B116D">
        <w:rPr>
          <w:rFonts w:ascii="Times New Roman" w:eastAsia="Calibri" w:hAnsi="Times New Roman" w:cs="Times New Roman"/>
        </w:rPr>
        <w:t>Prior to comparing competent functioning between the disrupted foster care and stable foster care groups at age 16 years, we compared these two groups at 54 months of age (prior to any disruptions) and found that there were no differences between those who remained stable and those who subsequently disrupted on measures of total psychiatric symptoms (</w:t>
      </w:r>
      <w:r w:rsidR="000B116D" w:rsidRPr="000B116D">
        <w:rPr>
          <w:rFonts w:ascii="Times New Roman" w:eastAsia="Calibri" w:hAnsi="Times New Roman" w:cs="Times New Roman"/>
          <w:i/>
        </w:rPr>
        <w:t>t</w:t>
      </w:r>
      <w:r w:rsidR="000B116D" w:rsidRPr="000B116D">
        <w:rPr>
          <w:rFonts w:ascii="Times New Roman" w:eastAsia="Calibri" w:hAnsi="Times New Roman" w:cs="Times New Roman"/>
        </w:rPr>
        <w:t xml:space="preserve">[47]=1.95, </w:t>
      </w:r>
      <w:r w:rsidR="000B116D" w:rsidRPr="000B116D">
        <w:rPr>
          <w:rFonts w:ascii="Times New Roman" w:eastAsia="Calibri" w:hAnsi="Times New Roman" w:cs="Times New Roman"/>
          <w:i/>
        </w:rPr>
        <w:t>p</w:t>
      </w:r>
      <w:r w:rsidR="000B116D" w:rsidRPr="000B116D">
        <w:rPr>
          <w:rFonts w:ascii="Times New Roman" w:eastAsia="Calibri" w:hAnsi="Times New Roman" w:cs="Times New Roman"/>
        </w:rPr>
        <w:t xml:space="preserve">=.058, </w:t>
      </w:r>
      <w:r w:rsidR="000B116D" w:rsidRPr="000B116D">
        <w:rPr>
          <w:rFonts w:ascii="Times New Roman" w:eastAsia="Calibri" w:hAnsi="Times New Roman" w:cs="Times New Roman"/>
          <w:i/>
        </w:rPr>
        <w:t>d</w:t>
      </w:r>
      <w:r w:rsidR="000B116D" w:rsidRPr="000B116D">
        <w:rPr>
          <w:rFonts w:ascii="Times New Roman" w:eastAsia="Calibri" w:hAnsi="Times New Roman" w:cs="Times New Roman"/>
        </w:rPr>
        <w:t>=0.59), cognitive ability (</w:t>
      </w:r>
      <w:r w:rsidR="000B116D" w:rsidRPr="000B116D">
        <w:rPr>
          <w:rFonts w:ascii="Times New Roman" w:eastAsia="Calibri" w:hAnsi="Times New Roman" w:cs="Times New Roman"/>
          <w:i/>
        </w:rPr>
        <w:t>t</w:t>
      </w:r>
      <w:r w:rsidR="000B116D" w:rsidRPr="000B116D">
        <w:rPr>
          <w:rFonts w:ascii="Times New Roman" w:eastAsia="Calibri" w:hAnsi="Times New Roman" w:cs="Times New Roman"/>
        </w:rPr>
        <w:t>[47]=-</w:t>
      </w:r>
      <w:r w:rsidR="000B116D" w:rsidRPr="000B116D">
        <w:rPr>
          <w:rFonts w:ascii="Times New Roman" w:eastAsia="Calibri" w:hAnsi="Times New Roman" w:cs="Times New Roman"/>
        </w:rPr>
        <w:lastRenderedPageBreak/>
        <w:t xml:space="preserve">0.82, </w:t>
      </w:r>
      <w:r w:rsidR="000B116D" w:rsidRPr="000B116D">
        <w:rPr>
          <w:rFonts w:ascii="Times New Roman" w:eastAsia="Calibri" w:hAnsi="Times New Roman" w:cs="Times New Roman"/>
          <w:i/>
        </w:rPr>
        <w:t>p</w:t>
      </w:r>
      <w:r w:rsidR="000B116D" w:rsidRPr="000B116D">
        <w:rPr>
          <w:rFonts w:ascii="Times New Roman" w:eastAsia="Calibri" w:hAnsi="Times New Roman" w:cs="Times New Roman"/>
        </w:rPr>
        <w:t xml:space="preserve">=.414, </w:t>
      </w:r>
      <w:r w:rsidR="000B116D" w:rsidRPr="000B116D">
        <w:rPr>
          <w:rFonts w:ascii="Times New Roman" w:eastAsia="Calibri" w:hAnsi="Times New Roman" w:cs="Times New Roman"/>
          <w:i/>
        </w:rPr>
        <w:t>d</w:t>
      </w:r>
      <w:r w:rsidR="000B116D" w:rsidRPr="000B116D">
        <w:rPr>
          <w:rFonts w:ascii="Times New Roman" w:eastAsia="Calibri" w:hAnsi="Times New Roman" w:cs="Times New Roman"/>
        </w:rPr>
        <w:t>=0.25), or percent time in institutional care through age 54 months (</w:t>
      </w:r>
      <w:r w:rsidR="000B116D" w:rsidRPr="000B116D">
        <w:rPr>
          <w:rFonts w:ascii="Times New Roman" w:eastAsia="Calibri" w:hAnsi="Times New Roman" w:cs="Times New Roman"/>
          <w:i/>
        </w:rPr>
        <w:t>t</w:t>
      </w:r>
      <w:r w:rsidR="000B116D" w:rsidRPr="000B116D">
        <w:rPr>
          <w:rFonts w:ascii="Times New Roman" w:eastAsia="Calibri" w:hAnsi="Times New Roman" w:cs="Times New Roman"/>
        </w:rPr>
        <w:t xml:space="preserve">[51]=-0.51, </w:t>
      </w:r>
      <w:r w:rsidR="000B116D" w:rsidRPr="000B116D">
        <w:rPr>
          <w:rFonts w:ascii="Times New Roman" w:eastAsia="Calibri" w:hAnsi="Times New Roman" w:cs="Times New Roman"/>
          <w:i/>
        </w:rPr>
        <w:t>p</w:t>
      </w:r>
      <w:r w:rsidR="000B116D" w:rsidRPr="000B116D">
        <w:rPr>
          <w:rFonts w:ascii="Times New Roman" w:eastAsia="Calibri" w:hAnsi="Times New Roman" w:cs="Times New Roman"/>
        </w:rPr>
        <w:t xml:space="preserve">=.610, </w:t>
      </w:r>
      <w:r w:rsidR="000B116D" w:rsidRPr="000B116D">
        <w:rPr>
          <w:rFonts w:ascii="Times New Roman" w:eastAsia="Calibri" w:hAnsi="Times New Roman" w:cs="Times New Roman"/>
          <w:i/>
        </w:rPr>
        <w:t>d</w:t>
      </w:r>
      <w:r w:rsidR="000B116D" w:rsidRPr="000B116D">
        <w:rPr>
          <w:rFonts w:ascii="Times New Roman" w:eastAsia="Calibri" w:hAnsi="Times New Roman" w:cs="Times New Roman"/>
        </w:rPr>
        <w:t>=0.15).</w:t>
      </w:r>
    </w:p>
    <w:p w14:paraId="12D0F8B2" w14:textId="655D6B25" w:rsidR="000B116D" w:rsidRPr="000B116D" w:rsidRDefault="000B116D" w:rsidP="000B116D">
      <w:pPr>
        <w:spacing w:after="0" w:line="480" w:lineRule="auto"/>
        <w:ind w:firstLine="720"/>
        <w:rPr>
          <w:rFonts w:ascii="Times New Roman" w:eastAsia="Calibri" w:hAnsi="Times New Roman" w:cs="Times New Roman"/>
        </w:rPr>
      </w:pPr>
      <w:r w:rsidRPr="000B116D">
        <w:rPr>
          <w:rFonts w:ascii="Times New Roman" w:eastAsia="Times New Roman" w:hAnsi="Times New Roman" w:cs="Times New Roman"/>
          <w:color w:val="000000"/>
        </w:rPr>
        <w:t>Across middle childhood and adolescence, the</w:t>
      </w:r>
      <w:r w:rsidRPr="000B116D">
        <w:rPr>
          <w:rFonts w:ascii="Times New Roman" w:eastAsia="Calibri" w:hAnsi="Times New Roman" w:cs="Times New Roman"/>
        </w:rPr>
        <w:t xml:space="preserve"> largest difference was in the proportion of adolescents who were never competent (see Figure </w:t>
      </w:r>
      <w:r w:rsidR="008669A4">
        <w:rPr>
          <w:rFonts w:ascii="Times New Roman" w:eastAsia="Calibri" w:hAnsi="Times New Roman" w:cs="Times New Roman"/>
        </w:rPr>
        <w:t>4 in this document</w:t>
      </w:r>
      <w:r w:rsidRPr="000B116D">
        <w:rPr>
          <w:rFonts w:ascii="Times New Roman" w:eastAsia="Calibri" w:hAnsi="Times New Roman" w:cs="Times New Roman"/>
        </w:rPr>
        <w:t>). O</w:t>
      </w:r>
      <w:r w:rsidRPr="000B116D">
        <w:rPr>
          <w:rFonts w:ascii="Times New Roman" w:eastAsia="Times New Roman" w:hAnsi="Times New Roman" w:cs="Times New Roman"/>
          <w:color w:val="000000"/>
        </w:rPr>
        <w:t>nly 11% (</w:t>
      </w:r>
      <w:r w:rsidRPr="000B116D">
        <w:rPr>
          <w:rFonts w:ascii="Times New Roman" w:eastAsia="Times New Roman" w:hAnsi="Times New Roman" w:cs="Times New Roman"/>
          <w:i/>
          <w:color w:val="000000"/>
        </w:rPr>
        <w:t>n</w:t>
      </w:r>
      <w:r w:rsidRPr="000B116D">
        <w:rPr>
          <w:rFonts w:ascii="Times New Roman" w:eastAsia="Times New Roman" w:hAnsi="Times New Roman" w:cs="Times New Roman"/>
          <w:color w:val="000000"/>
        </w:rPr>
        <w:t>=2) of stable foster care adolescents were never competent compared to 33% (</w:t>
      </w:r>
      <w:r w:rsidRPr="000B116D">
        <w:rPr>
          <w:rFonts w:ascii="Times New Roman" w:eastAsia="Times New Roman" w:hAnsi="Times New Roman" w:cs="Times New Roman"/>
          <w:i/>
          <w:color w:val="000000"/>
        </w:rPr>
        <w:t>n</w:t>
      </w:r>
      <w:r w:rsidRPr="000B116D">
        <w:rPr>
          <w:rFonts w:ascii="Times New Roman" w:eastAsia="Times New Roman" w:hAnsi="Times New Roman" w:cs="Times New Roman"/>
          <w:color w:val="000000"/>
        </w:rPr>
        <w:t xml:space="preserve">=8) of disrupted foster care adolescents. </w:t>
      </w:r>
      <w:r w:rsidRPr="000B116D">
        <w:rPr>
          <w:rFonts w:ascii="Times New Roman" w:eastAsia="Calibri" w:hAnsi="Times New Roman" w:cs="Times New Roman"/>
        </w:rPr>
        <w:t>However, the association between longitudinal competence category and foster care stability was not statistically significant (</w:t>
      </w:r>
      <w:r w:rsidRPr="000B116D">
        <w:rPr>
          <w:rFonts w:ascii="Times New Roman" w:eastAsia="Calibri" w:hAnsi="Times New Roman" w:cs="Times New Roman"/>
        </w:rPr>
        <w:sym w:font="Symbol" w:char="F063"/>
      </w:r>
      <w:r w:rsidRPr="000B116D">
        <w:rPr>
          <w:rFonts w:ascii="Times New Roman" w:eastAsia="Times New Roman" w:hAnsi="Times New Roman" w:cs="Times New Roman"/>
          <w:color w:val="000000"/>
          <w:vertAlign w:val="superscript"/>
        </w:rPr>
        <w:t>2</w:t>
      </w:r>
      <w:r w:rsidRPr="000B116D">
        <w:rPr>
          <w:rFonts w:ascii="Times New Roman" w:eastAsia="Times New Roman" w:hAnsi="Times New Roman" w:cs="Times New Roman"/>
          <w:color w:val="000000"/>
        </w:rPr>
        <w:t>[</w:t>
      </w:r>
      <w:proofErr w:type="gramStart"/>
      <w:r w:rsidRPr="000B116D">
        <w:rPr>
          <w:rFonts w:ascii="Times New Roman" w:eastAsia="Times New Roman" w:hAnsi="Times New Roman" w:cs="Times New Roman"/>
          <w:color w:val="000000"/>
        </w:rPr>
        <w:t>1]=</w:t>
      </w:r>
      <w:proofErr w:type="gramEnd"/>
      <w:r w:rsidRPr="000B116D">
        <w:rPr>
          <w:rFonts w:ascii="Times New Roman" w:eastAsia="Times New Roman" w:hAnsi="Times New Roman" w:cs="Times New Roman"/>
          <w:color w:val="000000"/>
        </w:rPr>
        <w:t xml:space="preserve">2.94, </w:t>
      </w:r>
      <w:r w:rsidRPr="000B116D">
        <w:rPr>
          <w:rFonts w:ascii="Times New Roman" w:eastAsia="Times New Roman" w:hAnsi="Times New Roman" w:cs="Times New Roman"/>
          <w:i/>
          <w:color w:val="000000"/>
        </w:rPr>
        <w:t>p</w:t>
      </w:r>
      <w:r w:rsidRPr="000B116D">
        <w:rPr>
          <w:rFonts w:ascii="Times New Roman" w:eastAsia="Times New Roman" w:hAnsi="Times New Roman" w:cs="Times New Roman"/>
          <w:color w:val="000000"/>
        </w:rPr>
        <w:t xml:space="preserve">=.230, </w:t>
      </w:r>
      <w:r w:rsidRPr="000B116D">
        <w:rPr>
          <w:rFonts w:ascii="Times New Roman" w:eastAsia="Times New Roman" w:hAnsi="Times New Roman" w:cs="Times New Roman"/>
          <w:i/>
          <w:color w:val="000000"/>
        </w:rPr>
        <w:t>V</w:t>
      </w:r>
      <w:r w:rsidRPr="000B116D">
        <w:rPr>
          <w:rFonts w:ascii="Times New Roman" w:eastAsia="Times New Roman" w:hAnsi="Times New Roman" w:cs="Times New Roman"/>
          <w:color w:val="000000"/>
        </w:rPr>
        <w:t xml:space="preserve">=.265). </w:t>
      </w:r>
    </w:p>
    <w:p w14:paraId="75E1815A" w14:textId="2003399E" w:rsidR="000B116D" w:rsidRPr="000B116D" w:rsidRDefault="003B74B4" w:rsidP="000B116D">
      <w:pPr>
        <w:spacing w:after="0" w:line="480" w:lineRule="auto"/>
        <w:ind w:firstLine="720"/>
        <w:rPr>
          <w:rFonts w:ascii="Times New Roman" w:eastAsia="Times New Roman" w:hAnsi="Times New Roman" w:cs="Times New Roman"/>
          <w:color w:val="000000"/>
        </w:rPr>
      </w:pPr>
      <w:r>
        <w:rPr>
          <w:rFonts w:ascii="Times New Roman" w:eastAsia="Calibri" w:hAnsi="Times New Roman" w:cs="Times New Roman"/>
          <w:b/>
        </w:rPr>
        <w:t>Associations between competence and caregiving quality</w:t>
      </w:r>
      <w:r w:rsidR="000B116D" w:rsidRPr="000B116D">
        <w:rPr>
          <w:rFonts w:ascii="Times New Roman" w:eastAsia="Calibri" w:hAnsi="Times New Roman" w:cs="Times New Roman"/>
          <w:b/>
        </w:rPr>
        <w:t xml:space="preserve">. </w:t>
      </w:r>
      <w:r w:rsidR="000B116D" w:rsidRPr="000B116D">
        <w:rPr>
          <w:rFonts w:ascii="Times New Roman" w:eastAsia="Times New Roman" w:hAnsi="Times New Roman" w:cs="Times New Roman"/>
          <w:color w:val="000000"/>
        </w:rPr>
        <w:t xml:space="preserve">Among EIG adolescents, associations were explored between the longitudinal competence categories and </w:t>
      </w:r>
      <w:r>
        <w:rPr>
          <w:rFonts w:ascii="Times New Roman" w:eastAsia="Times New Roman" w:hAnsi="Times New Roman" w:cs="Times New Roman"/>
          <w:color w:val="000000"/>
        </w:rPr>
        <w:t>caregiver</w:t>
      </w:r>
      <w:r w:rsidR="000B116D" w:rsidRPr="000B116D">
        <w:rPr>
          <w:rFonts w:ascii="Times New Roman" w:eastAsia="Times New Roman" w:hAnsi="Times New Roman" w:cs="Times New Roman"/>
          <w:color w:val="000000"/>
        </w:rPr>
        <w:t xml:space="preserve"> quality at age 42 months, percent time in institutional care through age 54 months, and placement disruptions through age 54 months.</w:t>
      </w:r>
    </w:p>
    <w:p w14:paraId="672C5ED7" w14:textId="4D738FB8" w:rsidR="000B116D" w:rsidRPr="000B116D" w:rsidRDefault="000B116D" w:rsidP="000B116D">
      <w:pPr>
        <w:spacing w:after="0" w:line="480" w:lineRule="auto"/>
        <w:ind w:firstLine="720"/>
        <w:rPr>
          <w:rFonts w:ascii="Times New Roman" w:eastAsia="Calibri" w:hAnsi="Times New Roman" w:cs="Times New Roman"/>
        </w:rPr>
      </w:pPr>
      <w:r w:rsidRPr="000B116D">
        <w:rPr>
          <w:rFonts w:ascii="Times New Roman" w:eastAsia="Calibri" w:hAnsi="Times New Roman" w:cs="Times New Roman"/>
        </w:rPr>
        <w:t>Quality of caregiving behavior at 42 months significantly differed across longitudinal competence categories (</w:t>
      </w:r>
      <w:proofErr w:type="gramStart"/>
      <w:r w:rsidRPr="000B116D">
        <w:rPr>
          <w:rFonts w:ascii="Times New Roman" w:eastAsia="Calibri" w:hAnsi="Times New Roman" w:cs="Times New Roman"/>
          <w:i/>
        </w:rPr>
        <w:t>F</w:t>
      </w:r>
      <w:r w:rsidRPr="000B116D">
        <w:rPr>
          <w:rFonts w:ascii="Times New Roman" w:eastAsia="Calibri" w:hAnsi="Times New Roman" w:cs="Times New Roman"/>
        </w:rPr>
        <w:t>[</w:t>
      </w:r>
      <w:proofErr w:type="gramEnd"/>
      <w:r w:rsidRPr="000B116D">
        <w:rPr>
          <w:rFonts w:ascii="Times New Roman" w:eastAsia="Calibri" w:hAnsi="Times New Roman" w:cs="Times New Roman"/>
        </w:rPr>
        <w:t xml:space="preserve">2,71]=4.70, </w:t>
      </w:r>
      <w:r w:rsidRPr="000B116D">
        <w:rPr>
          <w:rFonts w:ascii="Times New Roman" w:eastAsia="Calibri" w:hAnsi="Times New Roman" w:cs="Times New Roman"/>
          <w:i/>
        </w:rPr>
        <w:t>p</w:t>
      </w:r>
      <w:r w:rsidRPr="000B116D">
        <w:rPr>
          <w:rFonts w:ascii="Times New Roman" w:eastAsia="Calibri" w:hAnsi="Times New Roman" w:cs="Times New Roman"/>
        </w:rPr>
        <w:t xml:space="preserve">=.012, partial </w:t>
      </w:r>
      <w:r w:rsidRPr="000B116D">
        <w:rPr>
          <w:rFonts w:ascii="Times New Roman" w:eastAsia="Calibri" w:hAnsi="Times New Roman" w:cs="Times New Roman"/>
          <w:i/>
        </w:rPr>
        <w:t>η</w:t>
      </w:r>
      <w:r w:rsidRPr="000B116D">
        <w:rPr>
          <w:rFonts w:ascii="Times New Roman" w:eastAsia="Calibri" w:hAnsi="Times New Roman" w:cs="Times New Roman"/>
          <w:vertAlign w:val="superscript"/>
        </w:rPr>
        <w:t>2</w:t>
      </w:r>
      <w:r w:rsidRPr="000B116D">
        <w:rPr>
          <w:rFonts w:ascii="Times New Roman" w:eastAsia="Calibri" w:hAnsi="Times New Roman" w:cs="Times New Roman"/>
        </w:rPr>
        <w:t xml:space="preserve">=.117). Specifically, adolescents in the consistently competent category experienced significantly better quality of early caregiving compared to adolescents in the inconsistently competent and never competent categories (see Table </w:t>
      </w:r>
      <w:r w:rsidR="008669A4">
        <w:rPr>
          <w:rFonts w:ascii="Times New Roman" w:eastAsia="Calibri" w:hAnsi="Times New Roman" w:cs="Times New Roman"/>
        </w:rPr>
        <w:t>1 in this document</w:t>
      </w:r>
      <w:r w:rsidRPr="000B116D">
        <w:rPr>
          <w:rFonts w:ascii="Times New Roman" w:eastAsia="Calibri" w:hAnsi="Times New Roman" w:cs="Times New Roman"/>
        </w:rPr>
        <w:t>). Percent time spent in institutional care through age 54 months also differed significantly across categories (</w:t>
      </w:r>
      <w:proofErr w:type="gramStart"/>
      <w:r w:rsidRPr="000B116D">
        <w:rPr>
          <w:rFonts w:ascii="Times New Roman" w:eastAsia="Calibri" w:hAnsi="Times New Roman" w:cs="Times New Roman"/>
          <w:i/>
        </w:rPr>
        <w:t>F</w:t>
      </w:r>
      <w:r w:rsidRPr="000B116D">
        <w:rPr>
          <w:rFonts w:ascii="Times New Roman" w:eastAsia="Calibri" w:hAnsi="Times New Roman" w:cs="Times New Roman"/>
        </w:rPr>
        <w:t>[</w:t>
      </w:r>
      <w:proofErr w:type="gramEnd"/>
      <w:r w:rsidRPr="000B116D">
        <w:rPr>
          <w:rFonts w:ascii="Times New Roman" w:eastAsia="Calibri" w:hAnsi="Times New Roman" w:cs="Times New Roman"/>
        </w:rPr>
        <w:t xml:space="preserve">2,70]=5.95, </w:t>
      </w:r>
      <w:r w:rsidRPr="000B116D">
        <w:rPr>
          <w:rFonts w:ascii="Times New Roman" w:eastAsia="Calibri" w:hAnsi="Times New Roman" w:cs="Times New Roman"/>
          <w:i/>
        </w:rPr>
        <w:t>p</w:t>
      </w:r>
      <w:r w:rsidRPr="000B116D">
        <w:rPr>
          <w:rFonts w:ascii="Times New Roman" w:eastAsia="Calibri" w:hAnsi="Times New Roman" w:cs="Times New Roman"/>
        </w:rPr>
        <w:t xml:space="preserve">=.004, partial </w:t>
      </w:r>
      <w:r w:rsidRPr="000B116D">
        <w:rPr>
          <w:rFonts w:ascii="Times New Roman" w:eastAsia="Calibri" w:hAnsi="Times New Roman" w:cs="Times New Roman"/>
          <w:i/>
        </w:rPr>
        <w:t>η</w:t>
      </w:r>
      <w:r w:rsidRPr="000B116D">
        <w:rPr>
          <w:rFonts w:ascii="Times New Roman" w:eastAsia="Calibri" w:hAnsi="Times New Roman" w:cs="Times New Roman"/>
          <w:vertAlign w:val="superscript"/>
        </w:rPr>
        <w:t>2</w:t>
      </w:r>
      <w:r w:rsidRPr="000B116D">
        <w:rPr>
          <w:rFonts w:ascii="Times New Roman" w:eastAsia="Calibri" w:hAnsi="Times New Roman" w:cs="Times New Roman"/>
        </w:rPr>
        <w:t>=.145). Adolescents in the consistently competent category experienced less time in institutional care early in life compared to adolescents in the inconsistently competent and never competent categories (see Table 2). The number of placement disruptions through age 54 months did not differ by longitudinal competence category (</w:t>
      </w:r>
      <w:proofErr w:type="gramStart"/>
      <w:r w:rsidRPr="000B116D">
        <w:rPr>
          <w:rFonts w:ascii="Times New Roman" w:eastAsia="Calibri" w:hAnsi="Times New Roman" w:cs="Times New Roman"/>
          <w:i/>
        </w:rPr>
        <w:t>F</w:t>
      </w:r>
      <w:r w:rsidRPr="000B116D">
        <w:rPr>
          <w:rFonts w:ascii="Times New Roman" w:eastAsia="Calibri" w:hAnsi="Times New Roman" w:cs="Times New Roman"/>
        </w:rPr>
        <w:t>[</w:t>
      </w:r>
      <w:proofErr w:type="gramEnd"/>
      <w:r w:rsidRPr="000B116D">
        <w:rPr>
          <w:rFonts w:ascii="Times New Roman" w:eastAsia="Calibri" w:hAnsi="Times New Roman" w:cs="Times New Roman"/>
        </w:rPr>
        <w:t xml:space="preserve">2,70]=0.50, </w:t>
      </w:r>
      <w:r w:rsidRPr="000B116D">
        <w:rPr>
          <w:rFonts w:ascii="Times New Roman" w:eastAsia="Calibri" w:hAnsi="Times New Roman" w:cs="Times New Roman"/>
          <w:i/>
        </w:rPr>
        <w:t>p</w:t>
      </w:r>
      <w:r w:rsidRPr="000B116D">
        <w:rPr>
          <w:rFonts w:ascii="Times New Roman" w:eastAsia="Calibri" w:hAnsi="Times New Roman" w:cs="Times New Roman"/>
        </w:rPr>
        <w:t xml:space="preserve">=.610, partial </w:t>
      </w:r>
      <w:r w:rsidRPr="000B116D">
        <w:rPr>
          <w:rFonts w:ascii="Times New Roman" w:eastAsia="Calibri" w:hAnsi="Times New Roman" w:cs="Times New Roman"/>
          <w:i/>
        </w:rPr>
        <w:t>η</w:t>
      </w:r>
      <w:r w:rsidRPr="000B116D">
        <w:rPr>
          <w:rFonts w:ascii="Times New Roman" w:eastAsia="Calibri" w:hAnsi="Times New Roman" w:cs="Times New Roman"/>
          <w:vertAlign w:val="superscript"/>
        </w:rPr>
        <w:t>2</w:t>
      </w:r>
      <w:r w:rsidRPr="000B116D">
        <w:rPr>
          <w:rFonts w:ascii="Times New Roman" w:eastAsia="Calibri" w:hAnsi="Times New Roman" w:cs="Times New Roman"/>
        </w:rPr>
        <w:t>=.014).</w:t>
      </w:r>
    </w:p>
    <w:p w14:paraId="03541835" w14:textId="77777777" w:rsidR="000B116D" w:rsidRDefault="000B116D">
      <w:pPr>
        <w:sectPr w:rsidR="000B116D" w:rsidSect="00947D81">
          <w:headerReference w:type="default" r:id="rId6"/>
          <w:pgSz w:w="12240" w:h="15840"/>
          <w:pgMar w:top="1440" w:right="1440" w:bottom="1440" w:left="1440" w:header="720" w:footer="720" w:gutter="0"/>
          <w:cols w:space="720"/>
          <w:docGrid w:linePitch="360"/>
        </w:sectPr>
      </w:pPr>
    </w:p>
    <w:tbl>
      <w:tblPr>
        <w:tblpPr w:leftFromText="180" w:rightFromText="180" w:vertAnchor="text" w:horzAnchor="margin" w:tblpY="361"/>
        <w:tblW w:w="14144" w:type="dxa"/>
        <w:tblLook w:val="04A0" w:firstRow="1" w:lastRow="0" w:firstColumn="1" w:lastColumn="0" w:noHBand="0" w:noVBand="1"/>
      </w:tblPr>
      <w:tblGrid>
        <w:gridCol w:w="4561"/>
        <w:gridCol w:w="1389"/>
        <w:gridCol w:w="489"/>
        <w:gridCol w:w="1400"/>
        <w:gridCol w:w="269"/>
        <w:gridCol w:w="1349"/>
        <w:gridCol w:w="1171"/>
        <w:gridCol w:w="914"/>
        <w:gridCol w:w="1052"/>
        <w:gridCol w:w="1550"/>
      </w:tblGrid>
      <w:tr w:rsidR="000B116D" w:rsidRPr="000B116D" w14:paraId="1A8D5875" w14:textId="77777777" w:rsidTr="00816F72">
        <w:trPr>
          <w:trHeight w:val="288"/>
        </w:trPr>
        <w:tc>
          <w:tcPr>
            <w:tcW w:w="5000" w:type="pct"/>
            <w:gridSpan w:val="10"/>
            <w:tcBorders>
              <w:top w:val="nil"/>
              <w:left w:val="nil"/>
              <w:bottom w:val="nil"/>
              <w:right w:val="nil"/>
            </w:tcBorders>
            <w:shd w:val="clear" w:color="auto" w:fill="auto"/>
            <w:noWrap/>
            <w:vAlign w:val="center"/>
            <w:hideMark/>
          </w:tcPr>
          <w:p w14:paraId="74F949B3" w14:textId="71A9088F"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lastRenderedPageBreak/>
              <w:t xml:space="preserve">Table </w:t>
            </w:r>
            <w:r w:rsidR="008669A4">
              <w:rPr>
                <w:rFonts w:ascii="Times New Roman" w:eastAsia="Times New Roman" w:hAnsi="Times New Roman" w:cs="Times New Roman"/>
                <w:color w:val="000000"/>
                <w:sz w:val="20"/>
                <w:szCs w:val="22"/>
              </w:rPr>
              <w:t>1</w:t>
            </w:r>
          </w:p>
        </w:tc>
      </w:tr>
      <w:tr w:rsidR="000B116D" w:rsidRPr="000B116D" w14:paraId="4ED05F9C" w14:textId="77777777" w:rsidTr="00816F72">
        <w:trPr>
          <w:trHeight w:val="300"/>
        </w:trPr>
        <w:tc>
          <w:tcPr>
            <w:tcW w:w="5000" w:type="pct"/>
            <w:gridSpan w:val="10"/>
            <w:tcBorders>
              <w:top w:val="nil"/>
              <w:left w:val="nil"/>
              <w:bottom w:val="single" w:sz="8" w:space="0" w:color="auto"/>
              <w:right w:val="nil"/>
            </w:tcBorders>
            <w:shd w:val="clear" w:color="auto" w:fill="auto"/>
            <w:noWrap/>
            <w:vAlign w:val="center"/>
            <w:hideMark/>
          </w:tcPr>
          <w:p w14:paraId="3B8740DE" w14:textId="77777777" w:rsidR="000B116D" w:rsidRPr="000B116D" w:rsidRDefault="000B116D" w:rsidP="000B116D">
            <w:pPr>
              <w:spacing w:after="0" w:line="480" w:lineRule="auto"/>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Comparisons between Consistently Competent, Inconsistently Competent, and Never Competent</w:t>
            </w:r>
          </w:p>
        </w:tc>
      </w:tr>
      <w:tr w:rsidR="000B116D" w:rsidRPr="000B116D" w14:paraId="60E6A558" w14:textId="77777777" w:rsidTr="00816F72">
        <w:trPr>
          <w:trHeight w:val="552"/>
        </w:trPr>
        <w:tc>
          <w:tcPr>
            <w:tcW w:w="1612" w:type="pct"/>
            <w:tcBorders>
              <w:top w:val="nil"/>
              <w:left w:val="nil"/>
              <w:bottom w:val="nil"/>
              <w:right w:val="nil"/>
            </w:tcBorders>
            <w:shd w:val="clear" w:color="auto" w:fill="auto"/>
            <w:noWrap/>
            <w:vAlign w:val="center"/>
            <w:hideMark/>
          </w:tcPr>
          <w:p w14:paraId="2AF0D125"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91" w:type="pct"/>
            <w:tcBorders>
              <w:top w:val="nil"/>
              <w:left w:val="nil"/>
              <w:bottom w:val="single" w:sz="4" w:space="0" w:color="auto"/>
              <w:right w:val="nil"/>
            </w:tcBorders>
            <w:shd w:val="clear" w:color="auto" w:fill="auto"/>
            <w:vAlign w:val="center"/>
            <w:hideMark/>
          </w:tcPr>
          <w:p w14:paraId="73943A60"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Consistently competent (</w:t>
            </w:r>
            <w:r w:rsidRPr="000B116D">
              <w:rPr>
                <w:rFonts w:ascii="Times New Roman" w:eastAsia="Times New Roman" w:hAnsi="Times New Roman" w:cs="Times New Roman"/>
                <w:i/>
                <w:iCs/>
                <w:color w:val="000000"/>
                <w:sz w:val="20"/>
                <w:szCs w:val="22"/>
              </w:rPr>
              <w:t>n</w:t>
            </w:r>
            <w:r w:rsidRPr="000B116D">
              <w:rPr>
                <w:rFonts w:ascii="Times New Roman" w:eastAsia="Times New Roman" w:hAnsi="Times New Roman" w:cs="Times New Roman"/>
                <w:color w:val="000000"/>
                <w:sz w:val="20"/>
                <w:szCs w:val="22"/>
              </w:rPr>
              <w:t>=13)</w:t>
            </w:r>
          </w:p>
        </w:tc>
        <w:tc>
          <w:tcPr>
            <w:tcW w:w="173" w:type="pct"/>
            <w:tcBorders>
              <w:top w:val="nil"/>
              <w:left w:val="nil"/>
              <w:bottom w:val="nil"/>
              <w:right w:val="nil"/>
            </w:tcBorders>
            <w:shd w:val="clear" w:color="auto" w:fill="auto"/>
            <w:vAlign w:val="center"/>
            <w:hideMark/>
          </w:tcPr>
          <w:p w14:paraId="18906F1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95" w:type="pct"/>
            <w:tcBorders>
              <w:top w:val="nil"/>
              <w:left w:val="nil"/>
              <w:bottom w:val="single" w:sz="4" w:space="0" w:color="auto"/>
              <w:right w:val="nil"/>
            </w:tcBorders>
            <w:shd w:val="clear" w:color="auto" w:fill="auto"/>
            <w:vAlign w:val="center"/>
            <w:hideMark/>
          </w:tcPr>
          <w:p w14:paraId="78025C5B"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Inconsistently competent (</w:t>
            </w:r>
            <w:r w:rsidRPr="000B116D">
              <w:rPr>
                <w:rFonts w:ascii="Times New Roman" w:eastAsia="Times New Roman" w:hAnsi="Times New Roman" w:cs="Times New Roman"/>
                <w:i/>
                <w:iCs/>
                <w:color w:val="000000"/>
                <w:sz w:val="20"/>
                <w:szCs w:val="22"/>
              </w:rPr>
              <w:t>n</w:t>
            </w:r>
            <w:r w:rsidRPr="000B116D">
              <w:rPr>
                <w:rFonts w:ascii="Times New Roman" w:eastAsia="Times New Roman" w:hAnsi="Times New Roman" w:cs="Times New Roman"/>
                <w:color w:val="000000"/>
                <w:sz w:val="20"/>
                <w:szCs w:val="22"/>
              </w:rPr>
              <w:t>=46)</w:t>
            </w:r>
          </w:p>
        </w:tc>
        <w:tc>
          <w:tcPr>
            <w:tcW w:w="95" w:type="pct"/>
            <w:tcBorders>
              <w:top w:val="nil"/>
              <w:left w:val="nil"/>
              <w:bottom w:val="nil"/>
              <w:right w:val="nil"/>
            </w:tcBorders>
            <w:shd w:val="clear" w:color="auto" w:fill="auto"/>
            <w:vAlign w:val="center"/>
            <w:hideMark/>
          </w:tcPr>
          <w:p w14:paraId="0D9E0633"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77" w:type="pct"/>
            <w:tcBorders>
              <w:top w:val="nil"/>
              <w:left w:val="nil"/>
              <w:bottom w:val="single" w:sz="4" w:space="0" w:color="auto"/>
              <w:right w:val="nil"/>
            </w:tcBorders>
            <w:shd w:val="clear" w:color="auto" w:fill="auto"/>
            <w:vAlign w:val="center"/>
            <w:hideMark/>
          </w:tcPr>
          <w:p w14:paraId="02607ED0"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Never competent (</w:t>
            </w:r>
            <w:r w:rsidRPr="000B116D">
              <w:rPr>
                <w:rFonts w:ascii="Times New Roman" w:eastAsia="Times New Roman" w:hAnsi="Times New Roman" w:cs="Times New Roman"/>
                <w:i/>
                <w:iCs/>
                <w:color w:val="000000"/>
                <w:sz w:val="20"/>
                <w:szCs w:val="22"/>
              </w:rPr>
              <w:t>n</w:t>
            </w:r>
            <w:r w:rsidRPr="000B116D">
              <w:rPr>
                <w:rFonts w:ascii="Times New Roman" w:eastAsia="Times New Roman" w:hAnsi="Times New Roman" w:cs="Times New Roman"/>
                <w:color w:val="000000"/>
                <w:sz w:val="20"/>
                <w:szCs w:val="22"/>
              </w:rPr>
              <w:t>=19)</w:t>
            </w:r>
          </w:p>
        </w:tc>
        <w:tc>
          <w:tcPr>
            <w:tcW w:w="414" w:type="pct"/>
            <w:tcBorders>
              <w:top w:val="nil"/>
              <w:left w:val="nil"/>
              <w:bottom w:val="nil"/>
              <w:right w:val="nil"/>
            </w:tcBorders>
            <w:shd w:val="clear" w:color="auto" w:fill="auto"/>
            <w:noWrap/>
            <w:vAlign w:val="center"/>
            <w:hideMark/>
          </w:tcPr>
          <w:p w14:paraId="4AEDB273"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323" w:type="pct"/>
            <w:tcBorders>
              <w:top w:val="nil"/>
              <w:left w:val="nil"/>
              <w:bottom w:val="nil"/>
              <w:right w:val="nil"/>
            </w:tcBorders>
            <w:shd w:val="clear" w:color="auto" w:fill="auto"/>
            <w:noWrap/>
            <w:vAlign w:val="center"/>
            <w:hideMark/>
          </w:tcPr>
          <w:p w14:paraId="1BE3CB29"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372" w:type="pct"/>
            <w:tcBorders>
              <w:top w:val="nil"/>
              <w:left w:val="nil"/>
              <w:bottom w:val="nil"/>
              <w:right w:val="nil"/>
            </w:tcBorders>
            <w:shd w:val="clear" w:color="auto" w:fill="auto"/>
            <w:noWrap/>
            <w:vAlign w:val="center"/>
            <w:hideMark/>
          </w:tcPr>
          <w:p w14:paraId="0CF5A529"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548" w:type="pct"/>
            <w:tcBorders>
              <w:top w:val="nil"/>
              <w:left w:val="nil"/>
              <w:bottom w:val="nil"/>
              <w:right w:val="nil"/>
            </w:tcBorders>
            <w:shd w:val="clear" w:color="auto" w:fill="auto"/>
            <w:vAlign w:val="center"/>
            <w:hideMark/>
          </w:tcPr>
          <w:p w14:paraId="46CDD163"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r>
      <w:tr w:rsidR="000B116D" w:rsidRPr="000B116D" w14:paraId="31253DB3" w14:textId="77777777" w:rsidTr="00816F72">
        <w:trPr>
          <w:trHeight w:val="384"/>
        </w:trPr>
        <w:tc>
          <w:tcPr>
            <w:tcW w:w="1612" w:type="pct"/>
            <w:tcBorders>
              <w:top w:val="nil"/>
              <w:left w:val="nil"/>
              <w:bottom w:val="single" w:sz="8" w:space="0" w:color="auto"/>
              <w:right w:val="nil"/>
            </w:tcBorders>
            <w:shd w:val="clear" w:color="auto" w:fill="auto"/>
            <w:noWrap/>
            <w:vAlign w:val="center"/>
            <w:hideMark/>
          </w:tcPr>
          <w:p w14:paraId="0B620DC5"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91" w:type="pct"/>
            <w:tcBorders>
              <w:top w:val="single" w:sz="4" w:space="0" w:color="auto"/>
              <w:left w:val="nil"/>
              <w:bottom w:val="single" w:sz="8" w:space="0" w:color="auto"/>
              <w:right w:val="nil"/>
            </w:tcBorders>
            <w:shd w:val="clear" w:color="auto" w:fill="auto"/>
            <w:noWrap/>
            <w:vAlign w:val="center"/>
            <w:hideMark/>
          </w:tcPr>
          <w:p w14:paraId="4BB6E827"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 xml:space="preserve">m </w:t>
            </w:r>
            <w:r w:rsidRPr="000B116D">
              <w:rPr>
                <w:rFonts w:ascii="Times New Roman" w:eastAsia="Times New Roman" w:hAnsi="Times New Roman" w:cs="Times New Roman"/>
                <w:color w:val="000000"/>
                <w:sz w:val="20"/>
                <w:szCs w:val="22"/>
              </w:rPr>
              <w:t>(</w:t>
            </w:r>
            <w:proofErr w:type="spellStart"/>
            <w:r w:rsidRPr="000B116D">
              <w:rPr>
                <w:rFonts w:ascii="Times New Roman" w:eastAsia="Times New Roman" w:hAnsi="Times New Roman" w:cs="Times New Roman"/>
                <w:i/>
                <w:iCs/>
                <w:color w:val="000000"/>
                <w:sz w:val="20"/>
                <w:szCs w:val="22"/>
              </w:rPr>
              <w:t>sd</w:t>
            </w:r>
            <w:proofErr w:type="spellEnd"/>
            <w:r w:rsidRPr="000B116D">
              <w:rPr>
                <w:rFonts w:ascii="Times New Roman" w:eastAsia="Times New Roman" w:hAnsi="Times New Roman" w:cs="Times New Roman"/>
                <w:color w:val="000000"/>
                <w:sz w:val="20"/>
                <w:szCs w:val="22"/>
              </w:rPr>
              <w:t>)</w:t>
            </w:r>
          </w:p>
        </w:tc>
        <w:tc>
          <w:tcPr>
            <w:tcW w:w="173" w:type="pct"/>
            <w:tcBorders>
              <w:top w:val="nil"/>
              <w:left w:val="nil"/>
              <w:bottom w:val="single" w:sz="8" w:space="0" w:color="auto"/>
              <w:right w:val="nil"/>
            </w:tcBorders>
            <w:shd w:val="clear" w:color="auto" w:fill="auto"/>
            <w:noWrap/>
            <w:vAlign w:val="center"/>
            <w:hideMark/>
          </w:tcPr>
          <w:p w14:paraId="42F4F2BD"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 </w:t>
            </w:r>
          </w:p>
        </w:tc>
        <w:tc>
          <w:tcPr>
            <w:tcW w:w="495" w:type="pct"/>
            <w:tcBorders>
              <w:top w:val="single" w:sz="4" w:space="0" w:color="auto"/>
              <w:left w:val="nil"/>
              <w:bottom w:val="single" w:sz="4" w:space="0" w:color="auto"/>
              <w:right w:val="nil"/>
            </w:tcBorders>
            <w:shd w:val="clear" w:color="auto" w:fill="auto"/>
            <w:noWrap/>
            <w:vAlign w:val="center"/>
            <w:hideMark/>
          </w:tcPr>
          <w:p w14:paraId="4A111CF1"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 xml:space="preserve">m </w:t>
            </w:r>
            <w:r w:rsidRPr="000B116D">
              <w:rPr>
                <w:rFonts w:ascii="Times New Roman" w:eastAsia="Times New Roman" w:hAnsi="Times New Roman" w:cs="Times New Roman"/>
                <w:color w:val="000000"/>
                <w:sz w:val="20"/>
                <w:szCs w:val="22"/>
              </w:rPr>
              <w:t>(</w:t>
            </w:r>
            <w:proofErr w:type="spellStart"/>
            <w:r w:rsidRPr="000B116D">
              <w:rPr>
                <w:rFonts w:ascii="Times New Roman" w:eastAsia="Times New Roman" w:hAnsi="Times New Roman" w:cs="Times New Roman"/>
                <w:i/>
                <w:iCs/>
                <w:color w:val="000000"/>
                <w:sz w:val="20"/>
                <w:szCs w:val="22"/>
              </w:rPr>
              <w:t>sd</w:t>
            </w:r>
            <w:proofErr w:type="spellEnd"/>
            <w:r w:rsidRPr="000B116D">
              <w:rPr>
                <w:rFonts w:ascii="Times New Roman" w:eastAsia="Times New Roman" w:hAnsi="Times New Roman" w:cs="Times New Roman"/>
                <w:color w:val="000000"/>
                <w:sz w:val="20"/>
                <w:szCs w:val="22"/>
              </w:rPr>
              <w:t>)</w:t>
            </w:r>
          </w:p>
        </w:tc>
        <w:tc>
          <w:tcPr>
            <w:tcW w:w="95" w:type="pct"/>
            <w:tcBorders>
              <w:top w:val="nil"/>
              <w:left w:val="nil"/>
              <w:bottom w:val="single" w:sz="8" w:space="0" w:color="auto"/>
              <w:right w:val="nil"/>
            </w:tcBorders>
            <w:shd w:val="clear" w:color="auto" w:fill="auto"/>
            <w:noWrap/>
            <w:vAlign w:val="center"/>
            <w:hideMark/>
          </w:tcPr>
          <w:p w14:paraId="0D90330E"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 </w:t>
            </w:r>
          </w:p>
        </w:tc>
        <w:tc>
          <w:tcPr>
            <w:tcW w:w="477" w:type="pct"/>
            <w:tcBorders>
              <w:top w:val="single" w:sz="4" w:space="0" w:color="auto"/>
              <w:left w:val="nil"/>
              <w:bottom w:val="single" w:sz="8" w:space="0" w:color="auto"/>
              <w:right w:val="nil"/>
            </w:tcBorders>
            <w:shd w:val="clear" w:color="auto" w:fill="auto"/>
            <w:noWrap/>
            <w:vAlign w:val="center"/>
            <w:hideMark/>
          </w:tcPr>
          <w:p w14:paraId="700349F8"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 xml:space="preserve">m </w:t>
            </w:r>
            <w:r w:rsidRPr="000B116D">
              <w:rPr>
                <w:rFonts w:ascii="Times New Roman" w:eastAsia="Times New Roman" w:hAnsi="Times New Roman" w:cs="Times New Roman"/>
                <w:color w:val="000000"/>
                <w:sz w:val="20"/>
                <w:szCs w:val="22"/>
              </w:rPr>
              <w:t>(</w:t>
            </w:r>
            <w:proofErr w:type="spellStart"/>
            <w:r w:rsidRPr="000B116D">
              <w:rPr>
                <w:rFonts w:ascii="Times New Roman" w:eastAsia="Times New Roman" w:hAnsi="Times New Roman" w:cs="Times New Roman"/>
                <w:i/>
                <w:iCs/>
                <w:color w:val="000000"/>
                <w:sz w:val="20"/>
                <w:szCs w:val="22"/>
              </w:rPr>
              <w:t>sd</w:t>
            </w:r>
            <w:proofErr w:type="spellEnd"/>
            <w:r w:rsidRPr="000B116D">
              <w:rPr>
                <w:rFonts w:ascii="Times New Roman" w:eastAsia="Times New Roman" w:hAnsi="Times New Roman" w:cs="Times New Roman"/>
                <w:color w:val="000000"/>
                <w:sz w:val="20"/>
                <w:szCs w:val="22"/>
              </w:rPr>
              <w:t>)</w:t>
            </w:r>
          </w:p>
        </w:tc>
        <w:tc>
          <w:tcPr>
            <w:tcW w:w="414" w:type="pct"/>
            <w:tcBorders>
              <w:top w:val="nil"/>
              <w:left w:val="nil"/>
              <w:bottom w:val="single" w:sz="8" w:space="0" w:color="auto"/>
              <w:right w:val="nil"/>
            </w:tcBorders>
            <w:shd w:val="clear" w:color="auto" w:fill="auto"/>
            <w:noWrap/>
            <w:vAlign w:val="center"/>
            <w:hideMark/>
          </w:tcPr>
          <w:p w14:paraId="49399D8A"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proofErr w:type="gramStart"/>
            <w:r w:rsidRPr="000B116D">
              <w:rPr>
                <w:rFonts w:ascii="Times New Roman" w:eastAsia="Times New Roman" w:hAnsi="Times New Roman" w:cs="Times New Roman"/>
                <w:i/>
                <w:iCs/>
                <w:color w:val="000000"/>
                <w:sz w:val="20"/>
                <w:szCs w:val="22"/>
              </w:rPr>
              <w:t>F</w:t>
            </w:r>
            <w:r w:rsidRPr="000B116D">
              <w:rPr>
                <w:rFonts w:ascii="Times New Roman" w:eastAsia="Times New Roman" w:hAnsi="Times New Roman" w:cs="Times New Roman"/>
                <w:color w:val="000000"/>
                <w:sz w:val="20"/>
                <w:szCs w:val="22"/>
              </w:rPr>
              <w:t>(</w:t>
            </w:r>
            <w:proofErr w:type="gramEnd"/>
            <w:r w:rsidRPr="000B116D">
              <w:rPr>
                <w:rFonts w:ascii="Times New Roman" w:eastAsia="Times New Roman" w:hAnsi="Times New Roman" w:cs="Times New Roman"/>
                <w:color w:val="000000"/>
                <w:sz w:val="20"/>
                <w:szCs w:val="22"/>
              </w:rPr>
              <w:t>df</w:t>
            </w:r>
            <w:r w:rsidRPr="000B116D">
              <w:rPr>
                <w:rFonts w:ascii="Times New Roman" w:eastAsia="Times New Roman" w:hAnsi="Times New Roman" w:cs="Times New Roman"/>
                <w:color w:val="000000"/>
                <w:sz w:val="20"/>
                <w:szCs w:val="22"/>
                <w:vertAlign w:val="subscript"/>
              </w:rPr>
              <w:t>1</w:t>
            </w:r>
            <w:r w:rsidRPr="000B116D">
              <w:rPr>
                <w:rFonts w:ascii="Times New Roman" w:eastAsia="Times New Roman" w:hAnsi="Times New Roman" w:cs="Times New Roman"/>
                <w:color w:val="000000"/>
                <w:sz w:val="20"/>
                <w:szCs w:val="22"/>
              </w:rPr>
              <w:t>, df</w:t>
            </w:r>
            <w:r w:rsidRPr="000B116D">
              <w:rPr>
                <w:rFonts w:ascii="Times New Roman" w:eastAsia="Times New Roman" w:hAnsi="Times New Roman" w:cs="Times New Roman"/>
                <w:color w:val="000000"/>
                <w:sz w:val="20"/>
                <w:szCs w:val="22"/>
                <w:vertAlign w:val="subscript"/>
              </w:rPr>
              <w:t>2</w:t>
            </w:r>
            <w:r w:rsidRPr="000B116D">
              <w:rPr>
                <w:rFonts w:ascii="Times New Roman" w:eastAsia="Times New Roman" w:hAnsi="Times New Roman" w:cs="Times New Roman"/>
                <w:color w:val="000000"/>
                <w:sz w:val="20"/>
                <w:szCs w:val="22"/>
              </w:rPr>
              <w:t>)</w:t>
            </w:r>
          </w:p>
        </w:tc>
        <w:tc>
          <w:tcPr>
            <w:tcW w:w="323" w:type="pct"/>
            <w:tcBorders>
              <w:top w:val="nil"/>
              <w:left w:val="nil"/>
              <w:bottom w:val="single" w:sz="8" w:space="0" w:color="auto"/>
              <w:right w:val="nil"/>
            </w:tcBorders>
            <w:shd w:val="clear" w:color="auto" w:fill="auto"/>
            <w:noWrap/>
            <w:vAlign w:val="center"/>
            <w:hideMark/>
          </w:tcPr>
          <w:p w14:paraId="425D8715" w14:textId="77777777" w:rsidR="000B116D" w:rsidRPr="000B116D" w:rsidRDefault="000B116D" w:rsidP="000B116D">
            <w:pPr>
              <w:spacing w:after="0" w:line="480" w:lineRule="auto"/>
              <w:jc w:val="center"/>
              <w:rPr>
                <w:rFonts w:ascii="Times New Roman" w:eastAsia="Times New Roman" w:hAnsi="Times New Roman" w:cs="Times New Roman"/>
                <w:i/>
                <w:iCs/>
                <w:color w:val="000000"/>
                <w:sz w:val="20"/>
                <w:szCs w:val="22"/>
              </w:rPr>
            </w:pPr>
            <w:r w:rsidRPr="000B116D">
              <w:rPr>
                <w:rFonts w:ascii="Times New Roman" w:eastAsia="Times New Roman" w:hAnsi="Times New Roman" w:cs="Times New Roman"/>
                <w:i/>
                <w:iCs/>
                <w:color w:val="000000"/>
                <w:sz w:val="20"/>
                <w:szCs w:val="22"/>
              </w:rPr>
              <w:t>p</w:t>
            </w:r>
            <w:r w:rsidRPr="000B116D">
              <w:rPr>
                <w:rFonts w:ascii="Times New Roman" w:eastAsia="Times New Roman" w:hAnsi="Times New Roman" w:cs="Times New Roman"/>
                <w:color w:val="000000"/>
                <w:sz w:val="20"/>
                <w:szCs w:val="22"/>
              </w:rPr>
              <w:t>-value</w:t>
            </w:r>
          </w:p>
        </w:tc>
        <w:tc>
          <w:tcPr>
            <w:tcW w:w="372" w:type="pct"/>
            <w:tcBorders>
              <w:top w:val="nil"/>
              <w:left w:val="nil"/>
              <w:bottom w:val="single" w:sz="8" w:space="0" w:color="auto"/>
              <w:right w:val="nil"/>
            </w:tcBorders>
            <w:shd w:val="clear" w:color="auto" w:fill="auto"/>
            <w:noWrap/>
            <w:vAlign w:val="center"/>
            <w:hideMark/>
          </w:tcPr>
          <w:p w14:paraId="19140334" w14:textId="77777777" w:rsidR="000B116D" w:rsidRPr="000B116D" w:rsidRDefault="000B116D" w:rsidP="000B116D">
            <w:pPr>
              <w:spacing w:after="0" w:line="480" w:lineRule="auto"/>
              <w:jc w:val="center"/>
              <w:rPr>
                <w:rFonts w:ascii="Times New Roman" w:eastAsia="Times New Roman" w:hAnsi="Times New Roman" w:cs="Times New Roman"/>
                <w:color w:val="000000"/>
                <w:sz w:val="20"/>
              </w:rPr>
            </w:pPr>
            <w:r w:rsidRPr="000B116D">
              <w:rPr>
                <w:rFonts w:ascii="Times New Roman" w:eastAsia="Times New Roman" w:hAnsi="Times New Roman" w:cs="Times New Roman"/>
                <w:color w:val="000000"/>
                <w:sz w:val="20"/>
              </w:rPr>
              <w:t xml:space="preserve">Partial </w:t>
            </w:r>
            <w:r w:rsidRPr="000B116D">
              <w:rPr>
                <w:rFonts w:ascii="Times New Roman" w:eastAsia="Times New Roman" w:hAnsi="Times New Roman" w:cs="Times New Roman"/>
                <w:i/>
                <w:iCs/>
                <w:color w:val="000000"/>
                <w:sz w:val="20"/>
              </w:rPr>
              <w:t>η</w:t>
            </w:r>
            <w:r w:rsidRPr="000B116D">
              <w:rPr>
                <w:rFonts w:ascii="Times New Roman" w:eastAsia="Times New Roman" w:hAnsi="Times New Roman" w:cs="Times New Roman"/>
                <w:color w:val="000000"/>
                <w:sz w:val="20"/>
                <w:vertAlign w:val="superscript"/>
              </w:rPr>
              <w:t>2</w:t>
            </w:r>
          </w:p>
        </w:tc>
        <w:tc>
          <w:tcPr>
            <w:tcW w:w="548" w:type="pct"/>
            <w:tcBorders>
              <w:top w:val="nil"/>
              <w:left w:val="nil"/>
              <w:bottom w:val="single" w:sz="8" w:space="0" w:color="auto"/>
              <w:right w:val="nil"/>
            </w:tcBorders>
            <w:shd w:val="clear" w:color="auto" w:fill="auto"/>
            <w:vAlign w:val="center"/>
            <w:hideMark/>
          </w:tcPr>
          <w:p w14:paraId="2FCB9BD0"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Contrasts</w:t>
            </w:r>
          </w:p>
        </w:tc>
      </w:tr>
      <w:tr w:rsidR="000B116D" w:rsidRPr="000B116D" w14:paraId="1BCD1FF4" w14:textId="77777777" w:rsidTr="00816F72">
        <w:trPr>
          <w:trHeight w:val="336"/>
        </w:trPr>
        <w:tc>
          <w:tcPr>
            <w:tcW w:w="1612" w:type="pct"/>
            <w:tcBorders>
              <w:top w:val="nil"/>
              <w:left w:val="nil"/>
              <w:bottom w:val="nil"/>
              <w:right w:val="nil"/>
            </w:tcBorders>
            <w:shd w:val="clear" w:color="auto" w:fill="auto"/>
            <w:noWrap/>
            <w:vAlign w:val="center"/>
            <w:hideMark/>
          </w:tcPr>
          <w:p w14:paraId="7CBCCC46"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Overall quality of caregiver behavior at 42 months</w:t>
            </w:r>
          </w:p>
        </w:tc>
        <w:tc>
          <w:tcPr>
            <w:tcW w:w="491" w:type="pct"/>
            <w:tcBorders>
              <w:top w:val="nil"/>
              <w:left w:val="nil"/>
              <w:bottom w:val="nil"/>
              <w:right w:val="nil"/>
            </w:tcBorders>
            <w:shd w:val="clear" w:color="auto" w:fill="auto"/>
            <w:noWrap/>
            <w:vAlign w:val="center"/>
            <w:hideMark/>
          </w:tcPr>
          <w:p w14:paraId="71F587DF"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3.21 (0.26)</w:t>
            </w:r>
          </w:p>
        </w:tc>
        <w:tc>
          <w:tcPr>
            <w:tcW w:w="173" w:type="pct"/>
            <w:tcBorders>
              <w:top w:val="nil"/>
              <w:left w:val="nil"/>
              <w:bottom w:val="nil"/>
              <w:right w:val="nil"/>
            </w:tcBorders>
            <w:shd w:val="clear" w:color="auto" w:fill="auto"/>
            <w:noWrap/>
            <w:hideMark/>
          </w:tcPr>
          <w:p w14:paraId="736A6C52"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p>
        </w:tc>
        <w:tc>
          <w:tcPr>
            <w:tcW w:w="495" w:type="pct"/>
            <w:tcBorders>
              <w:top w:val="single" w:sz="4" w:space="0" w:color="auto"/>
              <w:left w:val="nil"/>
              <w:bottom w:val="nil"/>
              <w:right w:val="nil"/>
            </w:tcBorders>
            <w:shd w:val="clear" w:color="auto" w:fill="auto"/>
            <w:noWrap/>
            <w:vAlign w:val="center"/>
            <w:hideMark/>
          </w:tcPr>
          <w:p w14:paraId="54CA7ECC"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2.68 (0.61)</w:t>
            </w:r>
          </w:p>
        </w:tc>
        <w:tc>
          <w:tcPr>
            <w:tcW w:w="95" w:type="pct"/>
            <w:tcBorders>
              <w:top w:val="nil"/>
              <w:left w:val="nil"/>
              <w:bottom w:val="nil"/>
              <w:right w:val="nil"/>
            </w:tcBorders>
            <w:shd w:val="clear" w:color="auto" w:fill="auto"/>
            <w:noWrap/>
            <w:hideMark/>
          </w:tcPr>
          <w:p w14:paraId="776F3F6F"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p>
        </w:tc>
        <w:tc>
          <w:tcPr>
            <w:tcW w:w="477" w:type="pct"/>
            <w:tcBorders>
              <w:top w:val="nil"/>
              <w:left w:val="nil"/>
              <w:bottom w:val="nil"/>
              <w:right w:val="nil"/>
            </w:tcBorders>
            <w:shd w:val="clear" w:color="auto" w:fill="auto"/>
            <w:noWrap/>
            <w:vAlign w:val="center"/>
            <w:hideMark/>
          </w:tcPr>
          <w:p w14:paraId="01E171AD" w14:textId="77777777" w:rsidR="000B116D" w:rsidRPr="000B116D" w:rsidRDefault="000B116D" w:rsidP="000B116D">
            <w:pPr>
              <w:spacing w:after="0" w:line="480" w:lineRule="auto"/>
              <w:jc w:val="center"/>
              <w:rPr>
                <w:rFonts w:ascii="Times New Roman" w:eastAsia="Times New Roman" w:hAnsi="Times New Roman" w:cs="Times New Roman"/>
                <w:color w:val="000000"/>
                <w:sz w:val="20"/>
              </w:rPr>
            </w:pPr>
            <w:r w:rsidRPr="000B116D">
              <w:rPr>
                <w:rFonts w:ascii="Times New Roman" w:eastAsia="Times New Roman" w:hAnsi="Times New Roman" w:cs="Times New Roman"/>
                <w:color w:val="000000"/>
                <w:sz w:val="20"/>
              </w:rPr>
              <w:t>2.67 (0.51)</w:t>
            </w:r>
          </w:p>
        </w:tc>
        <w:tc>
          <w:tcPr>
            <w:tcW w:w="414" w:type="pct"/>
            <w:tcBorders>
              <w:top w:val="nil"/>
              <w:left w:val="nil"/>
              <w:bottom w:val="nil"/>
              <w:right w:val="nil"/>
            </w:tcBorders>
            <w:shd w:val="clear" w:color="auto" w:fill="auto"/>
            <w:noWrap/>
            <w:vAlign w:val="center"/>
            <w:hideMark/>
          </w:tcPr>
          <w:p w14:paraId="40D2A023"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4.70(2, 71</w:t>
            </w:r>
          </w:p>
        </w:tc>
        <w:tc>
          <w:tcPr>
            <w:tcW w:w="323" w:type="pct"/>
            <w:tcBorders>
              <w:top w:val="nil"/>
              <w:left w:val="nil"/>
              <w:bottom w:val="nil"/>
              <w:right w:val="nil"/>
            </w:tcBorders>
            <w:shd w:val="clear" w:color="auto" w:fill="auto"/>
            <w:noWrap/>
            <w:vAlign w:val="center"/>
            <w:hideMark/>
          </w:tcPr>
          <w:p w14:paraId="6B56319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.012</w:t>
            </w:r>
          </w:p>
        </w:tc>
        <w:tc>
          <w:tcPr>
            <w:tcW w:w="372" w:type="pct"/>
            <w:tcBorders>
              <w:top w:val="nil"/>
              <w:left w:val="nil"/>
              <w:bottom w:val="nil"/>
              <w:right w:val="nil"/>
            </w:tcBorders>
            <w:shd w:val="clear" w:color="auto" w:fill="auto"/>
            <w:noWrap/>
            <w:vAlign w:val="center"/>
            <w:hideMark/>
          </w:tcPr>
          <w:p w14:paraId="64B93449"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.117</w:t>
            </w:r>
          </w:p>
        </w:tc>
        <w:tc>
          <w:tcPr>
            <w:tcW w:w="548" w:type="pct"/>
            <w:tcBorders>
              <w:top w:val="nil"/>
              <w:left w:val="nil"/>
              <w:bottom w:val="nil"/>
              <w:right w:val="nil"/>
            </w:tcBorders>
            <w:shd w:val="clear" w:color="auto" w:fill="auto"/>
            <w:vAlign w:val="center"/>
            <w:hideMark/>
          </w:tcPr>
          <w:p w14:paraId="3017CAD5"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CC &gt; IC</w:t>
            </w:r>
            <w:r w:rsidRPr="000B116D">
              <w:rPr>
                <w:rFonts w:ascii="Times New Roman" w:eastAsia="Times New Roman" w:hAnsi="Times New Roman" w:cs="Times New Roman"/>
                <w:color w:val="000000"/>
                <w:sz w:val="20"/>
                <w:szCs w:val="22"/>
                <w:vertAlign w:val="superscript"/>
              </w:rPr>
              <w:t>*</w:t>
            </w:r>
            <w:r w:rsidRPr="000B116D">
              <w:rPr>
                <w:rFonts w:ascii="Times New Roman" w:eastAsia="Times New Roman" w:hAnsi="Times New Roman" w:cs="Times New Roman"/>
                <w:color w:val="000000"/>
                <w:sz w:val="20"/>
                <w:szCs w:val="22"/>
              </w:rPr>
              <w:t>, NC</w:t>
            </w:r>
            <w:r w:rsidRPr="000B116D">
              <w:rPr>
                <w:rFonts w:ascii="Times New Roman" w:eastAsia="Times New Roman" w:hAnsi="Times New Roman" w:cs="Times New Roman"/>
                <w:color w:val="000000"/>
                <w:sz w:val="20"/>
                <w:szCs w:val="22"/>
                <w:vertAlign w:val="superscript"/>
              </w:rPr>
              <w:t>*</w:t>
            </w:r>
          </w:p>
        </w:tc>
      </w:tr>
      <w:tr w:rsidR="000B116D" w:rsidRPr="000B116D" w14:paraId="53DF66DF" w14:textId="77777777" w:rsidTr="00816F72">
        <w:trPr>
          <w:trHeight w:val="336"/>
        </w:trPr>
        <w:tc>
          <w:tcPr>
            <w:tcW w:w="1612" w:type="pct"/>
            <w:tcBorders>
              <w:top w:val="nil"/>
              <w:left w:val="nil"/>
              <w:bottom w:val="nil"/>
              <w:right w:val="nil"/>
            </w:tcBorders>
            <w:shd w:val="clear" w:color="auto" w:fill="auto"/>
            <w:noWrap/>
            <w:vAlign w:val="center"/>
            <w:hideMark/>
          </w:tcPr>
          <w:p w14:paraId="274F8D90"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Percent time in institutional care through 54 months</w:t>
            </w:r>
          </w:p>
        </w:tc>
        <w:tc>
          <w:tcPr>
            <w:tcW w:w="491" w:type="pct"/>
            <w:tcBorders>
              <w:top w:val="nil"/>
              <w:left w:val="nil"/>
              <w:bottom w:val="nil"/>
              <w:right w:val="nil"/>
            </w:tcBorders>
            <w:shd w:val="clear" w:color="auto" w:fill="auto"/>
            <w:noWrap/>
            <w:vAlign w:val="center"/>
            <w:hideMark/>
          </w:tcPr>
          <w:p w14:paraId="31F69073"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35.04 (17.16)</w:t>
            </w:r>
          </w:p>
        </w:tc>
        <w:tc>
          <w:tcPr>
            <w:tcW w:w="173" w:type="pct"/>
            <w:tcBorders>
              <w:top w:val="nil"/>
              <w:left w:val="nil"/>
              <w:bottom w:val="nil"/>
              <w:right w:val="nil"/>
            </w:tcBorders>
            <w:shd w:val="clear" w:color="auto" w:fill="auto"/>
            <w:noWrap/>
            <w:vAlign w:val="center"/>
            <w:hideMark/>
          </w:tcPr>
          <w:p w14:paraId="5B105C0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p>
        </w:tc>
        <w:tc>
          <w:tcPr>
            <w:tcW w:w="495" w:type="pct"/>
            <w:tcBorders>
              <w:top w:val="nil"/>
              <w:left w:val="nil"/>
              <w:bottom w:val="nil"/>
              <w:right w:val="nil"/>
            </w:tcBorders>
            <w:shd w:val="clear" w:color="auto" w:fill="auto"/>
            <w:noWrap/>
            <w:vAlign w:val="center"/>
            <w:hideMark/>
          </w:tcPr>
          <w:p w14:paraId="1DA740A0"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52.05 (24.76)</w:t>
            </w:r>
          </w:p>
        </w:tc>
        <w:tc>
          <w:tcPr>
            <w:tcW w:w="95" w:type="pct"/>
            <w:tcBorders>
              <w:top w:val="nil"/>
              <w:left w:val="nil"/>
              <w:bottom w:val="nil"/>
              <w:right w:val="nil"/>
            </w:tcBorders>
            <w:shd w:val="clear" w:color="auto" w:fill="auto"/>
            <w:noWrap/>
            <w:vAlign w:val="center"/>
            <w:hideMark/>
          </w:tcPr>
          <w:p w14:paraId="346709ED"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p>
        </w:tc>
        <w:tc>
          <w:tcPr>
            <w:tcW w:w="477" w:type="pct"/>
            <w:tcBorders>
              <w:top w:val="nil"/>
              <w:left w:val="nil"/>
              <w:bottom w:val="nil"/>
              <w:right w:val="nil"/>
            </w:tcBorders>
            <w:shd w:val="clear" w:color="auto" w:fill="auto"/>
            <w:noWrap/>
            <w:vAlign w:val="center"/>
            <w:hideMark/>
          </w:tcPr>
          <w:p w14:paraId="6FF48DBB"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64.15 (26.19)</w:t>
            </w:r>
          </w:p>
        </w:tc>
        <w:tc>
          <w:tcPr>
            <w:tcW w:w="414" w:type="pct"/>
            <w:tcBorders>
              <w:top w:val="nil"/>
              <w:left w:val="nil"/>
              <w:bottom w:val="nil"/>
              <w:right w:val="nil"/>
            </w:tcBorders>
            <w:shd w:val="clear" w:color="auto" w:fill="auto"/>
            <w:noWrap/>
            <w:vAlign w:val="center"/>
            <w:hideMark/>
          </w:tcPr>
          <w:p w14:paraId="13EE277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5.65(2, 75)</w:t>
            </w:r>
          </w:p>
        </w:tc>
        <w:tc>
          <w:tcPr>
            <w:tcW w:w="323" w:type="pct"/>
            <w:tcBorders>
              <w:top w:val="nil"/>
              <w:left w:val="nil"/>
              <w:bottom w:val="nil"/>
              <w:right w:val="nil"/>
            </w:tcBorders>
            <w:shd w:val="clear" w:color="auto" w:fill="auto"/>
            <w:noWrap/>
            <w:vAlign w:val="center"/>
            <w:hideMark/>
          </w:tcPr>
          <w:p w14:paraId="326C9C54"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.005</w:t>
            </w:r>
          </w:p>
        </w:tc>
        <w:tc>
          <w:tcPr>
            <w:tcW w:w="372" w:type="pct"/>
            <w:tcBorders>
              <w:top w:val="nil"/>
              <w:left w:val="nil"/>
              <w:bottom w:val="nil"/>
              <w:right w:val="nil"/>
            </w:tcBorders>
            <w:shd w:val="clear" w:color="auto" w:fill="auto"/>
            <w:noWrap/>
            <w:vAlign w:val="center"/>
            <w:hideMark/>
          </w:tcPr>
          <w:p w14:paraId="0BB620C7"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.131</w:t>
            </w:r>
          </w:p>
        </w:tc>
        <w:tc>
          <w:tcPr>
            <w:tcW w:w="548" w:type="pct"/>
            <w:tcBorders>
              <w:top w:val="nil"/>
              <w:left w:val="nil"/>
              <w:bottom w:val="nil"/>
              <w:right w:val="nil"/>
            </w:tcBorders>
            <w:shd w:val="clear" w:color="auto" w:fill="auto"/>
            <w:vAlign w:val="center"/>
            <w:hideMark/>
          </w:tcPr>
          <w:p w14:paraId="65143919"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CC &lt; IC</w:t>
            </w:r>
            <w:r w:rsidRPr="000B116D">
              <w:rPr>
                <w:rFonts w:ascii="Times New Roman" w:eastAsia="Times New Roman" w:hAnsi="Times New Roman" w:cs="Times New Roman"/>
                <w:color w:val="000000"/>
                <w:sz w:val="20"/>
                <w:szCs w:val="22"/>
                <w:vertAlign w:val="superscript"/>
              </w:rPr>
              <w:t>*</w:t>
            </w:r>
            <w:r w:rsidRPr="000B116D">
              <w:rPr>
                <w:rFonts w:ascii="Times New Roman" w:eastAsia="Times New Roman" w:hAnsi="Times New Roman" w:cs="Times New Roman"/>
                <w:color w:val="000000"/>
                <w:sz w:val="20"/>
                <w:szCs w:val="22"/>
              </w:rPr>
              <w:t>, NC</w:t>
            </w:r>
            <w:r w:rsidRPr="000B116D">
              <w:rPr>
                <w:rFonts w:ascii="Times New Roman" w:eastAsia="Times New Roman" w:hAnsi="Times New Roman" w:cs="Times New Roman"/>
                <w:color w:val="000000"/>
                <w:sz w:val="20"/>
                <w:szCs w:val="22"/>
                <w:vertAlign w:val="superscript"/>
              </w:rPr>
              <w:t>**</w:t>
            </w:r>
          </w:p>
        </w:tc>
      </w:tr>
      <w:tr w:rsidR="000B116D" w:rsidRPr="000B116D" w14:paraId="119B1D64" w14:textId="77777777" w:rsidTr="00816F72">
        <w:trPr>
          <w:trHeight w:val="300"/>
        </w:trPr>
        <w:tc>
          <w:tcPr>
            <w:tcW w:w="1612" w:type="pct"/>
            <w:tcBorders>
              <w:top w:val="nil"/>
              <w:left w:val="nil"/>
              <w:bottom w:val="single" w:sz="8" w:space="0" w:color="auto"/>
              <w:right w:val="nil"/>
            </w:tcBorders>
            <w:shd w:val="clear" w:color="auto" w:fill="auto"/>
            <w:noWrap/>
            <w:vAlign w:val="center"/>
            <w:hideMark/>
          </w:tcPr>
          <w:p w14:paraId="3C7A5D57"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Number of placement disruptions through 54 months</w:t>
            </w:r>
          </w:p>
        </w:tc>
        <w:tc>
          <w:tcPr>
            <w:tcW w:w="491" w:type="pct"/>
            <w:tcBorders>
              <w:top w:val="nil"/>
              <w:left w:val="nil"/>
              <w:bottom w:val="single" w:sz="8" w:space="0" w:color="auto"/>
              <w:right w:val="nil"/>
            </w:tcBorders>
            <w:shd w:val="clear" w:color="auto" w:fill="auto"/>
            <w:noWrap/>
            <w:vAlign w:val="center"/>
            <w:hideMark/>
          </w:tcPr>
          <w:p w14:paraId="3D5BB4C3"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3.08 (0.86)</w:t>
            </w:r>
          </w:p>
        </w:tc>
        <w:tc>
          <w:tcPr>
            <w:tcW w:w="173" w:type="pct"/>
            <w:tcBorders>
              <w:top w:val="nil"/>
              <w:left w:val="nil"/>
              <w:bottom w:val="single" w:sz="8" w:space="0" w:color="auto"/>
              <w:right w:val="nil"/>
            </w:tcBorders>
            <w:shd w:val="clear" w:color="auto" w:fill="auto"/>
            <w:noWrap/>
            <w:vAlign w:val="center"/>
            <w:hideMark/>
          </w:tcPr>
          <w:p w14:paraId="023274BC"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95" w:type="pct"/>
            <w:tcBorders>
              <w:top w:val="nil"/>
              <w:left w:val="nil"/>
              <w:bottom w:val="single" w:sz="8" w:space="0" w:color="auto"/>
              <w:right w:val="nil"/>
            </w:tcBorders>
            <w:shd w:val="clear" w:color="auto" w:fill="auto"/>
            <w:noWrap/>
            <w:vAlign w:val="center"/>
            <w:hideMark/>
          </w:tcPr>
          <w:p w14:paraId="64B5063E"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2.78 (1.23)</w:t>
            </w:r>
          </w:p>
        </w:tc>
        <w:tc>
          <w:tcPr>
            <w:tcW w:w="95" w:type="pct"/>
            <w:tcBorders>
              <w:top w:val="nil"/>
              <w:left w:val="nil"/>
              <w:bottom w:val="single" w:sz="8" w:space="0" w:color="auto"/>
              <w:right w:val="nil"/>
            </w:tcBorders>
            <w:shd w:val="clear" w:color="auto" w:fill="auto"/>
            <w:noWrap/>
            <w:vAlign w:val="center"/>
            <w:hideMark/>
          </w:tcPr>
          <w:p w14:paraId="0FBD7057"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 </w:t>
            </w:r>
          </w:p>
        </w:tc>
        <w:tc>
          <w:tcPr>
            <w:tcW w:w="477" w:type="pct"/>
            <w:tcBorders>
              <w:top w:val="nil"/>
              <w:left w:val="nil"/>
              <w:bottom w:val="single" w:sz="8" w:space="0" w:color="auto"/>
              <w:right w:val="nil"/>
            </w:tcBorders>
            <w:shd w:val="clear" w:color="auto" w:fill="auto"/>
            <w:noWrap/>
            <w:vAlign w:val="center"/>
            <w:hideMark/>
          </w:tcPr>
          <w:p w14:paraId="718B6EBA"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2.74 (1.15)</w:t>
            </w:r>
          </w:p>
        </w:tc>
        <w:tc>
          <w:tcPr>
            <w:tcW w:w="414" w:type="pct"/>
            <w:tcBorders>
              <w:top w:val="nil"/>
              <w:left w:val="nil"/>
              <w:bottom w:val="single" w:sz="8" w:space="0" w:color="auto"/>
              <w:right w:val="nil"/>
            </w:tcBorders>
            <w:shd w:val="clear" w:color="auto" w:fill="auto"/>
            <w:noWrap/>
            <w:vAlign w:val="center"/>
            <w:hideMark/>
          </w:tcPr>
          <w:p w14:paraId="0D23CD7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0.39(2, 75)</w:t>
            </w:r>
          </w:p>
        </w:tc>
        <w:tc>
          <w:tcPr>
            <w:tcW w:w="323" w:type="pct"/>
            <w:tcBorders>
              <w:top w:val="nil"/>
              <w:left w:val="nil"/>
              <w:bottom w:val="single" w:sz="8" w:space="0" w:color="auto"/>
              <w:right w:val="nil"/>
            </w:tcBorders>
            <w:shd w:val="clear" w:color="auto" w:fill="auto"/>
            <w:noWrap/>
            <w:vAlign w:val="center"/>
            <w:hideMark/>
          </w:tcPr>
          <w:p w14:paraId="318DCCF5"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.676</w:t>
            </w:r>
          </w:p>
        </w:tc>
        <w:tc>
          <w:tcPr>
            <w:tcW w:w="372" w:type="pct"/>
            <w:tcBorders>
              <w:top w:val="nil"/>
              <w:left w:val="nil"/>
              <w:bottom w:val="single" w:sz="8" w:space="0" w:color="auto"/>
              <w:right w:val="nil"/>
            </w:tcBorders>
            <w:shd w:val="clear" w:color="auto" w:fill="auto"/>
            <w:noWrap/>
            <w:vAlign w:val="center"/>
            <w:hideMark/>
          </w:tcPr>
          <w:p w14:paraId="27FCA979"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.010</w:t>
            </w:r>
          </w:p>
        </w:tc>
        <w:tc>
          <w:tcPr>
            <w:tcW w:w="548" w:type="pct"/>
            <w:tcBorders>
              <w:top w:val="nil"/>
              <w:left w:val="nil"/>
              <w:bottom w:val="single" w:sz="8" w:space="0" w:color="auto"/>
              <w:right w:val="nil"/>
            </w:tcBorders>
            <w:shd w:val="clear" w:color="auto" w:fill="auto"/>
            <w:vAlign w:val="center"/>
            <w:hideMark/>
          </w:tcPr>
          <w:p w14:paraId="22FE51F6" w14:textId="77777777" w:rsidR="000B116D" w:rsidRPr="000B116D" w:rsidRDefault="000B116D" w:rsidP="000B116D">
            <w:pPr>
              <w:spacing w:after="0" w:line="480" w:lineRule="auto"/>
              <w:jc w:val="center"/>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rPr>
              <w:t>-</w:t>
            </w:r>
          </w:p>
        </w:tc>
      </w:tr>
      <w:tr w:rsidR="000B116D" w:rsidRPr="000B116D" w14:paraId="0BE27771" w14:textId="77777777" w:rsidTr="00816F72">
        <w:trPr>
          <w:trHeight w:val="336"/>
        </w:trPr>
        <w:tc>
          <w:tcPr>
            <w:tcW w:w="5000" w:type="pct"/>
            <w:gridSpan w:val="10"/>
            <w:tcBorders>
              <w:top w:val="single" w:sz="8" w:space="0" w:color="auto"/>
              <w:left w:val="nil"/>
              <w:bottom w:val="nil"/>
              <w:right w:val="nil"/>
            </w:tcBorders>
            <w:shd w:val="clear" w:color="auto" w:fill="auto"/>
            <w:noWrap/>
            <w:vAlign w:val="center"/>
            <w:hideMark/>
          </w:tcPr>
          <w:p w14:paraId="06C342B3" w14:textId="77777777" w:rsidR="000B116D" w:rsidRPr="000B116D" w:rsidRDefault="000B116D" w:rsidP="000B116D">
            <w:pPr>
              <w:spacing w:after="0" w:line="480" w:lineRule="auto"/>
              <w:rPr>
                <w:rFonts w:ascii="Times New Roman" w:eastAsia="Times New Roman" w:hAnsi="Times New Roman" w:cs="Times New Roman"/>
                <w:color w:val="000000"/>
                <w:sz w:val="20"/>
                <w:szCs w:val="22"/>
              </w:rPr>
            </w:pPr>
            <w:r w:rsidRPr="000B116D">
              <w:rPr>
                <w:rFonts w:ascii="Times New Roman" w:eastAsia="Times New Roman" w:hAnsi="Times New Roman" w:cs="Times New Roman"/>
                <w:color w:val="000000"/>
                <w:sz w:val="20"/>
                <w:szCs w:val="22"/>
                <w:vertAlign w:val="superscript"/>
              </w:rPr>
              <w:t>*</w:t>
            </w:r>
            <w:r w:rsidRPr="000B116D">
              <w:rPr>
                <w:rFonts w:ascii="Times New Roman" w:eastAsia="Times New Roman" w:hAnsi="Times New Roman" w:cs="Times New Roman"/>
                <w:i/>
                <w:iCs/>
                <w:color w:val="000000"/>
                <w:sz w:val="20"/>
                <w:szCs w:val="22"/>
              </w:rPr>
              <w:t>p</w:t>
            </w:r>
            <w:r w:rsidRPr="000B116D">
              <w:rPr>
                <w:rFonts w:ascii="Times New Roman" w:eastAsia="Times New Roman" w:hAnsi="Times New Roman" w:cs="Times New Roman"/>
                <w:color w:val="000000"/>
                <w:sz w:val="20"/>
                <w:szCs w:val="22"/>
              </w:rPr>
              <w:t xml:space="preserve">&lt;.05. </w:t>
            </w:r>
            <w:r w:rsidRPr="000B116D">
              <w:rPr>
                <w:rFonts w:ascii="Times New Roman" w:eastAsia="Times New Roman" w:hAnsi="Times New Roman" w:cs="Times New Roman"/>
                <w:color w:val="000000"/>
                <w:sz w:val="20"/>
                <w:szCs w:val="22"/>
                <w:vertAlign w:val="superscript"/>
              </w:rPr>
              <w:t>**</w:t>
            </w:r>
            <w:r w:rsidRPr="000B116D">
              <w:rPr>
                <w:rFonts w:ascii="Times New Roman" w:eastAsia="Times New Roman" w:hAnsi="Times New Roman" w:cs="Times New Roman"/>
                <w:i/>
                <w:iCs/>
                <w:color w:val="000000"/>
                <w:sz w:val="20"/>
                <w:szCs w:val="22"/>
              </w:rPr>
              <w:t>p</w:t>
            </w:r>
            <w:r w:rsidRPr="000B116D">
              <w:rPr>
                <w:rFonts w:ascii="Times New Roman" w:eastAsia="Times New Roman" w:hAnsi="Times New Roman" w:cs="Times New Roman"/>
                <w:color w:val="000000"/>
                <w:sz w:val="20"/>
                <w:szCs w:val="22"/>
              </w:rPr>
              <w:t>&lt;.01.</w:t>
            </w:r>
          </w:p>
        </w:tc>
      </w:tr>
    </w:tbl>
    <w:p w14:paraId="686DB587" w14:textId="735F2AE1" w:rsidR="00234C74" w:rsidRDefault="002747D2"/>
    <w:p w14:paraId="24FCF5F9" w14:textId="17750B3B" w:rsidR="000B116D" w:rsidRDefault="000B116D"/>
    <w:p w14:paraId="11585D4E" w14:textId="77777777" w:rsidR="000B116D" w:rsidRDefault="000B116D">
      <w:pPr>
        <w:sectPr w:rsidR="000B116D" w:rsidSect="000B116D">
          <w:headerReference w:type="default" r:id="rId7"/>
          <w:pgSz w:w="15840" w:h="12240" w:orient="landscape"/>
          <w:pgMar w:top="1440" w:right="1440" w:bottom="1440" w:left="1440" w:header="720" w:footer="720" w:gutter="0"/>
          <w:cols w:space="720"/>
          <w:docGrid w:linePitch="360"/>
        </w:sectPr>
      </w:pPr>
    </w:p>
    <w:p w14:paraId="003C8BA3" w14:textId="2CECCD3A" w:rsidR="000B116D" w:rsidRDefault="00797B7B">
      <w:r>
        <w:rPr>
          <w:noProof/>
        </w:rPr>
        <w:lastRenderedPageBreak/>
        <w:drawing>
          <wp:inline distT="0" distB="0" distL="0" distR="0" wp14:anchorId="138A02B7" wp14:editId="3096D563">
            <wp:extent cx="6741886" cy="4112986"/>
            <wp:effectExtent l="0" t="0" r="14605" b="14605"/>
            <wp:docPr id="1" name="Chart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3505B8" w14:textId="7F54A3D6" w:rsidR="000B116D" w:rsidRDefault="000B116D" w:rsidP="000B116D">
      <w:pPr>
        <w:spacing w:after="0" w:line="480" w:lineRule="auto"/>
        <w:rPr>
          <w:sz w:val="22"/>
          <w:szCs w:val="22"/>
        </w:rPr>
      </w:pPr>
      <w:r>
        <w:rPr>
          <w:i/>
          <w:sz w:val="22"/>
          <w:szCs w:val="22"/>
        </w:rPr>
        <w:t xml:space="preserve">Figure </w:t>
      </w:r>
      <w:r w:rsidR="008669A4">
        <w:rPr>
          <w:i/>
          <w:sz w:val="22"/>
          <w:szCs w:val="22"/>
        </w:rPr>
        <w:t>1</w:t>
      </w:r>
      <w:r>
        <w:rPr>
          <w:i/>
          <w:sz w:val="22"/>
          <w:szCs w:val="22"/>
        </w:rPr>
        <w:t xml:space="preserve">. </w:t>
      </w:r>
      <w:r w:rsidRPr="00AE489C">
        <w:rPr>
          <w:sz w:val="22"/>
          <w:szCs w:val="22"/>
        </w:rPr>
        <w:t xml:space="preserve">Percent of </w:t>
      </w:r>
      <w:r w:rsidR="008669A4">
        <w:rPr>
          <w:sz w:val="22"/>
          <w:szCs w:val="22"/>
        </w:rPr>
        <w:t>never</w:t>
      </w:r>
      <w:r w:rsidR="000A5120">
        <w:rPr>
          <w:sz w:val="22"/>
          <w:szCs w:val="22"/>
        </w:rPr>
        <w:t xml:space="preserve"> </w:t>
      </w:r>
      <w:r w:rsidR="008669A4">
        <w:rPr>
          <w:sz w:val="22"/>
          <w:szCs w:val="22"/>
        </w:rPr>
        <w:t>institutionalized</w:t>
      </w:r>
      <w:r w:rsidR="005105CB">
        <w:rPr>
          <w:sz w:val="22"/>
          <w:szCs w:val="22"/>
        </w:rPr>
        <w:t xml:space="preserve"> </w:t>
      </w:r>
      <w:r w:rsidRPr="00AE489C">
        <w:rPr>
          <w:sz w:val="22"/>
          <w:szCs w:val="22"/>
        </w:rPr>
        <w:t xml:space="preserve">and </w:t>
      </w:r>
      <w:r w:rsidR="008669A4">
        <w:rPr>
          <w:sz w:val="22"/>
          <w:szCs w:val="22"/>
        </w:rPr>
        <w:t>ever</w:t>
      </w:r>
      <w:r w:rsidR="000A5120">
        <w:rPr>
          <w:sz w:val="22"/>
          <w:szCs w:val="22"/>
        </w:rPr>
        <w:t xml:space="preserve"> </w:t>
      </w:r>
      <w:r w:rsidR="008669A4">
        <w:rPr>
          <w:sz w:val="22"/>
          <w:szCs w:val="22"/>
        </w:rPr>
        <w:t>institutionalized</w:t>
      </w:r>
      <w:r w:rsidRPr="00AE489C">
        <w:rPr>
          <w:sz w:val="22"/>
          <w:szCs w:val="22"/>
        </w:rPr>
        <w:t xml:space="preserve"> </w:t>
      </w:r>
      <w:r>
        <w:rPr>
          <w:sz w:val="22"/>
          <w:szCs w:val="22"/>
        </w:rPr>
        <w:t>adolescents</w:t>
      </w:r>
      <w:r w:rsidRPr="00AE489C">
        <w:rPr>
          <w:sz w:val="22"/>
          <w:szCs w:val="22"/>
        </w:rPr>
        <w:t xml:space="preserve"> in each longitudinal competence category.</w:t>
      </w:r>
    </w:p>
    <w:p w14:paraId="7AB1B9EF" w14:textId="46BB7F7D" w:rsidR="000B116D" w:rsidRDefault="000B116D" w:rsidP="000B116D">
      <w:pPr>
        <w:spacing w:after="0" w:line="480" w:lineRule="auto"/>
        <w:rPr>
          <w:sz w:val="22"/>
          <w:szCs w:val="22"/>
        </w:rPr>
      </w:pPr>
    </w:p>
    <w:p w14:paraId="2216CA75" w14:textId="77777777" w:rsidR="005105CB" w:rsidRDefault="005105CB" w:rsidP="000B116D">
      <w:pPr>
        <w:spacing w:after="0" w:line="480" w:lineRule="auto"/>
        <w:rPr>
          <w:sz w:val="22"/>
          <w:szCs w:val="22"/>
        </w:rPr>
      </w:pPr>
    </w:p>
    <w:p w14:paraId="12D3C219" w14:textId="6A8C272C" w:rsidR="000B116D" w:rsidRDefault="00C319F5" w:rsidP="000B116D">
      <w:pPr>
        <w:spacing w:after="0" w:line="480" w:lineRule="auto"/>
        <w:rPr>
          <w:sz w:val="22"/>
          <w:szCs w:val="22"/>
        </w:rPr>
      </w:pPr>
      <w:r>
        <w:rPr>
          <w:noProof/>
        </w:rPr>
        <w:lastRenderedPageBreak/>
        <w:drawing>
          <wp:inline distT="0" distB="0" distL="0" distR="0" wp14:anchorId="1DC7BDDF" wp14:editId="12CBC34B">
            <wp:extent cx="6746242" cy="4096657"/>
            <wp:effectExtent l="0" t="0" r="10160" b="18415"/>
            <wp:docPr id="5"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4B07243C" w14:textId="5119DD78" w:rsidR="000B116D" w:rsidRDefault="000B116D" w:rsidP="000B116D">
      <w:pPr>
        <w:spacing w:after="0" w:line="480" w:lineRule="auto"/>
        <w:rPr>
          <w:sz w:val="22"/>
          <w:szCs w:val="22"/>
        </w:rPr>
      </w:pPr>
      <w:r>
        <w:rPr>
          <w:i/>
          <w:sz w:val="22"/>
          <w:szCs w:val="22"/>
        </w:rPr>
        <w:t>Figure</w:t>
      </w:r>
      <w:r w:rsidR="008669A4">
        <w:rPr>
          <w:i/>
          <w:sz w:val="22"/>
          <w:szCs w:val="22"/>
        </w:rPr>
        <w:t xml:space="preserve"> 2</w:t>
      </w:r>
      <w:r>
        <w:rPr>
          <w:i/>
          <w:sz w:val="22"/>
          <w:szCs w:val="22"/>
        </w:rPr>
        <w:t xml:space="preserve">. </w:t>
      </w:r>
      <w:r w:rsidRPr="00AE489C">
        <w:rPr>
          <w:sz w:val="22"/>
          <w:szCs w:val="22"/>
        </w:rPr>
        <w:t xml:space="preserve">Percent of </w:t>
      </w:r>
      <w:r w:rsidR="008669A4">
        <w:rPr>
          <w:sz w:val="22"/>
          <w:szCs w:val="22"/>
        </w:rPr>
        <w:t>foster care group</w:t>
      </w:r>
      <w:r w:rsidR="005105CB">
        <w:rPr>
          <w:sz w:val="22"/>
          <w:szCs w:val="22"/>
        </w:rPr>
        <w:t xml:space="preserve"> </w:t>
      </w:r>
      <w:r w:rsidRPr="00AE489C">
        <w:rPr>
          <w:sz w:val="22"/>
          <w:szCs w:val="22"/>
        </w:rPr>
        <w:t xml:space="preserve">and </w:t>
      </w:r>
      <w:r w:rsidR="008669A4">
        <w:rPr>
          <w:sz w:val="22"/>
          <w:szCs w:val="22"/>
        </w:rPr>
        <w:t>care as usual group</w:t>
      </w:r>
      <w:r w:rsidR="005105CB">
        <w:rPr>
          <w:sz w:val="22"/>
          <w:szCs w:val="22"/>
        </w:rPr>
        <w:t xml:space="preserve"> </w:t>
      </w:r>
      <w:r>
        <w:rPr>
          <w:sz w:val="22"/>
          <w:szCs w:val="22"/>
        </w:rPr>
        <w:t>adolescents</w:t>
      </w:r>
      <w:r w:rsidRPr="00AE489C">
        <w:rPr>
          <w:sz w:val="22"/>
          <w:szCs w:val="22"/>
        </w:rPr>
        <w:t xml:space="preserve"> in each longitudinal competence category.</w:t>
      </w:r>
    </w:p>
    <w:p w14:paraId="34FF6374" w14:textId="77777777" w:rsidR="005105CB" w:rsidRDefault="005105CB" w:rsidP="000B116D">
      <w:pPr>
        <w:spacing w:after="0" w:line="480" w:lineRule="auto"/>
        <w:rPr>
          <w:i/>
          <w:sz w:val="22"/>
          <w:szCs w:val="22"/>
        </w:rPr>
      </w:pPr>
    </w:p>
    <w:p w14:paraId="73C00491" w14:textId="77777777" w:rsidR="005105CB" w:rsidRDefault="005105CB" w:rsidP="000B116D">
      <w:pPr>
        <w:spacing w:after="0" w:line="480" w:lineRule="auto"/>
        <w:rPr>
          <w:i/>
          <w:sz w:val="22"/>
          <w:szCs w:val="22"/>
        </w:rPr>
      </w:pPr>
    </w:p>
    <w:p w14:paraId="3B146E0B" w14:textId="77777777" w:rsidR="005105CB" w:rsidRDefault="005105CB" w:rsidP="000B116D">
      <w:pPr>
        <w:spacing w:after="0" w:line="480" w:lineRule="auto"/>
        <w:rPr>
          <w:i/>
          <w:sz w:val="22"/>
          <w:szCs w:val="22"/>
        </w:rPr>
      </w:pPr>
    </w:p>
    <w:p w14:paraId="1FA28EE4" w14:textId="2E0FDF53" w:rsidR="005105CB" w:rsidRDefault="005105CB" w:rsidP="000B116D">
      <w:pPr>
        <w:spacing w:after="0" w:line="480" w:lineRule="auto"/>
        <w:rPr>
          <w:i/>
          <w:sz w:val="22"/>
          <w:szCs w:val="22"/>
        </w:rPr>
      </w:pPr>
    </w:p>
    <w:p w14:paraId="2CD40D80" w14:textId="3B3C5C94" w:rsidR="00C319F5" w:rsidRDefault="00C319F5" w:rsidP="000B116D">
      <w:pPr>
        <w:spacing w:after="0" w:line="480" w:lineRule="auto"/>
        <w:rPr>
          <w:i/>
          <w:sz w:val="22"/>
          <w:szCs w:val="22"/>
        </w:rPr>
      </w:pPr>
      <w:r>
        <w:rPr>
          <w:noProof/>
        </w:rPr>
        <w:lastRenderedPageBreak/>
        <w:drawing>
          <wp:inline distT="0" distB="0" distL="0" distR="0" wp14:anchorId="15B864FF" wp14:editId="5E074C33">
            <wp:extent cx="6725920" cy="4102100"/>
            <wp:effectExtent l="0" t="0" r="17780" b="12700"/>
            <wp:docPr id="7" name="Chart 7">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D40458" w14:textId="7B6D57F3" w:rsidR="000B116D" w:rsidRPr="008669A4" w:rsidRDefault="000B116D" w:rsidP="000B116D">
      <w:pPr>
        <w:spacing w:after="0" w:line="480" w:lineRule="auto"/>
        <w:rPr>
          <w:i/>
          <w:sz w:val="22"/>
          <w:szCs w:val="22"/>
        </w:rPr>
      </w:pPr>
      <w:r>
        <w:rPr>
          <w:i/>
          <w:sz w:val="22"/>
          <w:szCs w:val="22"/>
        </w:rPr>
        <w:t xml:space="preserve">Figure </w:t>
      </w:r>
      <w:r w:rsidR="008669A4">
        <w:rPr>
          <w:i/>
          <w:sz w:val="22"/>
          <w:szCs w:val="22"/>
        </w:rPr>
        <w:t>3</w:t>
      </w:r>
      <w:r>
        <w:rPr>
          <w:i/>
          <w:sz w:val="22"/>
          <w:szCs w:val="22"/>
        </w:rPr>
        <w:t xml:space="preserve">. </w:t>
      </w:r>
      <w:r w:rsidRPr="00AE489C">
        <w:rPr>
          <w:sz w:val="22"/>
          <w:szCs w:val="22"/>
        </w:rPr>
        <w:t xml:space="preserve">Percent of </w:t>
      </w:r>
      <w:r>
        <w:rPr>
          <w:sz w:val="22"/>
          <w:szCs w:val="22"/>
        </w:rPr>
        <w:t>adolescents</w:t>
      </w:r>
      <w:r w:rsidRPr="00AE489C">
        <w:rPr>
          <w:sz w:val="22"/>
          <w:szCs w:val="22"/>
        </w:rPr>
        <w:t xml:space="preserve"> in each longitudinal </w:t>
      </w:r>
      <w:r>
        <w:rPr>
          <w:sz w:val="22"/>
          <w:szCs w:val="22"/>
        </w:rPr>
        <w:t>competence category by age placed into foster care</w:t>
      </w:r>
      <w:r w:rsidRPr="00AE489C">
        <w:rPr>
          <w:sz w:val="22"/>
          <w:szCs w:val="22"/>
        </w:rPr>
        <w:t xml:space="preserve">. </w:t>
      </w:r>
      <w:r w:rsidR="005105CB">
        <w:rPr>
          <w:sz w:val="22"/>
          <w:szCs w:val="22"/>
        </w:rPr>
        <w:t>Placement prior to age 20 months</w:t>
      </w:r>
      <w:r w:rsidR="00126E45">
        <w:rPr>
          <w:sz w:val="22"/>
          <w:szCs w:val="22"/>
        </w:rPr>
        <w:t>,</w:t>
      </w:r>
      <w:r w:rsidR="005105CB">
        <w:rPr>
          <w:sz w:val="22"/>
          <w:szCs w:val="22"/>
        </w:rPr>
        <w:t xml:space="preserve"> placement at or after age 20 months</w:t>
      </w:r>
      <w:r w:rsidR="00126E45">
        <w:rPr>
          <w:sz w:val="22"/>
          <w:szCs w:val="22"/>
        </w:rPr>
        <w:t>.</w:t>
      </w:r>
    </w:p>
    <w:p w14:paraId="2890C6D5" w14:textId="77777777" w:rsidR="005105CB" w:rsidRDefault="005105CB" w:rsidP="000B116D">
      <w:pPr>
        <w:spacing w:after="0" w:line="480" w:lineRule="auto"/>
        <w:rPr>
          <w:i/>
          <w:sz w:val="22"/>
          <w:szCs w:val="22"/>
        </w:rPr>
      </w:pPr>
    </w:p>
    <w:p w14:paraId="11096FB7" w14:textId="77777777" w:rsidR="005105CB" w:rsidRDefault="005105CB" w:rsidP="000B116D">
      <w:pPr>
        <w:spacing w:after="0" w:line="480" w:lineRule="auto"/>
        <w:rPr>
          <w:i/>
          <w:sz w:val="22"/>
          <w:szCs w:val="22"/>
        </w:rPr>
      </w:pPr>
    </w:p>
    <w:p w14:paraId="1649AC36" w14:textId="77777777" w:rsidR="005105CB" w:rsidRDefault="005105CB" w:rsidP="000B116D">
      <w:pPr>
        <w:spacing w:after="0" w:line="480" w:lineRule="auto"/>
        <w:rPr>
          <w:i/>
          <w:sz w:val="22"/>
          <w:szCs w:val="22"/>
        </w:rPr>
      </w:pPr>
    </w:p>
    <w:p w14:paraId="43208C86" w14:textId="0DBC1176" w:rsidR="005105CB" w:rsidRDefault="00C319F5" w:rsidP="000B116D">
      <w:pPr>
        <w:spacing w:after="0" w:line="480" w:lineRule="auto"/>
        <w:rPr>
          <w:i/>
          <w:sz w:val="22"/>
          <w:szCs w:val="22"/>
        </w:rPr>
      </w:pPr>
      <w:r>
        <w:rPr>
          <w:noProof/>
        </w:rPr>
        <w:lastRenderedPageBreak/>
        <w:drawing>
          <wp:inline distT="0" distB="0" distL="0" distR="0" wp14:anchorId="02F68EAC" wp14:editId="47CC15CE">
            <wp:extent cx="6745515" cy="4098289"/>
            <wp:effectExtent l="0" t="0" r="11430" b="17145"/>
            <wp:docPr id="6" name="Chart 6">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E11046" w14:textId="4BA7D590" w:rsidR="000B116D" w:rsidRDefault="000B116D" w:rsidP="00126E45">
      <w:pPr>
        <w:spacing w:after="0" w:line="480" w:lineRule="auto"/>
      </w:pPr>
      <w:r>
        <w:rPr>
          <w:i/>
          <w:sz w:val="22"/>
          <w:szCs w:val="22"/>
        </w:rPr>
        <w:t xml:space="preserve">Figure </w:t>
      </w:r>
      <w:r w:rsidR="008669A4">
        <w:rPr>
          <w:i/>
          <w:sz w:val="22"/>
          <w:szCs w:val="22"/>
        </w:rPr>
        <w:t>4</w:t>
      </w:r>
      <w:r>
        <w:rPr>
          <w:i/>
          <w:sz w:val="22"/>
          <w:szCs w:val="22"/>
        </w:rPr>
        <w:t xml:space="preserve">. </w:t>
      </w:r>
      <w:r w:rsidRPr="00AE489C">
        <w:rPr>
          <w:sz w:val="22"/>
          <w:szCs w:val="22"/>
        </w:rPr>
        <w:t xml:space="preserve">Percent of </w:t>
      </w:r>
      <w:r>
        <w:rPr>
          <w:sz w:val="22"/>
          <w:szCs w:val="22"/>
        </w:rPr>
        <w:t>adolescents</w:t>
      </w:r>
      <w:r w:rsidRPr="00AE489C">
        <w:rPr>
          <w:sz w:val="22"/>
          <w:szCs w:val="22"/>
        </w:rPr>
        <w:t xml:space="preserve"> in each longitudinal competence category by placement stability group at age 16 years. </w:t>
      </w:r>
      <w:r>
        <w:rPr>
          <w:sz w:val="22"/>
          <w:szCs w:val="22"/>
        </w:rPr>
        <w:t xml:space="preserve">Disrupted foster care = </w:t>
      </w:r>
      <w:r w:rsidRPr="00006D6A">
        <w:rPr>
          <w:sz w:val="22"/>
          <w:szCs w:val="22"/>
        </w:rPr>
        <w:t>Foster care group</w:t>
      </w:r>
      <w:r w:rsidR="005105CB">
        <w:rPr>
          <w:sz w:val="22"/>
          <w:szCs w:val="22"/>
        </w:rPr>
        <w:t xml:space="preserve">, </w:t>
      </w:r>
      <w:r w:rsidRPr="00006D6A">
        <w:rPr>
          <w:sz w:val="22"/>
          <w:szCs w:val="22"/>
        </w:rPr>
        <w:t>disrupted from original foster family; Stable</w:t>
      </w:r>
      <w:r>
        <w:rPr>
          <w:sz w:val="22"/>
          <w:szCs w:val="22"/>
        </w:rPr>
        <w:t xml:space="preserve"> foster care </w:t>
      </w:r>
      <w:r w:rsidRPr="00006D6A">
        <w:rPr>
          <w:sz w:val="22"/>
          <w:szCs w:val="22"/>
        </w:rPr>
        <w:t>=</w:t>
      </w:r>
      <w:r>
        <w:rPr>
          <w:sz w:val="22"/>
          <w:szCs w:val="22"/>
        </w:rPr>
        <w:t xml:space="preserve"> </w:t>
      </w:r>
      <w:r w:rsidRPr="00006D6A">
        <w:rPr>
          <w:sz w:val="22"/>
          <w:szCs w:val="22"/>
        </w:rPr>
        <w:t>Foster care group, in original foster family</w:t>
      </w:r>
      <w:r>
        <w:rPr>
          <w:sz w:val="22"/>
          <w:szCs w:val="22"/>
        </w:rPr>
        <w:t>.</w:t>
      </w:r>
    </w:p>
    <w:p w14:paraId="5DAFB308" w14:textId="77777777" w:rsidR="000B116D" w:rsidRDefault="000B116D"/>
    <w:sectPr w:rsidR="000B116D" w:rsidSect="00126E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F13D" w14:textId="77777777" w:rsidR="002747D2" w:rsidRDefault="002747D2" w:rsidP="00991E8F">
      <w:pPr>
        <w:spacing w:after="0" w:line="240" w:lineRule="auto"/>
      </w:pPr>
      <w:r>
        <w:separator/>
      </w:r>
    </w:p>
  </w:endnote>
  <w:endnote w:type="continuationSeparator" w:id="0">
    <w:p w14:paraId="227B402D" w14:textId="77777777" w:rsidR="002747D2" w:rsidRDefault="002747D2" w:rsidP="0099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6738" w14:textId="77777777" w:rsidR="002747D2" w:rsidRDefault="002747D2" w:rsidP="00991E8F">
      <w:pPr>
        <w:spacing w:after="0" w:line="240" w:lineRule="auto"/>
      </w:pPr>
      <w:r>
        <w:separator/>
      </w:r>
    </w:p>
  </w:footnote>
  <w:footnote w:type="continuationSeparator" w:id="0">
    <w:p w14:paraId="735B0ABD" w14:textId="77777777" w:rsidR="002747D2" w:rsidRDefault="002747D2" w:rsidP="0099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514B" w14:textId="77777777" w:rsidR="00991E8F" w:rsidRPr="00991E8F" w:rsidRDefault="00991E8F" w:rsidP="00991E8F">
    <w:pPr>
      <w:pStyle w:val="Header"/>
      <w:rPr>
        <w:rFonts w:ascii="Times New Roman" w:hAnsi="Times New Roman" w:cs="Times New Roman"/>
      </w:rPr>
    </w:pPr>
    <w:r w:rsidRPr="00991E8F">
      <w:rPr>
        <w:rFonts w:ascii="Times New Roman" w:hAnsi="Times New Roman" w:cs="Times New Roman"/>
      </w:rPr>
      <w:t>EARLY CAREGIVING QUALITY AND LATER COMPETENCE</w:t>
    </w:r>
    <w:r w:rsidRPr="00991E8F">
      <w:rPr>
        <w:rFonts w:ascii="Times New Roman" w:hAnsi="Times New Roman" w:cs="Times New Roman"/>
      </w:rPr>
      <w:tab/>
    </w:r>
    <w:sdt>
      <w:sdtPr>
        <w:rPr>
          <w:rFonts w:ascii="Times New Roman" w:hAnsi="Times New Roman" w:cs="Times New Roman"/>
        </w:rPr>
        <w:id w:val="-172889695"/>
        <w:docPartObj>
          <w:docPartGallery w:val="Page Numbers (Top of Page)"/>
          <w:docPartUnique/>
        </w:docPartObj>
      </w:sdtPr>
      <w:sdtEndPr>
        <w:rPr>
          <w:noProof/>
        </w:rPr>
      </w:sdtEndPr>
      <w:sdtContent>
        <w:r w:rsidRPr="00991E8F">
          <w:rPr>
            <w:rFonts w:ascii="Times New Roman" w:hAnsi="Times New Roman" w:cs="Times New Roman"/>
          </w:rPr>
          <w:fldChar w:fldCharType="begin"/>
        </w:r>
        <w:r w:rsidRPr="00991E8F">
          <w:rPr>
            <w:rFonts w:ascii="Times New Roman" w:hAnsi="Times New Roman" w:cs="Times New Roman"/>
          </w:rPr>
          <w:instrText xml:space="preserve"> PAGE   \* MERGEFORMAT </w:instrText>
        </w:r>
        <w:r w:rsidRPr="00991E8F">
          <w:rPr>
            <w:rFonts w:ascii="Times New Roman" w:hAnsi="Times New Roman" w:cs="Times New Roman"/>
          </w:rPr>
          <w:fldChar w:fldCharType="separate"/>
        </w:r>
        <w:r w:rsidRPr="00991E8F">
          <w:rPr>
            <w:rFonts w:ascii="Times New Roman" w:hAnsi="Times New Roman" w:cs="Times New Roman"/>
          </w:rPr>
          <w:t>31</w:t>
        </w:r>
        <w:r w:rsidRPr="00991E8F">
          <w:rPr>
            <w:rFonts w:ascii="Times New Roman" w:hAnsi="Times New Roman" w:cs="Times New Roman"/>
            <w:noProof/>
          </w:rPr>
          <w:fldChar w:fldCharType="end"/>
        </w:r>
      </w:sdtContent>
    </w:sdt>
  </w:p>
  <w:p w14:paraId="427FD25E" w14:textId="77777777" w:rsidR="00991E8F" w:rsidRDefault="0099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666E" w14:textId="1777D83D" w:rsidR="00991E8F" w:rsidRPr="00991E8F" w:rsidRDefault="00991E8F" w:rsidP="00991E8F">
    <w:pPr>
      <w:pStyle w:val="Header"/>
      <w:rPr>
        <w:rFonts w:ascii="Times New Roman" w:hAnsi="Times New Roman" w:cs="Times New Roman"/>
      </w:rPr>
    </w:pPr>
    <w:r w:rsidRPr="00991E8F">
      <w:rPr>
        <w:rFonts w:ascii="Times New Roman" w:hAnsi="Times New Roman" w:cs="Times New Roman"/>
      </w:rPr>
      <w:t>EARLY CAREGIVING QUALITY AND LATER COMPETENCE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91E8F">
      <w:rPr>
        <w:rFonts w:ascii="Times New Roman" w:hAnsi="Times New Roman" w:cs="Times New Roman"/>
      </w:rPr>
      <w:tab/>
    </w:r>
    <w:sdt>
      <w:sdtPr>
        <w:rPr>
          <w:rFonts w:ascii="Times New Roman" w:hAnsi="Times New Roman" w:cs="Times New Roman"/>
        </w:rPr>
        <w:id w:val="1858773063"/>
        <w:docPartObj>
          <w:docPartGallery w:val="Page Numbers (Top of Page)"/>
          <w:docPartUnique/>
        </w:docPartObj>
      </w:sdtPr>
      <w:sdtEndPr>
        <w:rPr>
          <w:noProof/>
        </w:rPr>
      </w:sdtEndPr>
      <w:sdtContent>
        <w:r w:rsidRPr="00991E8F">
          <w:rPr>
            <w:rFonts w:ascii="Times New Roman" w:hAnsi="Times New Roman" w:cs="Times New Roman"/>
          </w:rPr>
          <w:fldChar w:fldCharType="begin"/>
        </w:r>
        <w:r w:rsidRPr="00991E8F">
          <w:rPr>
            <w:rFonts w:ascii="Times New Roman" w:hAnsi="Times New Roman" w:cs="Times New Roman"/>
          </w:rPr>
          <w:instrText xml:space="preserve"> PAGE   \* MERGEFORMAT </w:instrText>
        </w:r>
        <w:r w:rsidRPr="00991E8F">
          <w:rPr>
            <w:rFonts w:ascii="Times New Roman" w:hAnsi="Times New Roman" w:cs="Times New Roman"/>
          </w:rPr>
          <w:fldChar w:fldCharType="separate"/>
        </w:r>
        <w:r w:rsidRPr="00991E8F">
          <w:rPr>
            <w:rFonts w:ascii="Times New Roman" w:hAnsi="Times New Roman" w:cs="Times New Roman"/>
          </w:rPr>
          <w:t>31</w:t>
        </w:r>
        <w:r w:rsidRPr="00991E8F">
          <w:rPr>
            <w:rFonts w:ascii="Times New Roman" w:hAnsi="Times New Roman" w:cs="Times New Roman"/>
            <w:noProof/>
          </w:rPr>
          <w:fldChar w:fldCharType="end"/>
        </w:r>
      </w:sdtContent>
    </w:sdt>
  </w:p>
  <w:p w14:paraId="44CA4D52" w14:textId="77777777" w:rsidR="00991E8F" w:rsidRDefault="00991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BF"/>
    <w:rsid w:val="000A5120"/>
    <w:rsid w:val="000B116D"/>
    <w:rsid w:val="00126E45"/>
    <w:rsid w:val="002519FA"/>
    <w:rsid w:val="002747D2"/>
    <w:rsid w:val="003B74B4"/>
    <w:rsid w:val="005105CB"/>
    <w:rsid w:val="0054674C"/>
    <w:rsid w:val="00581ACC"/>
    <w:rsid w:val="00604041"/>
    <w:rsid w:val="00797B7B"/>
    <w:rsid w:val="007D31FC"/>
    <w:rsid w:val="007D42BF"/>
    <w:rsid w:val="008669A4"/>
    <w:rsid w:val="00947D81"/>
    <w:rsid w:val="00991E8F"/>
    <w:rsid w:val="00A93F2A"/>
    <w:rsid w:val="00B67EEE"/>
    <w:rsid w:val="00C3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62AD"/>
  <w14:defaultImageDpi w14:val="32767"/>
  <w15:chartTrackingRefBased/>
  <w15:docId w15:val="{0CDAA243-8764-CB44-8956-3B289745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16D"/>
    <w:rPr>
      <w:sz w:val="16"/>
      <w:szCs w:val="16"/>
    </w:rPr>
  </w:style>
  <w:style w:type="paragraph" w:styleId="CommentText">
    <w:name w:val="annotation text"/>
    <w:basedOn w:val="Normal"/>
    <w:link w:val="CommentTextChar"/>
    <w:uiPriority w:val="99"/>
    <w:unhideWhenUsed/>
    <w:rsid w:val="000B116D"/>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0B116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B11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16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0404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04041"/>
    <w:rPr>
      <w:rFonts w:ascii="Times New Roman" w:hAnsi="Times New Roman" w:cs="Times New Roman"/>
      <w:b/>
      <w:bCs/>
      <w:sz w:val="20"/>
      <w:szCs w:val="20"/>
    </w:rPr>
  </w:style>
  <w:style w:type="paragraph" w:styleId="Header">
    <w:name w:val="header"/>
    <w:basedOn w:val="Normal"/>
    <w:link w:val="HeaderChar"/>
    <w:uiPriority w:val="99"/>
    <w:unhideWhenUsed/>
    <w:rsid w:val="0099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8F"/>
  </w:style>
  <w:style w:type="paragraph" w:styleId="Footer">
    <w:name w:val="footer"/>
    <w:basedOn w:val="Normal"/>
    <w:link w:val="FooterChar"/>
    <w:uiPriority w:val="99"/>
    <w:unhideWhenUsed/>
    <w:rsid w:val="0099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hart" Target="charts/chart4.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Guyon-Harris/Dropbox/Postdoc%20Tulane/Longitudinal%20competence/Londitudinal%20competence%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KGuyon-Harris/Dropbox/Postdoc%20Tulane/Longitudinal%20competence/Londitudinal%20competence%20tabl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KGuyon-Harris/Dropbox/Postdoc%20Tulane/Longitudinal%20competence/Londitudinal%20competence%20tabl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KGuyon-Harris/Dropbox/Postdoc%20Tulane/Longitudinal%20competence/Londitudinal%20competence%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'Supp Figures'!$B$3</c:f>
              <c:strCache>
                <c:ptCount val="1"/>
                <c:pt idx="0">
                  <c:v>Consistently competent</c:v>
                </c:pt>
              </c:strCache>
            </c:strRef>
          </c:tx>
          <c:spPr>
            <a:solidFill>
              <a:schemeClr val="dk1">
                <a:tint val="88500"/>
              </a:schemeClr>
            </a:solidFill>
            <a:ln>
              <a:solidFill>
                <a:schemeClr val="tx1"/>
              </a:solidFill>
            </a:ln>
            <a:effectLst/>
          </c:spPr>
          <c:invertIfNegative val="0"/>
          <c:cat>
            <c:strRef>
              <c:f>'Supp Figures'!$A$4:$A$5</c:f>
              <c:strCache>
                <c:ptCount val="2"/>
                <c:pt idx="0">
                  <c:v>Never institutionalized group</c:v>
                </c:pt>
                <c:pt idx="1">
                  <c:v>Ever institutionalized group</c:v>
                </c:pt>
              </c:strCache>
            </c:strRef>
          </c:cat>
          <c:val>
            <c:numRef>
              <c:f>'Supp Figures'!$B$4:$B$5</c:f>
              <c:numCache>
                <c:formatCode>General</c:formatCode>
                <c:ptCount val="2"/>
                <c:pt idx="0">
                  <c:v>0.6</c:v>
                </c:pt>
                <c:pt idx="1">
                  <c:v>0.17</c:v>
                </c:pt>
              </c:numCache>
            </c:numRef>
          </c:val>
          <c:extLst>
            <c:ext xmlns:c16="http://schemas.microsoft.com/office/drawing/2014/chart" uri="{C3380CC4-5D6E-409C-BE32-E72D297353CC}">
              <c16:uniqueId val="{00000000-9333-6747-B581-C5CAB3B218DF}"/>
            </c:ext>
          </c:extLst>
        </c:ser>
        <c:ser>
          <c:idx val="1"/>
          <c:order val="1"/>
          <c:tx>
            <c:strRef>
              <c:f>'Supp Figures'!$C$3</c:f>
              <c:strCache>
                <c:ptCount val="1"/>
                <c:pt idx="0">
                  <c:v>Inconsistently competent</c:v>
                </c:pt>
              </c:strCache>
            </c:strRef>
          </c:tx>
          <c:spPr>
            <a:solidFill>
              <a:schemeClr val="dk1">
                <a:tint val="55000"/>
              </a:schemeClr>
            </a:solidFill>
            <a:ln>
              <a:solidFill>
                <a:schemeClr val="tx1"/>
              </a:solidFill>
            </a:ln>
            <a:effectLst/>
          </c:spPr>
          <c:invertIfNegative val="0"/>
          <c:cat>
            <c:strRef>
              <c:f>'Supp Figures'!$A$4:$A$5</c:f>
              <c:strCache>
                <c:ptCount val="2"/>
                <c:pt idx="0">
                  <c:v>Never institutionalized group</c:v>
                </c:pt>
                <c:pt idx="1">
                  <c:v>Ever institutionalized group</c:v>
                </c:pt>
              </c:strCache>
            </c:strRef>
          </c:cat>
          <c:val>
            <c:numRef>
              <c:f>'Supp Figures'!$C$4:$C$5</c:f>
              <c:numCache>
                <c:formatCode>General</c:formatCode>
                <c:ptCount val="2"/>
                <c:pt idx="0">
                  <c:v>0.37</c:v>
                </c:pt>
                <c:pt idx="1">
                  <c:v>0.59</c:v>
                </c:pt>
              </c:numCache>
            </c:numRef>
          </c:val>
          <c:extLst>
            <c:ext xmlns:c16="http://schemas.microsoft.com/office/drawing/2014/chart" uri="{C3380CC4-5D6E-409C-BE32-E72D297353CC}">
              <c16:uniqueId val="{00000001-9333-6747-B581-C5CAB3B218DF}"/>
            </c:ext>
          </c:extLst>
        </c:ser>
        <c:ser>
          <c:idx val="2"/>
          <c:order val="2"/>
          <c:tx>
            <c:strRef>
              <c:f>'Supp Figures'!$D$3</c:f>
              <c:strCache>
                <c:ptCount val="1"/>
                <c:pt idx="0">
                  <c:v>Never competent</c:v>
                </c:pt>
              </c:strCache>
            </c:strRef>
          </c:tx>
          <c:spPr>
            <a:solidFill>
              <a:schemeClr val="dk1">
                <a:tint val="75000"/>
              </a:schemeClr>
            </a:solidFill>
            <a:ln>
              <a:solidFill>
                <a:schemeClr val="tx1"/>
              </a:solidFill>
            </a:ln>
            <a:effectLst/>
          </c:spPr>
          <c:invertIfNegative val="0"/>
          <c:cat>
            <c:strRef>
              <c:f>'Supp Figures'!$A$4:$A$5</c:f>
              <c:strCache>
                <c:ptCount val="2"/>
                <c:pt idx="0">
                  <c:v>Never institutionalized group</c:v>
                </c:pt>
                <c:pt idx="1">
                  <c:v>Ever institutionalized group</c:v>
                </c:pt>
              </c:strCache>
            </c:strRef>
          </c:cat>
          <c:val>
            <c:numRef>
              <c:f>'Supp Figures'!$D$4:$D$5</c:f>
              <c:numCache>
                <c:formatCode>General</c:formatCode>
                <c:ptCount val="2"/>
                <c:pt idx="0">
                  <c:v>0.03</c:v>
                </c:pt>
                <c:pt idx="1">
                  <c:v>0.24</c:v>
                </c:pt>
              </c:numCache>
            </c:numRef>
          </c:val>
          <c:extLst>
            <c:ext xmlns:c16="http://schemas.microsoft.com/office/drawing/2014/chart" uri="{C3380CC4-5D6E-409C-BE32-E72D297353CC}">
              <c16:uniqueId val="{00000002-9333-6747-B581-C5CAB3B218DF}"/>
            </c:ext>
          </c:extLst>
        </c:ser>
        <c:dLbls>
          <c:showLegendKey val="0"/>
          <c:showVal val="0"/>
          <c:showCatName val="0"/>
          <c:showSerName val="0"/>
          <c:showPercent val="0"/>
          <c:showBubbleSize val="0"/>
        </c:dLbls>
        <c:gapWidth val="219"/>
        <c:axId val="344768504"/>
        <c:axId val="344773424"/>
      </c:barChart>
      <c:catAx>
        <c:axId val="3447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73424"/>
        <c:crosses val="autoZero"/>
        <c:auto val="1"/>
        <c:lblAlgn val="ctr"/>
        <c:lblOffset val="100"/>
        <c:noMultiLvlLbl val="0"/>
      </c:catAx>
      <c:valAx>
        <c:axId val="3447734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68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'Supp Figures'!$B$14</c:f>
              <c:strCache>
                <c:ptCount val="1"/>
                <c:pt idx="0">
                  <c:v>Consistently competent</c:v>
                </c:pt>
              </c:strCache>
            </c:strRef>
          </c:tx>
          <c:spPr>
            <a:solidFill>
              <a:schemeClr val="dk1">
                <a:tint val="88500"/>
              </a:schemeClr>
            </a:solidFill>
            <a:ln>
              <a:solidFill>
                <a:schemeClr val="tx1"/>
              </a:solidFill>
            </a:ln>
            <a:effectLst/>
          </c:spPr>
          <c:invertIfNegative val="0"/>
          <c:cat>
            <c:strRef>
              <c:f>'Supp Figures'!$A$15:$A$16</c:f>
              <c:strCache>
                <c:ptCount val="2"/>
                <c:pt idx="0">
                  <c:v>Foster care group</c:v>
                </c:pt>
                <c:pt idx="1">
                  <c:v>Care as usual group</c:v>
                </c:pt>
              </c:strCache>
            </c:strRef>
          </c:cat>
          <c:val>
            <c:numRef>
              <c:f>'Supp Figures'!$B$15:$B$16</c:f>
              <c:numCache>
                <c:formatCode>General</c:formatCode>
                <c:ptCount val="2"/>
                <c:pt idx="0">
                  <c:v>0.2558139534883721</c:v>
                </c:pt>
                <c:pt idx="1">
                  <c:v>5.7142857142857141E-2</c:v>
                </c:pt>
              </c:numCache>
            </c:numRef>
          </c:val>
          <c:extLst>
            <c:ext xmlns:c16="http://schemas.microsoft.com/office/drawing/2014/chart" uri="{C3380CC4-5D6E-409C-BE32-E72D297353CC}">
              <c16:uniqueId val="{00000000-F60C-CB41-900F-9BEC4D1903D1}"/>
            </c:ext>
          </c:extLst>
        </c:ser>
        <c:ser>
          <c:idx val="1"/>
          <c:order val="1"/>
          <c:tx>
            <c:strRef>
              <c:f>'Supp Figures'!$C$14</c:f>
              <c:strCache>
                <c:ptCount val="1"/>
                <c:pt idx="0">
                  <c:v>Inconsistently competent</c:v>
                </c:pt>
              </c:strCache>
            </c:strRef>
          </c:tx>
          <c:spPr>
            <a:solidFill>
              <a:schemeClr val="dk1">
                <a:tint val="55000"/>
              </a:schemeClr>
            </a:solidFill>
            <a:ln>
              <a:solidFill>
                <a:schemeClr val="tx1"/>
              </a:solidFill>
            </a:ln>
            <a:effectLst/>
          </c:spPr>
          <c:invertIfNegative val="0"/>
          <c:cat>
            <c:strRef>
              <c:f>'Supp Figures'!$A$15:$A$16</c:f>
              <c:strCache>
                <c:ptCount val="2"/>
                <c:pt idx="0">
                  <c:v>Foster care group</c:v>
                </c:pt>
                <c:pt idx="1">
                  <c:v>Care as usual group</c:v>
                </c:pt>
              </c:strCache>
            </c:strRef>
          </c:cat>
          <c:val>
            <c:numRef>
              <c:f>'Supp Figures'!$C$15:$C$16</c:f>
              <c:numCache>
                <c:formatCode>General</c:formatCode>
                <c:ptCount val="2"/>
                <c:pt idx="0">
                  <c:v>0.51162790697674421</c:v>
                </c:pt>
                <c:pt idx="1">
                  <c:v>0.68571428571428572</c:v>
                </c:pt>
              </c:numCache>
            </c:numRef>
          </c:val>
          <c:extLst>
            <c:ext xmlns:c16="http://schemas.microsoft.com/office/drawing/2014/chart" uri="{C3380CC4-5D6E-409C-BE32-E72D297353CC}">
              <c16:uniqueId val="{00000001-F60C-CB41-900F-9BEC4D1903D1}"/>
            </c:ext>
          </c:extLst>
        </c:ser>
        <c:ser>
          <c:idx val="2"/>
          <c:order val="2"/>
          <c:tx>
            <c:strRef>
              <c:f>'Supp Figures'!$D$14</c:f>
              <c:strCache>
                <c:ptCount val="1"/>
                <c:pt idx="0">
                  <c:v>Never competent</c:v>
                </c:pt>
              </c:strCache>
            </c:strRef>
          </c:tx>
          <c:spPr>
            <a:solidFill>
              <a:schemeClr val="dk1">
                <a:tint val="75000"/>
              </a:schemeClr>
            </a:solidFill>
            <a:ln>
              <a:solidFill>
                <a:schemeClr val="tx1"/>
              </a:solidFill>
            </a:ln>
            <a:effectLst/>
          </c:spPr>
          <c:invertIfNegative val="0"/>
          <c:cat>
            <c:strRef>
              <c:f>'Supp Figures'!$A$15:$A$16</c:f>
              <c:strCache>
                <c:ptCount val="2"/>
                <c:pt idx="0">
                  <c:v>Foster care group</c:v>
                </c:pt>
                <c:pt idx="1">
                  <c:v>Care as usual group</c:v>
                </c:pt>
              </c:strCache>
            </c:strRef>
          </c:cat>
          <c:val>
            <c:numRef>
              <c:f>'Supp Figures'!$D$15:$D$16</c:f>
              <c:numCache>
                <c:formatCode>General</c:formatCode>
                <c:ptCount val="2"/>
                <c:pt idx="0">
                  <c:v>0.23255813953488372</c:v>
                </c:pt>
                <c:pt idx="1">
                  <c:v>0.25714285714285712</c:v>
                </c:pt>
              </c:numCache>
            </c:numRef>
          </c:val>
          <c:extLst>
            <c:ext xmlns:c16="http://schemas.microsoft.com/office/drawing/2014/chart" uri="{C3380CC4-5D6E-409C-BE32-E72D297353CC}">
              <c16:uniqueId val="{00000002-F60C-CB41-900F-9BEC4D1903D1}"/>
            </c:ext>
          </c:extLst>
        </c:ser>
        <c:dLbls>
          <c:showLegendKey val="0"/>
          <c:showVal val="0"/>
          <c:showCatName val="0"/>
          <c:showSerName val="0"/>
          <c:showPercent val="0"/>
          <c:showBubbleSize val="0"/>
        </c:dLbls>
        <c:gapWidth val="219"/>
        <c:axId val="344768504"/>
        <c:axId val="344773424"/>
      </c:barChart>
      <c:catAx>
        <c:axId val="3447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73424"/>
        <c:crosses val="autoZero"/>
        <c:auto val="1"/>
        <c:lblAlgn val="ctr"/>
        <c:lblOffset val="100"/>
        <c:noMultiLvlLbl val="0"/>
      </c:catAx>
      <c:valAx>
        <c:axId val="3447734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68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'Supp Figures'!$B$51</c:f>
              <c:strCache>
                <c:ptCount val="1"/>
                <c:pt idx="0">
                  <c:v>Consistently competent</c:v>
                </c:pt>
              </c:strCache>
            </c:strRef>
          </c:tx>
          <c:spPr>
            <a:solidFill>
              <a:schemeClr val="dk1">
                <a:tint val="88500"/>
              </a:schemeClr>
            </a:solidFill>
            <a:ln>
              <a:solidFill>
                <a:schemeClr val="tx1"/>
              </a:solidFill>
            </a:ln>
            <a:effectLst/>
          </c:spPr>
          <c:invertIfNegative val="0"/>
          <c:cat>
            <c:strRef>
              <c:f>'Supp Figures'!$A$52:$A$53</c:f>
              <c:strCache>
                <c:ptCount val="2"/>
                <c:pt idx="0">
                  <c:v>Placement &lt;20 months </c:v>
                </c:pt>
                <c:pt idx="1">
                  <c:v>Placement ≥20 months</c:v>
                </c:pt>
              </c:strCache>
            </c:strRef>
          </c:cat>
          <c:val>
            <c:numRef>
              <c:f>'Supp Figures'!$B$52:$B$53</c:f>
              <c:numCache>
                <c:formatCode>General</c:formatCode>
                <c:ptCount val="2"/>
                <c:pt idx="0">
                  <c:v>0.45</c:v>
                </c:pt>
                <c:pt idx="1">
                  <c:v>0.19</c:v>
                </c:pt>
              </c:numCache>
            </c:numRef>
          </c:val>
          <c:extLst>
            <c:ext xmlns:c16="http://schemas.microsoft.com/office/drawing/2014/chart" uri="{C3380CC4-5D6E-409C-BE32-E72D297353CC}">
              <c16:uniqueId val="{00000000-800B-6F4E-AC58-4EB4C390A3A3}"/>
            </c:ext>
          </c:extLst>
        </c:ser>
        <c:ser>
          <c:idx val="1"/>
          <c:order val="1"/>
          <c:tx>
            <c:strRef>
              <c:f>'Supp Figures'!$C$51</c:f>
              <c:strCache>
                <c:ptCount val="1"/>
                <c:pt idx="0">
                  <c:v>Inconsistently competent</c:v>
                </c:pt>
              </c:strCache>
            </c:strRef>
          </c:tx>
          <c:spPr>
            <a:solidFill>
              <a:schemeClr val="dk1">
                <a:tint val="55000"/>
              </a:schemeClr>
            </a:solidFill>
            <a:ln>
              <a:solidFill>
                <a:schemeClr val="tx1"/>
              </a:solidFill>
            </a:ln>
            <a:effectLst/>
          </c:spPr>
          <c:invertIfNegative val="0"/>
          <c:cat>
            <c:strRef>
              <c:f>'Supp Figures'!$A$52:$A$53</c:f>
              <c:strCache>
                <c:ptCount val="2"/>
                <c:pt idx="0">
                  <c:v>Placement &lt;20 months </c:v>
                </c:pt>
                <c:pt idx="1">
                  <c:v>Placement ≥20 months</c:v>
                </c:pt>
              </c:strCache>
            </c:strRef>
          </c:cat>
          <c:val>
            <c:numRef>
              <c:f>'Supp Figures'!$C$52:$C$53</c:f>
              <c:numCache>
                <c:formatCode>General</c:formatCode>
                <c:ptCount val="2"/>
                <c:pt idx="0">
                  <c:v>0.45</c:v>
                </c:pt>
                <c:pt idx="1">
                  <c:v>0.52</c:v>
                </c:pt>
              </c:numCache>
            </c:numRef>
          </c:val>
          <c:extLst>
            <c:ext xmlns:c16="http://schemas.microsoft.com/office/drawing/2014/chart" uri="{C3380CC4-5D6E-409C-BE32-E72D297353CC}">
              <c16:uniqueId val="{00000001-800B-6F4E-AC58-4EB4C390A3A3}"/>
            </c:ext>
          </c:extLst>
        </c:ser>
        <c:ser>
          <c:idx val="2"/>
          <c:order val="2"/>
          <c:tx>
            <c:strRef>
              <c:f>'Supp Figures'!$D$51</c:f>
              <c:strCache>
                <c:ptCount val="1"/>
                <c:pt idx="0">
                  <c:v>Never competent</c:v>
                </c:pt>
              </c:strCache>
            </c:strRef>
          </c:tx>
          <c:spPr>
            <a:solidFill>
              <a:schemeClr val="dk1">
                <a:tint val="75000"/>
              </a:schemeClr>
            </a:solidFill>
            <a:ln>
              <a:solidFill>
                <a:schemeClr val="tx1"/>
              </a:solidFill>
            </a:ln>
            <a:effectLst/>
          </c:spPr>
          <c:invertIfNegative val="0"/>
          <c:cat>
            <c:strRef>
              <c:f>'Supp Figures'!$A$52:$A$53</c:f>
              <c:strCache>
                <c:ptCount val="2"/>
                <c:pt idx="0">
                  <c:v>Placement &lt;20 months </c:v>
                </c:pt>
                <c:pt idx="1">
                  <c:v>Placement ≥20 months</c:v>
                </c:pt>
              </c:strCache>
            </c:strRef>
          </c:cat>
          <c:val>
            <c:numRef>
              <c:f>'Supp Figures'!$D$52:$D$53</c:f>
              <c:numCache>
                <c:formatCode>General</c:formatCode>
                <c:ptCount val="2"/>
                <c:pt idx="0">
                  <c:v>0.09</c:v>
                </c:pt>
                <c:pt idx="1">
                  <c:v>0.28999999999999998</c:v>
                </c:pt>
              </c:numCache>
            </c:numRef>
          </c:val>
          <c:extLst>
            <c:ext xmlns:c16="http://schemas.microsoft.com/office/drawing/2014/chart" uri="{C3380CC4-5D6E-409C-BE32-E72D297353CC}">
              <c16:uniqueId val="{00000002-800B-6F4E-AC58-4EB4C390A3A3}"/>
            </c:ext>
          </c:extLst>
        </c:ser>
        <c:dLbls>
          <c:showLegendKey val="0"/>
          <c:showVal val="0"/>
          <c:showCatName val="0"/>
          <c:showSerName val="0"/>
          <c:showPercent val="0"/>
          <c:showBubbleSize val="0"/>
        </c:dLbls>
        <c:gapWidth val="219"/>
        <c:axId val="344768504"/>
        <c:axId val="344773424"/>
      </c:barChart>
      <c:catAx>
        <c:axId val="3447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73424"/>
        <c:crosses val="autoZero"/>
        <c:auto val="1"/>
        <c:lblAlgn val="ctr"/>
        <c:lblOffset val="100"/>
        <c:noMultiLvlLbl val="0"/>
      </c:catAx>
      <c:valAx>
        <c:axId val="3447734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68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'Supp Figures'!$B$34</c:f>
              <c:strCache>
                <c:ptCount val="1"/>
                <c:pt idx="0">
                  <c:v>Consistently competent</c:v>
                </c:pt>
              </c:strCache>
            </c:strRef>
          </c:tx>
          <c:spPr>
            <a:solidFill>
              <a:schemeClr val="dk1">
                <a:tint val="88500"/>
              </a:schemeClr>
            </a:solidFill>
            <a:ln>
              <a:solidFill>
                <a:schemeClr val="tx1"/>
              </a:solidFill>
            </a:ln>
            <a:effectLst/>
          </c:spPr>
          <c:invertIfNegative val="0"/>
          <c:cat>
            <c:strRef>
              <c:f>'Supp Figures'!$A$36:$A$37</c:f>
              <c:strCache>
                <c:ptCount val="2"/>
                <c:pt idx="0">
                  <c:v>Disrupted foster care</c:v>
                </c:pt>
                <c:pt idx="1">
                  <c:v>Stable foster care</c:v>
                </c:pt>
              </c:strCache>
            </c:strRef>
          </c:cat>
          <c:val>
            <c:numRef>
              <c:f>'Supp Figures'!$B$36:$B$37</c:f>
              <c:numCache>
                <c:formatCode>General</c:formatCode>
                <c:ptCount val="2"/>
                <c:pt idx="0">
                  <c:v>0.21</c:v>
                </c:pt>
                <c:pt idx="1">
                  <c:v>0.33</c:v>
                </c:pt>
              </c:numCache>
            </c:numRef>
          </c:val>
          <c:extLst>
            <c:ext xmlns:c16="http://schemas.microsoft.com/office/drawing/2014/chart" uri="{C3380CC4-5D6E-409C-BE32-E72D297353CC}">
              <c16:uniqueId val="{00000000-7A5E-A746-8BCF-D66C1575EF0D}"/>
            </c:ext>
          </c:extLst>
        </c:ser>
        <c:ser>
          <c:idx val="1"/>
          <c:order val="1"/>
          <c:tx>
            <c:strRef>
              <c:f>'Supp Figures'!$C$34</c:f>
              <c:strCache>
                <c:ptCount val="1"/>
                <c:pt idx="0">
                  <c:v>Inconsistently competent</c:v>
                </c:pt>
              </c:strCache>
            </c:strRef>
          </c:tx>
          <c:spPr>
            <a:solidFill>
              <a:schemeClr val="dk1">
                <a:tint val="55000"/>
              </a:schemeClr>
            </a:solidFill>
            <a:ln>
              <a:solidFill>
                <a:schemeClr val="tx1"/>
              </a:solidFill>
            </a:ln>
            <a:effectLst/>
          </c:spPr>
          <c:invertIfNegative val="0"/>
          <c:cat>
            <c:strRef>
              <c:f>'Supp Figures'!$A$36:$A$37</c:f>
              <c:strCache>
                <c:ptCount val="2"/>
                <c:pt idx="0">
                  <c:v>Disrupted foster care</c:v>
                </c:pt>
                <c:pt idx="1">
                  <c:v>Stable foster care</c:v>
                </c:pt>
              </c:strCache>
            </c:strRef>
          </c:cat>
          <c:val>
            <c:numRef>
              <c:f>'Supp Figures'!$C$36:$C$37</c:f>
              <c:numCache>
                <c:formatCode>General</c:formatCode>
                <c:ptCount val="2"/>
                <c:pt idx="0">
                  <c:v>0.46</c:v>
                </c:pt>
                <c:pt idx="1">
                  <c:v>0.56000000000000005</c:v>
                </c:pt>
              </c:numCache>
            </c:numRef>
          </c:val>
          <c:extLst>
            <c:ext xmlns:c16="http://schemas.microsoft.com/office/drawing/2014/chart" uri="{C3380CC4-5D6E-409C-BE32-E72D297353CC}">
              <c16:uniqueId val="{00000001-7A5E-A746-8BCF-D66C1575EF0D}"/>
            </c:ext>
          </c:extLst>
        </c:ser>
        <c:ser>
          <c:idx val="2"/>
          <c:order val="2"/>
          <c:tx>
            <c:strRef>
              <c:f>'Supp Figures'!$D$34</c:f>
              <c:strCache>
                <c:ptCount val="1"/>
                <c:pt idx="0">
                  <c:v>Never competent</c:v>
                </c:pt>
              </c:strCache>
            </c:strRef>
          </c:tx>
          <c:spPr>
            <a:solidFill>
              <a:schemeClr val="dk1">
                <a:tint val="75000"/>
              </a:schemeClr>
            </a:solidFill>
            <a:ln>
              <a:solidFill>
                <a:schemeClr val="tx1"/>
              </a:solidFill>
            </a:ln>
            <a:effectLst/>
          </c:spPr>
          <c:invertIfNegative val="0"/>
          <c:cat>
            <c:strRef>
              <c:f>'Supp Figures'!$A$36:$A$37</c:f>
              <c:strCache>
                <c:ptCount val="2"/>
                <c:pt idx="0">
                  <c:v>Disrupted foster care</c:v>
                </c:pt>
                <c:pt idx="1">
                  <c:v>Stable foster care</c:v>
                </c:pt>
              </c:strCache>
            </c:strRef>
          </c:cat>
          <c:val>
            <c:numRef>
              <c:f>'Supp Figures'!$D$36:$D$37</c:f>
              <c:numCache>
                <c:formatCode>General</c:formatCode>
                <c:ptCount val="2"/>
                <c:pt idx="0">
                  <c:v>0.33</c:v>
                </c:pt>
                <c:pt idx="1">
                  <c:v>0.11</c:v>
                </c:pt>
              </c:numCache>
            </c:numRef>
          </c:val>
          <c:extLst>
            <c:ext xmlns:c16="http://schemas.microsoft.com/office/drawing/2014/chart" uri="{C3380CC4-5D6E-409C-BE32-E72D297353CC}">
              <c16:uniqueId val="{00000002-7A5E-A746-8BCF-D66C1575EF0D}"/>
            </c:ext>
          </c:extLst>
        </c:ser>
        <c:dLbls>
          <c:showLegendKey val="0"/>
          <c:showVal val="0"/>
          <c:showCatName val="0"/>
          <c:showSerName val="0"/>
          <c:showPercent val="0"/>
          <c:showBubbleSize val="0"/>
        </c:dLbls>
        <c:gapWidth val="219"/>
        <c:axId val="344768504"/>
        <c:axId val="344773424"/>
      </c:barChart>
      <c:catAx>
        <c:axId val="3447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73424"/>
        <c:crosses val="autoZero"/>
        <c:auto val="1"/>
        <c:lblAlgn val="ctr"/>
        <c:lblOffset val="100"/>
        <c:noMultiLvlLbl val="0"/>
      </c:catAx>
      <c:valAx>
        <c:axId val="3447734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4768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39</TotalTime>
  <Pages>8</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Guyon-Harris, Katherine</dc:creator>
  <cp:keywords/>
  <dc:description/>
  <cp:lastModifiedBy>Guyon-Harris, Katherine</cp:lastModifiedBy>
  <cp:revision>14</cp:revision>
  <dcterms:created xsi:type="dcterms:W3CDTF">2019-06-28T19:19:00Z</dcterms:created>
  <dcterms:modified xsi:type="dcterms:W3CDTF">2019-08-06T02:18:00Z</dcterms:modified>
</cp:coreProperties>
</file>