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BAB07" w14:textId="77777777" w:rsidR="000B0907" w:rsidRPr="000146EB" w:rsidRDefault="000B0907" w:rsidP="000B0907">
      <w:pPr>
        <w:pStyle w:val="Heading1"/>
      </w:pPr>
      <w:r w:rsidRPr="000146EB">
        <w:t xml:space="preserve">Supplementary information </w:t>
      </w:r>
    </w:p>
    <w:p w14:paraId="298D2381" w14:textId="77777777" w:rsidR="000B0907" w:rsidRPr="000146EB" w:rsidRDefault="000B0907" w:rsidP="000B0907">
      <w:pPr>
        <w:pStyle w:val="NormalWeb"/>
        <w:spacing w:before="0" w:beforeAutospacing="0" w:after="0" w:afterAutospacing="0"/>
        <w:textAlignment w:val="baseline"/>
      </w:pPr>
    </w:p>
    <w:p w14:paraId="2697DE49" w14:textId="77777777" w:rsidR="000B0907" w:rsidRPr="000146EB" w:rsidRDefault="000B0907" w:rsidP="000B0907">
      <w:pPr>
        <w:pStyle w:val="Heading2"/>
      </w:pPr>
      <w:r w:rsidRPr="000146EB">
        <w:t>Comparison of Consensus statements from others with the Consensus statements in this paper</w:t>
      </w:r>
    </w:p>
    <w:p w14:paraId="2B3768DE" w14:textId="77777777" w:rsidR="000B0907" w:rsidRPr="000146EB" w:rsidRDefault="000B0907" w:rsidP="000B0907">
      <w:pPr>
        <w:pStyle w:val="NormalWeb"/>
        <w:spacing w:before="0" w:beforeAutospacing="0" w:after="0" w:afterAutospacing="0"/>
        <w:textAlignment w:val="baseline"/>
      </w:pPr>
    </w:p>
    <w:p w14:paraId="07BED808" w14:textId="37C40CCE" w:rsidR="000B0907" w:rsidRPr="000B0907" w:rsidRDefault="000B0907" w:rsidP="000B0907">
      <w:pPr>
        <w:pStyle w:val="NormalWeb"/>
        <w:spacing w:before="0" w:beforeAutospacing="0" w:after="0" w:afterAutospacing="0"/>
        <w:textAlignment w:val="baseline"/>
        <w:rPr>
          <w:rFonts w:ascii="Arial" w:eastAsiaTheme="minorHAnsi" w:hAnsi="Arial" w:cs="Arial"/>
          <w:bCs/>
          <w:color w:val="000000" w:themeColor="text1"/>
          <w:sz w:val="22"/>
          <w:szCs w:val="22"/>
          <w:lang w:eastAsia="ja-JP"/>
        </w:rPr>
      </w:pPr>
      <w:r>
        <w:rPr>
          <w:rFonts w:ascii="Arial" w:eastAsiaTheme="minorHAnsi" w:hAnsi="Arial" w:cs="Arial"/>
          <w:b/>
          <w:color w:val="000000" w:themeColor="text1"/>
          <w:sz w:val="22"/>
          <w:szCs w:val="22"/>
          <w:lang w:eastAsia="ja-JP"/>
        </w:rPr>
        <w:t xml:space="preserve">Supplementary </w:t>
      </w:r>
      <w:r w:rsidRPr="000146EB">
        <w:rPr>
          <w:rFonts w:ascii="Arial" w:eastAsiaTheme="minorHAnsi" w:hAnsi="Arial" w:cs="Arial"/>
          <w:b/>
          <w:color w:val="000000" w:themeColor="text1"/>
          <w:sz w:val="22"/>
          <w:szCs w:val="22"/>
          <w:lang w:eastAsia="ja-JP"/>
        </w:rPr>
        <w:t>Table S1</w:t>
      </w:r>
      <w:r>
        <w:rPr>
          <w:rFonts w:ascii="Arial" w:eastAsiaTheme="minorHAnsi" w:hAnsi="Arial" w:cs="Arial"/>
          <w:b/>
          <w:color w:val="000000" w:themeColor="text1"/>
          <w:sz w:val="22"/>
          <w:szCs w:val="22"/>
          <w:lang w:eastAsia="ja-JP"/>
        </w:rPr>
        <w:t>.</w:t>
      </w:r>
      <w:r w:rsidRPr="000146EB">
        <w:rPr>
          <w:rFonts w:ascii="Arial" w:eastAsiaTheme="minorHAnsi" w:hAnsi="Arial" w:cs="Arial"/>
          <w:b/>
          <w:color w:val="000000" w:themeColor="text1"/>
          <w:sz w:val="22"/>
          <w:szCs w:val="22"/>
          <w:lang w:eastAsia="ja-JP"/>
        </w:rPr>
        <w:t xml:space="preserve"> </w:t>
      </w:r>
      <w:r w:rsidRPr="000B0907">
        <w:rPr>
          <w:rFonts w:ascii="Arial" w:eastAsiaTheme="minorHAnsi" w:hAnsi="Arial" w:cs="Arial"/>
          <w:bCs/>
          <w:color w:val="000000" w:themeColor="text1"/>
          <w:sz w:val="22"/>
          <w:szCs w:val="22"/>
          <w:lang w:eastAsia="ja-JP"/>
        </w:rPr>
        <w:t xml:space="preserve">Conclusions from Gibson </w:t>
      </w:r>
      <w:r w:rsidRPr="000B0907">
        <w:rPr>
          <w:rFonts w:ascii="Arial" w:eastAsiaTheme="minorHAnsi" w:hAnsi="Arial" w:cs="Arial"/>
          <w:bCs/>
          <w:i/>
          <w:iCs/>
          <w:color w:val="000000" w:themeColor="text1"/>
          <w:sz w:val="22"/>
          <w:szCs w:val="22"/>
          <w:lang w:eastAsia="ja-JP"/>
        </w:rPr>
        <w:t>et al.</w:t>
      </w:r>
      <w:r w:rsidRPr="000B0907">
        <w:rPr>
          <w:rFonts w:ascii="Arial" w:eastAsiaTheme="minorHAnsi" w:hAnsi="Arial" w:cs="Arial"/>
          <w:bCs/>
          <w:color w:val="000000" w:themeColor="text1"/>
          <w:sz w:val="22"/>
          <w:szCs w:val="22"/>
          <w:lang w:eastAsia="ja-JP"/>
        </w:rPr>
        <w:t xml:space="preserve"> (2014)</w:t>
      </w:r>
    </w:p>
    <w:p w14:paraId="3F72540B" w14:textId="77777777" w:rsidR="000B0907" w:rsidRPr="000146EB" w:rsidRDefault="000B0907" w:rsidP="000B0907">
      <w:pPr>
        <w:pStyle w:val="NormalWeb"/>
        <w:spacing w:before="0" w:beforeAutospacing="0" w:after="0" w:afterAutospacing="0"/>
        <w:textAlignment w:val="baseline"/>
        <w:rPr>
          <w:rFonts w:ascii="Arial" w:eastAsiaTheme="minorHAnsi" w:hAnsi="Arial" w:cs="Arial"/>
          <w:b/>
          <w:color w:val="000000" w:themeColor="text1"/>
          <w:sz w:val="22"/>
          <w:szCs w:val="22"/>
          <w:lang w:eastAsia="ja-JP"/>
        </w:rPr>
      </w:pPr>
    </w:p>
    <w:tbl>
      <w:tblPr>
        <w:tblStyle w:val="TableGrid"/>
        <w:tblW w:w="0" w:type="auto"/>
        <w:tblLook w:val="04A0" w:firstRow="1" w:lastRow="0" w:firstColumn="1" w:lastColumn="0" w:noHBand="0" w:noVBand="1"/>
      </w:tblPr>
      <w:tblGrid>
        <w:gridCol w:w="7135"/>
        <w:gridCol w:w="1881"/>
      </w:tblGrid>
      <w:tr w:rsidR="000B0907" w:rsidRPr="000146EB" w14:paraId="190EFC63" w14:textId="77777777" w:rsidTr="00BA6947">
        <w:tc>
          <w:tcPr>
            <w:tcW w:w="7338" w:type="dxa"/>
          </w:tcPr>
          <w:p w14:paraId="200EF91F"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p>
        </w:tc>
        <w:tc>
          <w:tcPr>
            <w:tcW w:w="1904" w:type="dxa"/>
          </w:tcPr>
          <w:p w14:paraId="7977ECE8" w14:textId="77777777" w:rsidR="000B0907" w:rsidRPr="00323078" w:rsidRDefault="000B0907" w:rsidP="00BA6947">
            <w:pPr>
              <w:pStyle w:val="NormalWeb"/>
              <w:spacing w:before="0" w:beforeAutospacing="0" w:after="0" w:afterAutospacing="0"/>
              <w:textAlignment w:val="baseline"/>
              <w:rPr>
                <w:rFonts w:ascii="Arial" w:eastAsiaTheme="minorHAnsi" w:hAnsi="Arial" w:cs="Arial"/>
                <w:color w:val="000000" w:themeColor="text1"/>
                <w:sz w:val="22"/>
                <w:szCs w:val="22"/>
                <w:lang w:eastAsia="ja-JP"/>
              </w:rPr>
            </w:pPr>
            <w:r w:rsidRPr="00323078">
              <w:rPr>
                <w:rFonts w:ascii="Arial" w:eastAsiaTheme="minorHAnsi" w:hAnsi="Arial" w:cs="Arial"/>
                <w:color w:val="000000" w:themeColor="text1"/>
                <w:sz w:val="22"/>
                <w:szCs w:val="22"/>
                <w:lang w:eastAsia="ja-JP"/>
              </w:rPr>
              <w:t>Relevant to our consensus statement</w:t>
            </w:r>
          </w:p>
          <w:p w14:paraId="0B38B1F0" w14:textId="772C186B" w:rsidR="000B0907" w:rsidRPr="000146EB" w:rsidRDefault="000B0907" w:rsidP="000B0907">
            <w:pPr>
              <w:pStyle w:val="NormalWeb"/>
              <w:spacing w:before="0" w:beforeAutospacing="0" w:after="0" w:afterAutospacing="0"/>
              <w:textAlignment w:val="baseline"/>
              <w:rPr>
                <w:rFonts w:ascii="Arial" w:eastAsiaTheme="minorHAnsi" w:hAnsi="Arial" w:cs="Arial"/>
                <w:color w:val="000000" w:themeColor="text1"/>
                <w:sz w:val="22"/>
                <w:szCs w:val="22"/>
                <w:lang w:eastAsia="ja-JP"/>
              </w:rPr>
            </w:pPr>
            <w:r w:rsidRPr="00FA13FA">
              <w:rPr>
                <w:rFonts w:ascii="Arial" w:eastAsiaTheme="minorHAnsi" w:hAnsi="Arial" w:cs="Arial"/>
                <w:color w:val="000000" w:themeColor="text1"/>
                <w:sz w:val="22"/>
                <w:szCs w:val="22"/>
                <w:lang w:eastAsia="ja-JP"/>
              </w:rPr>
              <w:t>Blank = not addressed</w:t>
            </w:r>
          </w:p>
        </w:tc>
      </w:tr>
      <w:tr w:rsidR="000B0907" w:rsidRPr="000146EB" w14:paraId="6DDA9EB1" w14:textId="77777777" w:rsidTr="00BA6947">
        <w:tc>
          <w:tcPr>
            <w:tcW w:w="7338" w:type="dxa"/>
          </w:tcPr>
          <w:p w14:paraId="6EF51E48" w14:textId="77777777" w:rsidR="000B0907" w:rsidRPr="000146EB" w:rsidRDefault="000B0907" w:rsidP="000B0907">
            <w:pPr>
              <w:pStyle w:val="NormalWeb"/>
              <w:numPr>
                <w:ilvl w:val="0"/>
                <w:numId w:val="1"/>
              </w:numPr>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LCS do not increase appetite and have no discernible effect on satiety</w:t>
            </w:r>
          </w:p>
        </w:tc>
        <w:tc>
          <w:tcPr>
            <w:tcW w:w="1904" w:type="dxa"/>
          </w:tcPr>
          <w:p w14:paraId="4C979276"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1a2</w:t>
            </w:r>
          </w:p>
        </w:tc>
      </w:tr>
      <w:tr w:rsidR="000B0907" w:rsidRPr="000146EB" w14:paraId="34F66165" w14:textId="77777777" w:rsidTr="00BA6947">
        <w:tc>
          <w:tcPr>
            <w:tcW w:w="7338" w:type="dxa"/>
          </w:tcPr>
          <w:p w14:paraId="7706E6BB" w14:textId="5956AE16" w:rsidR="000B0907" w:rsidRPr="000146EB" w:rsidRDefault="000B0907" w:rsidP="000B0907">
            <w:pPr>
              <w:pStyle w:val="NormalWeb"/>
              <w:numPr>
                <w:ilvl w:val="0"/>
                <w:numId w:val="1"/>
              </w:numPr>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LCS help to reduce energy when used in place of higher energy ingredients</w:t>
            </w:r>
          </w:p>
        </w:tc>
        <w:tc>
          <w:tcPr>
            <w:tcW w:w="1904" w:type="dxa"/>
          </w:tcPr>
          <w:p w14:paraId="5ECE8CA4"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1a1</w:t>
            </w:r>
          </w:p>
        </w:tc>
      </w:tr>
      <w:tr w:rsidR="000B0907" w:rsidRPr="000146EB" w14:paraId="6EED83A6" w14:textId="77777777" w:rsidTr="00BA6947">
        <w:tc>
          <w:tcPr>
            <w:tcW w:w="7338" w:type="dxa"/>
          </w:tcPr>
          <w:p w14:paraId="6B033628" w14:textId="4DFB0A4C" w:rsidR="000B0907" w:rsidRPr="000146EB" w:rsidRDefault="000B0907" w:rsidP="000B0907">
            <w:pPr>
              <w:pStyle w:val="NormalWeb"/>
              <w:numPr>
                <w:ilvl w:val="0"/>
                <w:numId w:val="1"/>
              </w:numPr>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LCS can enhance weight loss under real-life conditions when used as part of a behavioural weight loss programme</w:t>
            </w:r>
          </w:p>
        </w:tc>
        <w:tc>
          <w:tcPr>
            <w:tcW w:w="1904" w:type="dxa"/>
          </w:tcPr>
          <w:p w14:paraId="75418DE5"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1a1</w:t>
            </w:r>
          </w:p>
        </w:tc>
      </w:tr>
      <w:tr w:rsidR="000B0907" w:rsidRPr="000146EB" w14:paraId="5717F10A" w14:textId="77777777" w:rsidTr="00BA6947">
        <w:tc>
          <w:tcPr>
            <w:tcW w:w="7338" w:type="dxa"/>
          </w:tcPr>
          <w:p w14:paraId="28E06214" w14:textId="1232138E" w:rsidR="000B0907" w:rsidRPr="000146EB" w:rsidRDefault="000B0907" w:rsidP="000B0907">
            <w:pPr>
              <w:pStyle w:val="NormalWeb"/>
              <w:numPr>
                <w:ilvl w:val="0"/>
                <w:numId w:val="1"/>
              </w:numPr>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LCS may have a beneficial effect on post-prandial glucose and insulin in healthy individuals and in people with diabetes</w:t>
            </w:r>
          </w:p>
        </w:tc>
        <w:tc>
          <w:tcPr>
            <w:tcW w:w="1904" w:type="dxa"/>
          </w:tcPr>
          <w:p w14:paraId="431F6CF6"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1a3</w:t>
            </w:r>
          </w:p>
          <w:p w14:paraId="27A3EF16"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1a4</w:t>
            </w:r>
          </w:p>
        </w:tc>
      </w:tr>
      <w:tr w:rsidR="000B0907" w:rsidRPr="000146EB" w14:paraId="0099EAAD" w14:textId="77777777" w:rsidTr="00BA6947">
        <w:tc>
          <w:tcPr>
            <w:tcW w:w="7338" w:type="dxa"/>
          </w:tcPr>
          <w:p w14:paraId="4C86E280" w14:textId="7342EBFA" w:rsidR="000B0907" w:rsidRPr="000146EB" w:rsidRDefault="000B0907" w:rsidP="000B0907">
            <w:pPr>
              <w:pStyle w:val="NormalWeb"/>
              <w:numPr>
                <w:ilvl w:val="0"/>
                <w:numId w:val="1"/>
              </w:numPr>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LCS have dental benefits when used in food, beverages, toothpaste and medications, provided other constituents are also non-cariogenic and non-erosive</w:t>
            </w:r>
          </w:p>
        </w:tc>
        <w:tc>
          <w:tcPr>
            <w:tcW w:w="1904" w:type="dxa"/>
          </w:tcPr>
          <w:p w14:paraId="6DAC287B"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p>
        </w:tc>
      </w:tr>
    </w:tbl>
    <w:p w14:paraId="2BCCA938" w14:textId="77777777" w:rsidR="000B0907" w:rsidRPr="000146EB" w:rsidRDefault="000B0907" w:rsidP="000B0907">
      <w:pPr>
        <w:rPr>
          <w:sz w:val="20"/>
          <w:szCs w:val="20"/>
        </w:rPr>
      </w:pPr>
    </w:p>
    <w:p w14:paraId="65848FED" w14:textId="2B97BCEC" w:rsidR="000B0907" w:rsidRPr="000B0907" w:rsidRDefault="000B0907" w:rsidP="000B0907">
      <w:pPr>
        <w:pStyle w:val="NormalWeb"/>
        <w:jc w:val="both"/>
        <w:textAlignment w:val="baseline"/>
        <w:rPr>
          <w:rFonts w:ascii="Arial" w:eastAsiaTheme="minorHAnsi" w:hAnsi="Arial" w:cs="Arial"/>
          <w:bCs/>
          <w:color w:val="000000" w:themeColor="text1"/>
          <w:sz w:val="22"/>
          <w:szCs w:val="22"/>
          <w:lang w:eastAsia="ja-JP"/>
        </w:rPr>
      </w:pPr>
      <w:r w:rsidRPr="000B0907">
        <w:rPr>
          <w:rFonts w:ascii="Arial" w:eastAsiaTheme="minorHAnsi" w:hAnsi="Arial" w:cs="Arial"/>
          <w:b/>
          <w:color w:val="000000" w:themeColor="text1"/>
          <w:sz w:val="22"/>
          <w:szCs w:val="22"/>
          <w:lang w:eastAsia="ja-JP"/>
        </w:rPr>
        <w:t xml:space="preserve">Supplementary </w:t>
      </w:r>
      <w:r w:rsidRPr="000146EB">
        <w:rPr>
          <w:rFonts w:ascii="Arial" w:eastAsiaTheme="minorHAnsi" w:hAnsi="Arial" w:cs="Arial"/>
          <w:b/>
          <w:color w:val="000000" w:themeColor="text1"/>
          <w:sz w:val="22"/>
          <w:szCs w:val="22"/>
          <w:lang w:eastAsia="ja-JP"/>
        </w:rPr>
        <w:t>Table S2</w:t>
      </w:r>
      <w:r>
        <w:rPr>
          <w:rFonts w:ascii="Arial" w:eastAsiaTheme="minorHAnsi" w:hAnsi="Arial" w:cs="Arial"/>
          <w:b/>
          <w:color w:val="000000" w:themeColor="text1"/>
          <w:sz w:val="22"/>
          <w:szCs w:val="22"/>
          <w:lang w:eastAsia="ja-JP"/>
        </w:rPr>
        <w:t>.</w:t>
      </w:r>
      <w:r w:rsidRPr="000146EB">
        <w:rPr>
          <w:rFonts w:ascii="Arial" w:eastAsiaTheme="minorHAnsi" w:hAnsi="Arial" w:cs="Arial"/>
          <w:b/>
          <w:color w:val="000000" w:themeColor="text1"/>
          <w:sz w:val="22"/>
          <w:szCs w:val="22"/>
          <w:lang w:eastAsia="ja-JP"/>
        </w:rPr>
        <w:t xml:space="preserve"> </w:t>
      </w:r>
      <w:r w:rsidRPr="000B0907">
        <w:rPr>
          <w:rFonts w:ascii="Arial" w:eastAsiaTheme="minorHAnsi" w:hAnsi="Arial" w:cs="Arial"/>
          <w:bCs/>
          <w:color w:val="000000" w:themeColor="text1"/>
          <w:sz w:val="22"/>
          <w:szCs w:val="22"/>
          <w:lang w:eastAsia="ja-JP"/>
        </w:rPr>
        <w:t>Conclusions from Serra-</w:t>
      </w:r>
      <w:proofErr w:type="spellStart"/>
      <w:r w:rsidRPr="000B0907">
        <w:rPr>
          <w:rFonts w:ascii="Arial" w:eastAsiaTheme="minorHAnsi" w:hAnsi="Arial" w:cs="Arial"/>
          <w:bCs/>
          <w:color w:val="000000" w:themeColor="text1"/>
          <w:sz w:val="22"/>
          <w:szCs w:val="22"/>
          <w:lang w:eastAsia="ja-JP"/>
        </w:rPr>
        <w:t>Majem</w:t>
      </w:r>
      <w:proofErr w:type="spellEnd"/>
      <w:r w:rsidRPr="000B0907">
        <w:rPr>
          <w:rFonts w:ascii="Arial" w:eastAsiaTheme="minorHAnsi" w:hAnsi="Arial" w:cs="Arial"/>
          <w:bCs/>
          <w:color w:val="000000" w:themeColor="text1"/>
          <w:sz w:val="22"/>
          <w:szCs w:val="22"/>
          <w:lang w:eastAsia="ja-JP"/>
        </w:rPr>
        <w:t xml:space="preserve"> </w:t>
      </w:r>
      <w:r w:rsidRPr="000B0907">
        <w:rPr>
          <w:rFonts w:ascii="Arial" w:eastAsiaTheme="minorHAnsi" w:hAnsi="Arial" w:cs="Arial"/>
          <w:bCs/>
          <w:i/>
          <w:iCs/>
          <w:color w:val="000000" w:themeColor="text1"/>
          <w:sz w:val="22"/>
          <w:szCs w:val="22"/>
          <w:lang w:eastAsia="ja-JP"/>
        </w:rPr>
        <w:t>et al</w:t>
      </w:r>
      <w:r w:rsidRPr="000B0907">
        <w:rPr>
          <w:rFonts w:ascii="Arial" w:eastAsiaTheme="minorHAnsi" w:hAnsi="Arial" w:cs="Arial"/>
          <w:bCs/>
          <w:i/>
          <w:iCs/>
          <w:color w:val="000000" w:themeColor="text1"/>
          <w:sz w:val="22"/>
          <w:szCs w:val="22"/>
          <w:lang w:eastAsia="ja-JP"/>
        </w:rPr>
        <w:t>.</w:t>
      </w:r>
      <w:r w:rsidRPr="000B0907">
        <w:rPr>
          <w:rFonts w:ascii="Arial" w:eastAsiaTheme="minorHAnsi" w:hAnsi="Arial" w:cs="Arial"/>
          <w:bCs/>
          <w:color w:val="000000" w:themeColor="text1"/>
          <w:sz w:val="22"/>
          <w:szCs w:val="22"/>
          <w:lang w:eastAsia="ja-JP"/>
        </w:rPr>
        <w:t xml:space="preserve"> (2018)</w:t>
      </w:r>
    </w:p>
    <w:tbl>
      <w:tblPr>
        <w:tblStyle w:val="TableGrid"/>
        <w:tblW w:w="0" w:type="auto"/>
        <w:tblLook w:val="04A0" w:firstRow="1" w:lastRow="0" w:firstColumn="1" w:lastColumn="0" w:noHBand="0" w:noVBand="1"/>
      </w:tblPr>
      <w:tblGrid>
        <w:gridCol w:w="7135"/>
        <w:gridCol w:w="1881"/>
      </w:tblGrid>
      <w:tr w:rsidR="000B0907" w:rsidRPr="000146EB" w14:paraId="0E928763" w14:textId="77777777" w:rsidTr="00BA6947">
        <w:tc>
          <w:tcPr>
            <w:tcW w:w="7338" w:type="dxa"/>
          </w:tcPr>
          <w:p w14:paraId="2992607C" w14:textId="77777777" w:rsidR="000B0907" w:rsidRPr="000146EB" w:rsidRDefault="000B0907" w:rsidP="00BA6947">
            <w:pPr>
              <w:rPr>
                <w:color w:val="000000" w:themeColor="text1"/>
                <w:sz w:val="20"/>
                <w:szCs w:val="20"/>
              </w:rPr>
            </w:pPr>
          </w:p>
        </w:tc>
        <w:tc>
          <w:tcPr>
            <w:tcW w:w="1904" w:type="dxa"/>
          </w:tcPr>
          <w:p w14:paraId="305B1178" w14:textId="77777777" w:rsidR="000B0907" w:rsidRDefault="000B0907" w:rsidP="000B0907">
            <w:pPr>
              <w:pStyle w:val="NormalWeb"/>
              <w:spacing w:before="0" w:beforeAutospacing="0" w:after="0" w:afterAutospacing="0"/>
              <w:textAlignment w:val="baseline"/>
              <w:rPr>
                <w:rFonts w:ascii="Arial" w:hAnsi="Arial" w:cs="Arial"/>
                <w:sz w:val="22"/>
                <w:szCs w:val="22"/>
              </w:rPr>
            </w:pPr>
            <w:r w:rsidRPr="000B0907">
              <w:rPr>
                <w:rFonts w:ascii="Arial" w:hAnsi="Arial" w:cs="Arial"/>
                <w:sz w:val="22"/>
                <w:szCs w:val="22"/>
              </w:rPr>
              <w:t>Relevant to our consensus statement</w:t>
            </w:r>
          </w:p>
          <w:p w14:paraId="749B8D8E" w14:textId="30BA0355" w:rsidR="000B0907" w:rsidRPr="000B0907" w:rsidRDefault="000B0907" w:rsidP="000B0907">
            <w:pPr>
              <w:pStyle w:val="NormalWeb"/>
              <w:spacing w:before="0" w:beforeAutospacing="0" w:after="0" w:afterAutospacing="0"/>
              <w:textAlignment w:val="baseline"/>
              <w:rPr>
                <w:rFonts w:ascii="Arial" w:eastAsiaTheme="minorHAnsi" w:hAnsi="Arial" w:cs="Arial"/>
                <w:color w:val="000000" w:themeColor="text1"/>
                <w:sz w:val="22"/>
                <w:szCs w:val="22"/>
                <w:lang w:eastAsia="ja-JP"/>
              </w:rPr>
            </w:pPr>
            <w:r w:rsidRPr="000B0907">
              <w:rPr>
                <w:rFonts w:ascii="Arial" w:eastAsiaTheme="minorHAnsi" w:hAnsi="Arial" w:cs="Arial"/>
                <w:color w:val="000000" w:themeColor="text1"/>
                <w:sz w:val="22"/>
                <w:szCs w:val="22"/>
                <w:lang w:eastAsia="ja-JP"/>
              </w:rPr>
              <w:t>Blank = not addressed</w:t>
            </w:r>
          </w:p>
        </w:tc>
      </w:tr>
      <w:tr w:rsidR="000B0907" w:rsidRPr="000146EB" w14:paraId="42A78B48" w14:textId="77777777" w:rsidTr="00BA6947">
        <w:tc>
          <w:tcPr>
            <w:tcW w:w="7338" w:type="dxa"/>
          </w:tcPr>
          <w:p w14:paraId="26608BC0" w14:textId="6963CFBA"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Pr>
                <w:rFonts w:ascii="Arial" w:eastAsiaTheme="minorHAnsi" w:hAnsi="Arial" w:cs="Arial"/>
                <w:color w:val="000000" w:themeColor="text1"/>
                <w:sz w:val="22"/>
                <w:szCs w:val="22"/>
                <w:lang w:eastAsia="ja-JP"/>
              </w:rPr>
              <w:t>(</w:t>
            </w:r>
            <w:r w:rsidRPr="000146EB">
              <w:rPr>
                <w:rFonts w:ascii="Arial" w:eastAsiaTheme="minorHAnsi" w:hAnsi="Arial" w:cs="Arial"/>
                <w:color w:val="000000" w:themeColor="text1"/>
                <w:sz w:val="22"/>
                <w:szCs w:val="22"/>
                <w:lang w:eastAsia="ja-JP"/>
              </w:rPr>
              <w:t>1) LNCS are some of the most extensively evaluated dietary constituents, and their safety has been reviewed and confirmed by regulatory bodies globally including the World Health Organisation, the US Food and Drug Administration and the European Food Safety Authority;</w:t>
            </w:r>
          </w:p>
        </w:tc>
        <w:tc>
          <w:tcPr>
            <w:tcW w:w="1904" w:type="dxa"/>
          </w:tcPr>
          <w:p w14:paraId="60DE13B9"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2a1</w:t>
            </w:r>
          </w:p>
        </w:tc>
      </w:tr>
      <w:tr w:rsidR="000B0907" w:rsidRPr="000146EB" w14:paraId="492B455D" w14:textId="77777777" w:rsidTr="00BA6947">
        <w:tc>
          <w:tcPr>
            <w:tcW w:w="7338" w:type="dxa"/>
          </w:tcPr>
          <w:p w14:paraId="3097124A" w14:textId="352500CA"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Pr>
                <w:rFonts w:ascii="Arial" w:eastAsiaTheme="minorHAnsi" w:hAnsi="Arial" w:cs="Arial"/>
                <w:color w:val="000000" w:themeColor="text1"/>
                <w:sz w:val="22"/>
                <w:szCs w:val="22"/>
                <w:lang w:eastAsia="ja-JP"/>
              </w:rPr>
              <w:t>(</w:t>
            </w:r>
            <w:r w:rsidRPr="000146EB">
              <w:rPr>
                <w:rFonts w:ascii="Arial" w:eastAsiaTheme="minorHAnsi" w:hAnsi="Arial" w:cs="Arial"/>
                <w:color w:val="000000" w:themeColor="text1"/>
                <w:sz w:val="22"/>
                <w:szCs w:val="22"/>
                <w:lang w:eastAsia="ja-JP"/>
              </w:rPr>
              <w:t>2) Consumer education, which is based on the most robust scientific evidence and regulatory processes, on the use of products containing LNCS should be strengthened in a comprehensive and objective way;</w:t>
            </w:r>
          </w:p>
        </w:tc>
        <w:tc>
          <w:tcPr>
            <w:tcW w:w="1904" w:type="dxa"/>
          </w:tcPr>
          <w:p w14:paraId="2EA55F26"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2b1</w:t>
            </w:r>
          </w:p>
          <w:p w14:paraId="19400C79"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2a5</w:t>
            </w:r>
          </w:p>
        </w:tc>
      </w:tr>
      <w:tr w:rsidR="000B0907" w:rsidRPr="000146EB" w14:paraId="39FC9614" w14:textId="77777777" w:rsidTr="00BA6947">
        <w:tc>
          <w:tcPr>
            <w:tcW w:w="7338" w:type="dxa"/>
          </w:tcPr>
          <w:p w14:paraId="1C10DE99" w14:textId="679C26A3"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Pr>
                <w:rFonts w:ascii="Arial" w:eastAsiaTheme="minorHAnsi" w:hAnsi="Arial" w:cs="Arial"/>
                <w:color w:val="000000" w:themeColor="text1"/>
                <w:sz w:val="22"/>
                <w:szCs w:val="22"/>
                <w:lang w:eastAsia="ja-JP"/>
              </w:rPr>
              <w:t>(</w:t>
            </w:r>
            <w:r w:rsidRPr="000146EB">
              <w:rPr>
                <w:rFonts w:ascii="Arial" w:eastAsiaTheme="minorHAnsi" w:hAnsi="Arial" w:cs="Arial"/>
                <w:color w:val="000000" w:themeColor="text1"/>
                <w:sz w:val="22"/>
                <w:szCs w:val="22"/>
                <w:lang w:eastAsia="ja-JP"/>
              </w:rPr>
              <w:t xml:space="preserve">3) The use of LNCS in weight reduction programmes that involve replacing caloric sweeteners with LNCS in the context of structured diet plans may favour sustainable weight reduction. </w:t>
            </w:r>
          </w:p>
          <w:p w14:paraId="4E3856F1"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lastRenderedPageBreak/>
              <w:t xml:space="preserve">Furthermore, their use in diabetes management programmes may contribute to a better glycaemic control in patients, albeit with modest results. </w:t>
            </w:r>
          </w:p>
          <w:p w14:paraId="626C40B4"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LNCS also provide dental health benefits when used in place of free sugars</w:t>
            </w:r>
          </w:p>
        </w:tc>
        <w:tc>
          <w:tcPr>
            <w:tcW w:w="1904" w:type="dxa"/>
          </w:tcPr>
          <w:p w14:paraId="6DFB1B78"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lastRenderedPageBreak/>
              <w:t>1a1</w:t>
            </w:r>
          </w:p>
          <w:p w14:paraId="5559C1E1"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1a3</w:t>
            </w:r>
          </w:p>
          <w:p w14:paraId="6F6FB52B"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lastRenderedPageBreak/>
              <w:t>1a4</w:t>
            </w:r>
          </w:p>
          <w:p w14:paraId="2B862A0F"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highlight w:val="yellow"/>
                <w:lang w:eastAsia="ja-JP"/>
              </w:rPr>
            </w:pPr>
          </w:p>
          <w:p w14:paraId="5508499B"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p>
        </w:tc>
      </w:tr>
      <w:tr w:rsidR="000B0907" w:rsidRPr="000146EB" w14:paraId="3220EE05" w14:textId="77777777" w:rsidTr="00BA6947">
        <w:tc>
          <w:tcPr>
            <w:tcW w:w="7338" w:type="dxa"/>
          </w:tcPr>
          <w:p w14:paraId="2A163DC8" w14:textId="1A8DFD10"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Pr>
                <w:rFonts w:ascii="Arial" w:eastAsiaTheme="minorHAnsi" w:hAnsi="Arial" w:cs="Arial"/>
                <w:color w:val="000000" w:themeColor="text1"/>
                <w:sz w:val="22"/>
                <w:szCs w:val="22"/>
                <w:lang w:eastAsia="ja-JP"/>
              </w:rPr>
              <w:lastRenderedPageBreak/>
              <w:t>(</w:t>
            </w:r>
            <w:r w:rsidRPr="000146EB">
              <w:rPr>
                <w:rFonts w:ascii="Arial" w:eastAsiaTheme="minorHAnsi" w:hAnsi="Arial" w:cs="Arial"/>
                <w:color w:val="000000" w:themeColor="text1"/>
                <w:sz w:val="22"/>
                <w:szCs w:val="22"/>
                <w:lang w:eastAsia="ja-JP"/>
              </w:rPr>
              <w:t>4)</w:t>
            </w:r>
            <w:r>
              <w:rPr>
                <w:rFonts w:ascii="Arial" w:eastAsiaTheme="minorHAnsi" w:hAnsi="Arial" w:cs="Arial"/>
                <w:color w:val="000000" w:themeColor="text1"/>
                <w:sz w:val="22"/>
                <w:szCs w:val="22"/>
                <w:lang w:eastAsia="ja-JP"/>
              </w:rPr>
              <w:t xml:space="preserve"> </w:t>
            </w:r>
            <w:r w:rsidRPr="000146EB">
              <w:rPr>
                <w:rFonts w:ascii="Arial" w:eastAsiaTheme="minorHAnsi" w:hAnsi="Arial" w:cs="Arial"/>
                <w:color w:val="000000" w:themeColor="text1"/>
                <w:sz w:val="22"/>
                <w:szCs w:val="22"/>
                <w:lang w:eastAsia="ja-JP"/>
              </w:rPr>
              <w:t>It is proposed that foods and beverages with LNCS could be included in dietary guidelines as alternative options to products sweetened with free sugars;</w:t>
            </w:r>
          </w:p>
        </w:tc>
        <w:tc>
          <w:tcPr>
            <w:tcW w:w="1904" w:type="dxa"/>
          </w:tcPr>
          <w:p w14:paraId="324CE432"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2a3</w:t>
            </w:r>
          </w:p>
          <w:p w14:paraId="4ADB1107"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3c1</w:t>
            </w:r>
          </w:p>
          <w:p w14:paraId="51292297"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3a4</w:t>
            </w:r>
          </w:p>
        </w:tc>
      </w:tr>
      <w:tr w:rsidR="000B0907" w:rsidRPr="000146EB" w14:paraId="3BF3EC3F" w14:textId="77777777" w:rsidTr="00BA6947">
        <w:tc>
          <w:tcPr>
            <w:tcW w:w="7338" w:type="dxa"/>
          </w:tcPr>
          <w:p w14:paraId="345816A0" w14:textId="543213F9"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Pr>
                <w:rFonts w:ascii="Arial" w:eastAsiaTheme="minorHAnsi" w:hAnsi="Arial" w:cs="Arial"/>
                <w:color w:val="000000" w:themeColor="text1"/>
                <w:sz w:val="22"/>
                <w:szCs w:val="22"/>
                <w:lang w:eastAsia="ja-JP"/>
              </w:rPr>
              <w:t>(</w:t>
            </w:r>
            <w:r w:rsidRPr="000146EB">
              <w:rPr>
                <w:rFonts w:ascii="Arial" w:eastAsiaTheme="minorHAnsi" w:hAnsi="Arial" w:cs="Arial"/>
                <w:color w:val="000000" w:themeColor="text1"/>
                <w:sz w:val="22"/>
                <w:szCs w:val="22"/>
                <w:lang w:eastAsia="ja-JP"/>
              </w:rPr>
              <w:t xml:space="preserve">5) Continued education of health professionals is required, since they are a key source of information on issues related to food and health for both the general population and patients. </w:t>
            </w:r>
            <w:proofErr w:type="gramStart"/>
            <w:r w:rsidRPr="000146EB">
              <w:rPr>
                <w:rFonts w:ascii="Arial" w:eastAsiaTheme="minorHAnsi" w:hAnsi="Arial" w:cs="Arial"/>
                <w:color w:val="000000" w:themeColor="text1"/>
                <w:sz w:val="22"/>
                <w:szCs w:val="22"/>
                <w:lang w:eastAsia="ja-JP"/>
              </w:rPr>
              <w:t>With this in mind, the</w:t>
            </w:r>
            <w:proofErr w:type="gramEnd"/>
            <w:r w:rsidRPr="000146EB">
              <w:rPr>
                <w:rFonts w:ascii="Arial" w:eastAsiaTheme="minorHAnsi" w:hAnsi="Arial" w:cs="Arial"/>
                <w:color w:val="000000" w:themeColor="text1"/>
                <w:sz w:val="22"/>
                <w:szCs w:val="22"/>
                <w:lang w:eastAsia="ja-JP"/>
              </w:rPr>
              <w:t xml:space="preserve"> publication of position statements and consensus documents in the academic literature are extremely desirable.</w:t>
            </w:r>
          </w:p>
        </w:tc>
        <w:tc>
          <w:tcPr>
            <w:tcW w:w="1904" w:type="dxa"/>
          </w:tcPr>
          <w:p w14:paraId="3268C5AD"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p>
          <w:p w14:paraId="7874579C"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3a3</w:t>
            </w:r>
          </w:p>
          <w:p w14:paraId="2251ECBE"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3c4</w:t>
            </w:r>
          </w:p>
        </w:tc>
      </w:tr>
      <w:tr w:rsidR="000B0907" w:rsidRPr="000146EB" w14:paraId="55FC703D" w14:textId="77777777" w:rsidTr="00BA6947">
        <w:tc>
          <w:tcPr>
            <w:tcW w:w="7338" w:type="dxa"/>
          </w:tcPr>
          <w:p w14:paraId="17BB01B5" w14:textId="77777777" w:rsidR="000B0907" w:rsidRPr="000146EB" w:rsidRDefault="000B0907" w:rsidP="00BA6947">
            <w:pPr>
              <w:rPr>
                <w:sz w:val="20"/>
                <w:szCs w:val="20"/>
              </w:rPr>
            </w:pPr>
          </w:p>
        </w:tc>
        <w:tc>
          <w:tcPr>
            <w:tcW w:w="1904" w:type="dxa"/>
          </w:tcPr>
          <w:p w14:paraId="7C3D47E7" w14:textId="77777777" w:rsidR="000B0907" w:rsidRPr="000146EB" w:rsidRDefault="000B0907" w:rsidP="00BA6947">
            <w:pPr>
              <w:rPr>
                <w:sz w:val="20"/>
                <w:szCs w:val="20"/>
              </w:rPr>
            </w:pPr>
          </w:p>
        </w:tc>
      </w:tr>
    </w:tbl>
    <w:p w14:paraId="506AAFCC" w14:textId="77777777" w:rsidR="000B0907" w:rsidRPr="000146EB" w:rsidRDefault="000B0907" w:rsidP="000B0907">
      <w:pPr>
        <w:rPr>
          <w:sz w:val="20"/>
          <w:szCs w:val="20"/>
        </w:rPr>
      </w:pPr>
    </w:p>
    <w:p w14:paraId="27E70492" w14:textId="77777777" w:rsidR="000B0907" w:rsidRPr="000146EB" w:rsidRDefault="000B0907" w:rsidP="000B0907">
      <w:pPr>
        <w:pStyle w:val="NormalWeb"/>
        <w:spacing w:before="0" w:beforeAutospacing="0" w:after="0" w:afterAutospacing="0"/>
        <w:jc w:val="both"/>
        <w:textAlignment w:val="baseline"/>
        <w:rPr>
          <w:rFonts w:ascii="Arial" w:eastAsiaTheme="minorHAnsi" w:hAnsi="Arial" w:cs="Arial"/>
          <w:color w:val="000000" w:themeColor="text1"/>
          <w:sz w:val="22"/>
          <w:szCs w:val="22"/>
          <w:lang w:eastAsia="ja-JP"/>
        </w:rPr>
      </w:pPr>
    </w:p>
    <w:p w14:paraId="64A7183F" w14:textId="77777777" w:rsidR="000B0907" w:rsidRPr="000146EB" w:rsidRDefault="000B0907" w:rsidP="000B0907">
      <w:pPr>
        <w:pStyle w:val="NormalWeb"/>
        <w:spacing w:before="0" w:beforeAutospacing="0" w:after="0" w:afterAutospacing="0"/>
        <w:jc w:val="both"/>
        <w:textAlignment w:val="baseline"/>
        <w:rPr>
          <w:rFonts w:ascii="Arial" w:eastAsiaTheme="minorHAnsi" w:hAnsi="Arial" w:cs="Arial"/>
          <w:color w:val="000000" w:themeColor="text1"/>
          <w:sz w:val="22"/>
          <w:szCs w:val="22"/>
          <w:lang w:eastAsia="ja-JP"/>
        </w:rPr>
      </w:pPr>
    </w:p>
    <w:p w14:paraId="795A2677" w14:textId="604131EF" w:rsidR="000B0907" w:rsidRPr="000146EB" w:rsidRDefault="005B1631" w:rsidP="000B0907">
      <w:pPr>
        <w:pStyle w:val="NormalWeb"/>
        <w:spacing w:before="0" w:beforeAutospacing="0" w:after="0" w:afterAutospacing="0"/>
        <w:jc w:val="both"/>
        <w:textAlignment w:val="baseline"/>
        <w:rPr>
          <w:rFonts w:ascii="Arial" w:hAnsi="Arial" w:cs="Arial"/>
          <w:b/>
          <w:color w:val="000000" w:themeColor="text1"/>
        </w:rPr>
      </w:pPr>
      <w:r>
        <w:rPr>
          <w:rFonts w:ascii="Arial" w:hAnsi="Arial" w:cs="Arial"/>
          <w:b/>
          <w:color w:val="000000" w:themeColor="text1"/>
        </w:rPr>
        <w:t xml:space="preserve">Supplementary </w:t>
      </w:r>
      <w:r w:rsidR="000B0907" w:rsidRPr="000146EB">
        <w:rPr>
          <w:rFonts w:ascii="Arial" w:hAnsi="Arial" w:cs="Arial"/>
          <w:b/>
          <w:color w:val="000000" w:themeColor="text1"/>
        </w:rPr>
        <w:t>Table S3</w:t>
      </w:r>
      <w:r>
        <w:rPr>
          <w:rFonts w:ascii="Arial" w:hAnsi="Arial" w:cs="Arial"/>
          <w:b/>
          <w:color w:val="000000" w:themeColor="text1"/>
        </w:rPr>
        <w:t>.</w:t>
      </w:r>
      <w:r w:rsidR="000B0907" w:rsidRPr="000146EB">
        <w:rPr>
          <w:rFonts w:ascii="Arial" w:hAnsi="Arial" w:cs="Arial"/>
          <w:b/>
          <w:color w:val="000000" w:themeColor="text1"/>
        </w:rPr>
        <w:t xml:space="preserve"> </w:t>
      </w:r>
      <w:r w:rsidR="000B0907" w:rsidRPr="005B1631">
        <w:rPr>
          <w:rFonts w:ascii="Arial" w:hAnsi="Arial" w:cs="Arial"/>
          <w:bCs/>
          <w:color w:val="000000" w:themeColor="text1"/>
        </w:rPr>
        <w:t>Conclusions from Bright</w:t>
      </w:r>
      <w:r>
        <w:rPr>
          <w:rFonts w:ascii="Arial" w:hAnsi="Arial" w:cs="Arial"/>
          <w:bCs/>
          <w:color w:val="000000" w:themeColor="text1"/>
        </w:rPr>
        <w:t xml:space="preserve"> </w:t>
      </w:r>
      <w:r w:rsidRPr="005B1631">
        <w:rPr>
          <w:rFonts w:ascii="Arial" w:hAnsi="Arial" w:cs="Arial"/>
          <w:bCs/>
          <w:i/>
          <w:iCs/>
          <w:color w:val="000000" w:themeColor="text1"/>
        </w:rPr>
        <w:t>et al.</w:t>
      </w:r>
      <w:r w:rsidR="000B0907" w:rsidRPr="005B1631">
        <w:rPr>
          <w:rFonts w:ascii="Arial" w:hAnsi="Arial" w:cs="Arial"/>
          <w:bCs/>
          <w:color w:val="000000" w:themeColor="text1"/>
        </w:rPr>
        <w:t xml:space="preserve"> (201</w:t>
      </w:r>
      <w:r>
        <w:rPr>
          <w:rFonts w:ascii="Arial" w:hAnsi="Arial" w:cs="Arial"/>
          <w:bCs/>
          <w:color w:val="000000" w:themeColor="text1"/>
        </w:rPr>
        <w:t>7</w:t>
      </w:r>
      <w:r w:rsidR="000B0907" w:rsidRPr="005B1631">
        <w:rPr>
          <w:rFonts w:ascii="Arial" w:hAnsi="Arial" w:cs="Arial"/>
          <w:bCs/>
          <w:color w:val="000000" w:themeColor="text1"/>
        </w:rPr>
        <w:t xml:space="preserve">) on </w:t>
      </w:r>
      <w:bookmarkStart w:id="0" w:name="_GoBack"/>
      <w:r w:rsidRPr="005B1631">
        <w:rPr>
          <w:rFonts w:ascii="Arial" w:hAnsi="Arial" w:cs="Arial"/>
          <w:bCs/>
          <w:color w:val="000000" w:themeColor="text1"/>
        </w:rPr>
        <w:t>future research needs</w:t>
      </w:r>
      <w:r w:rsidRPr="000146EB">
        <w:rPr>
          <w:rFonts w:ascii="Arial" w:hAnsi="Arial" w:cs="Arial"/>
          <w:b/>
          <w:color w:val="000000" w:themeColor="text1"/>
        </w:rPr>
        <w:t xml:space="preserve"> </w:t>
      </w:r>
    </w:p>
    <w:p w14:paraId="12828D8F" w14:textId="78C6C246" w:rsidR="000B0907" w:rsidRPr="00FA13FA" w:rsidRDefault="000B0907" w:rsidP="000B0907">
      <w:pPr>
        <w:pStyle w:val="NormalWeb"/>
        <w:spacing w:before="0" w:beforeAutospacing="0" w:after="0" w:afterAutospacing="0"/>
        <w:textAlignment w:val="baseline"/>
        <w:rPr>
          <w:rFonts w:ascii="Arial" w:eastAsiaTheme="minorHAnsi" w:hAnsi="Arial" w:cs="Arial"/>
          <w:color w:val="000000" w:themeColor="text1"/>
          <w:sz w:val="22"/>
          <w:szCs w:val="22"/>
          <w:lang w:eastAsia="ja-JP"/>
        </w:rPr>
      </w:pPr>
    </w:p>
    <w:bookmarkEnd w:id="0"/>
    <w:tbl>
      <w:tblPr>
        <w:tblStyle w:val="TableGrid"/>
        <w:tblW w:w="0" w:type="auto"/>
        <w:tblLook w:val="04A0" w:firstRow="1" w:lastRow="0" w:firstColumn="1" w:lastColumn="0" w:noHBand="0" w:noVBand="1"/>
      </w:tblPr>
      <w:tblGrid>
        <w:gridCol w:w="7338"/>
        <w:gridCol w:w="1678"/>
      </w:tblGrid>
      <w:tr w:rsidR="000B0907" w:rsidRPr="000146EB" w14:paraId="56211373" w14:textId="77777777" w:rsidTr="00BA6947">
        <w:tc>
          <w:tcPr>
            <w:tcW w:w="7338" w:type="dxa"/>
          </w:tcPr>
          <w:p w14:paraId="357D50D6" w14:textId="77777777" w:rsidR="000B0907" w:rsidRPr="000146EB" w:rsidRDefault="000B0907" w:rsidP="005B1631">
            <w:pPr>
              <w:pStyle w:val="NormalWeb"/>
              <w:jc w:val="both"/>
              <w:textAlignment w:val="baseline"/>
              <w:rPr>
                <w:rFonts w:ascii="Arial" w:eastAsiaTheme="minorHAnsi" w:hAnsi="Arial" w:cs="Arial"/>
                <w:color w:val="000000" w:themeColor="text1"/>
                <w:sz w:val="22"/>
                <w:szCs w:val="22"/>
                <w:lang w:eastAsia="ja-JP"/>
              </w:rPr>
            </w:pPr>
          </w:p>
        </w:tc>
        <w:tc>
          <w:tcPr>
            <w:tcW w:w="1678" w:type="dxa"/>
          </w:tcPr>
          <w:p w14:paraId="3CDD4689" w14:textId="77777777" w:rsidR="000B0907" w:rsidRPr="000B0907" w:rsidRDefault="000B0907" w:rsidP="005B1631">
            <w:pPr>
              <w:pStyle w:val="NormalWeb"/>
              <w:spacing w:before="0" w:beforeAutospacing="0" w:after="0" w:afterAutospacing="0"/>
              <w:jc w:val="both"/>
              <w:textAlignment w:val="baseline"/>
              <w:rPr>
                <w:rFonts w:ascii="Arial" w:hAnsi="Arial" w:cs="Arial"/>
                <w:sz w:val="22"/>
                <w:szCs w:val="22"/>
              </w:rPr>
            </w:pPr>
            <w:r w:rsidRPr="000B0907">
              <w:rPr>
                <w:rFonts w:ascii="Arial" w:hAnsi="Arial" w:cs="Arial"/>
                <w:sz w:val="22"/>
                <w:szCs w:val="22"/>
              </w:rPr>
              <w:t>Relevant to our consensus statement</w:t>
            </w:r>
          </w:p>
          <w:p w14:paraId="2392E9D3" w14:textId="5EB872E7" w:rsidR="000B0907" w:rsidRPr="000146EB" w:rsidRDefault="000B0907" w:rsidP="005B1631">
            <w:pPr>
              <w:pStyle w:val="NormalWeb"/>
              <w:spacing w:before="0" w:beforeAutospacing="0" w:after="0" w:afterAutospacing="0"/>
              <w:jc w:val="both"/>
              <w:textAlignment w:val="baseline"/>
              <w:rPr>
                <w:rFonts w:ascii="Arial" w:eastAsiaTheme="minorHAnsi" w:hAnsi="Arial" w:cs="Arial"/>
                <w:color w:val="000000" w:themeColor="text1"/>
                <w:sz w:val="22"/>
                <w:szCs w:val="22"/>
                <w:lang w:eastAsia="ja-JP"/>
              </w:rPr>
            </w:pPr>
            <w:r w:rsidRPr="000B0907">
              <w:rPr>
                <w:rFonts w:ascii="Arial" w:eastAsiaTheme="minorHAnsi" w:hAnsi="Arial" w:cs="Arial"/>
                <w:color w:val="000000" w:themeColor="text1"/>
                <w:sz w:val="22"/>
                <w:szCs w:val="22"/>
                <w:lang w:eastAsia="ja-JP"/>
              </w:rPr>
              <w:t>Blank = not addressed</w:t>
            </w:r>
          </w:p>
        </w:tc>
      </w:tr>
      <w:tr w:rsidR="000B0907" w:rsidRPr="000146EB" w14:paraId="60C543E4" w14:textId="77777777" w:rsidTr="00BA6947">
        <w:tc>
          <w:tcPr>
            <w:tcW w:w="7338" w:type="dxa"/>
          </w:tcPr>
          <w:p w14:paraId="4DF40DC6"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Q1. Do LCSs aid weight loss and/or weight maintenance?</w:t>
            </w:r>
          </w:p>
        </w:tc>
        <w:tc>
          <w:tcPr>
            <w:tcW w:w="1678" w:type="dxa"/>
          </w:tcPr>
          <w:p w14:paraId="26C14D75"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 xml:space="preserve">1a1 1b1 </w:t>
            </w:r>
          </w:p>
        </w:tc>
      </w:tr>
      <w:tr w:rsidR="000B0907" w:rsidRPr="000146EB" w14:paraId="4A9EB4DA" w14:textId="77777777" w:rsidTr="00BA6947">
        <w:tc>
          <w:tcPr>
            <w:tcW w:w="7338" w:type="dxa"/>
          </w:tcPr>
          <w:p w14:paraId="0ACA5920"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Q2. Does LCS consumption modify appetite (hunger, fullness, desire to eat /prospective consumption) and/or total energy intake and, if so, how?</w:t>
            </w:r>
          </w:p>
        </w:tc>
        <w:tc>
          <w:tcPr>
            <w:tcW w:w="1678" w:type="dxa"/>
          </w:tcPr>
          <w:p w14:paraId="0FC9C531"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 xml:space="preserve">1a1, 1a2 </w:t>
            </w:r>
          </w:p>
        </w:tc>
      </w:tr>
      <w:tr w:rsidR="000B0907" w:rsidRPr="000146EB" w14:paraId="11A9837F" w14:textId="77777777" w:rsidTr="00BA6947">
        <w:tc>
          <w:tcPr>
            <w:tcW w:w="7338" w:type="dxa"/>
          </w:tcPr>
          <w:p w14:paraId="458CF70C"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Q3. Does the use of LCSs affect insulin secretion, carbohydrate metabolism, or the gut microbiota and its function? If so, where is this happening (cognition, sweet receptors on tongue, receptors in gastrointestinal tract, etc.) and does it have any physiologic consequences on health?</w:t>
            </w:r>
          </w:p>
        </w:tc>
        <w:tc>
          <w:tcPr>
            <w:tcW w:w="1678" w:type="dxa"/>
          </w:tcPr>
          <w:p w14:paraId="4BEE57C2"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1b1</w:t>
            </w:r>
          </w:p>
        </w:tc>
      </w:tr>
      <w:tr w:rsidR="000B0907" w:rsidRPr="000146EB" w14:paraId="4BC32DD7" w14:textId="77777777" w:rsidTr="00BA6947">
        <w:tc>
          <w:tcPr>
            <w:tcW w:w="7338" w:type="dxa"/>
          </w:tcPr>
          <w:p w14:paraId="2F2666B2"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Q4. Are there potential long-term health risks (obesity, diabetes, cancer, CVD, etc.) of LCS consumption in humans? Are certain population groups (diabetics, children, pregnant women, those with genetic disease) more susceptible to the potential health risk(s)?</w:t>
            </w:r>
          </w:p>
        </w:tc>
        <w:tc>
          <w:tcPr>
            <w:tcW w:w="1678" w:type="dxa"/>
          </w:tcPr>
          <w:p w14:paraId="6F3E800C"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1b1, 1b2</w:t>
            </w:r>
          </w:p>
        </w:tc>
      </w:tr>
      <w:tr w:rsidR="000B0907" w:rsidRPr="000146EB" w14:paraId="658C312B" w14:textId="77777777" w:rsidTr="00BA6947">
        <w:tc>
          <w:tcPr>
            <w:tcW w:w="7338" w:type="dxa"/>
          </w:tcPr>
          <w:p w14:paraId="19C27716"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Q5. Is LCS sweetness perceived by the brain as energy in the same way as other sweeteners? Do those who are overweight or obese sense LCSs differently than normal-weight people?</w:t>
            </w:r>
          </w:p>
        </w:tc>
        <w:tc>
          <w:tcPr>
            <w:tcW w:w="1678" w:type="dxa"/>
          </w:tcPr>
          <w:p w14:paraId="545F42A2"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p>
        </w:tc>
      </w:tr>
      <w:tr w:rsidR="000B0907" w:rsidRPr="000146EB" w14:paraId="701505E2" w14:textId="77777777" w:rsidTr="00BA6947">
        <w:tc>
          <w:tcPr>
            <w:tcW w:w="7338" w:type="dxa"/>
          </w:tcPr>
          <w:p w14:paraId="4E47232D"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 xml:space="preserve">Q6. Are there impacts of LCS consumption during pregnancy on the </w:t>
            </w:r>
            <w:proofErr w:type="spellStart"/>
            <w:r w:rsidRPr="000146EB">
              <w:rPr>
                <w:rFonts w:ascii="Arial" w:eastAsiaTheme="minorHAnsi" w:hAnsi="Arial" w:cs="Arial"/>
                <w:color w:val="000000" w:themeColor="text1"/>
                <w:sz w:val="22"/>
                <w:szCs w:val="22"/>
                <w:lang w:eastAsia="ja-JP"/>
              </w:rPr>
              <w:t>fetus</w:t>
            </w:r>
            <w:proofErr w:type="spellEnd"/>
            <w:r w:rsidRPr="000146EB">
              <w:rPr>
                <w:rFonts w:ascii="Arial" w:eastAsiaTheme="minorHAnsi" w:hAnsi="Arial" w:cs="Arial"/>
                <w:color w:val="000000" w:themeColor="text1"/>
                <w:sz w:val="22"/>
                <w:szCs w:val="22"/>
                <w:lang w:eastAsia="ja-JP"/>
              </w:rPr>
              <w:t>?</w:t>
            </w:r>
          </w:p>
        </w:tc>
        <w:tc>
          <w:tcPr>
            <w:tcW w:w="1678" w:type="dxa"/>
          </w:tcPr>
          <w:p w14:paraId="1A1D460C"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p>
        </w:tc>
      </w:tr>
      <w:tr w:rsidR="000B0907" w:rsidRPr="000146EB" w14:paraId="36A5EB2F" w14:textId="77777777" w:rsidTr="00BA6947">
        <w:tc>
          <w:tcPr>
            <w:tcW w:w="7338" w:type="dxa"/>
          </w:tcPr>
          <w:p w14:paraId="718FB2E6"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Q7. Do LCSs differentially affect long-term food intake, eating frequency, and portion sizes in children, adolescents, and adults? Is there an impact on dietary quality and adherence to recommended dietary patterns?</w:t>
            </w:r>
          </w:p>
        </w:tc>
        <w:tc>
          <w:tcPr>
            <w:tcW w:w="1678" w:type="dxa"/>
          </w:tcPr>
          <w:p w14:paraId="30CF0EE0"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1b4?</w:t>
            </w:r>
          </w:p>
          <w:p w14:paraId="127A81D1"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3b1</w:t>
            </w:r>
          </w:p>
          <w:p w14:paraId="00D2EB9F"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3b2</w:t>
            </w:r>
          </w:p>
        </w:tc>
      </w:tr>
      <w:tr w:rsidR="000B0907" w:rsidRPr="000146EB" w14:paraId="3914A120" w14:textId="77777777" w:rsidTr="00BA6947">
        <w:tc>
          <w:tcPr>
            <w:tcW w:w="7338" w:type="dxa"/>
          </w:tcPr>
          <w:p w14:paraId="163C3B4D"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 xml:space="preserve">Q8. In individuals with diabetes and prediabetes, does chronic consumption of LCSs have an impact on </w:t>
            </w:r>
            <w:proofErr w:type="spellStart"/>
            <w:r w:rsidRPr="000146EB">
              <w:rPr>
                <w:rFonts w:ascii="Arial" w:eastAsiaTheme="minorHAnsi" w:hAnsi="Arial" w:cs="Arial"/>
                <w:color w:val="000000" w:themeColor="text1"/>
                <w:sz w:val="22"/>
                <w:szCs w:val="22"/>
                <w:lang w:eastAsia="ja-JP"/>
              </w:rPr>
              <w:t>glycemic</w:t>
            </w:r>
            <w:proofErr w:type="spellEnd"/>
            <w:r w:rsidRPr="000146EB">
              <w:rPr>
                <w:rFonts w:ascii="Arial" w:eastAsiaTheme="minorHAnsi" w:hAnsi="Arial" w:cs="Arial"/>
                <w:color w:val="000000" w:themeColor="text1"/>
                <w:sz w:val="22"/>
                <w:szCs w:val="22"/>
                <w:lang w:eastAsia="ja-JP"/>
              </w:rPr>
              <w:t xml:space="preserve"> control, alter glucose transport, or invoke a cephalic phase response?</w:t>
            </w:r>
          </w:p>
        </w:tc>
        <w:tc>
          <w:tcPr>
            <w:tcW w:w="1678" w:type="dxa"/>
          </w:tcPr>
          <w:p w14:paraId="1FBBB405"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br/>
              <w:t>1b5</w:t>
            </w:r>
          </w:p>
          <w:p w14:paraId="7EF5DC62"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p>
        </w:tc>
      </w:tr>
      <w:tr w:rsidR="000B0907" w:rsidRPr="000146EB" w14:paraId="12CBBF7C" w14:textId="77777777" w:rsidTr="00BA6947">
        <w:tc>
          <w:tcPr>
            <w:tcW w:w="7338" w:type="dxa"/>
          </w:tcPr>
          <w:p w14:paraId="67761679"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lastRenderedPageBreak/>
              <w:t>Q9. Does LCS consumption affect consumption of other sweeteners or sugars or total carbohydrate intake? Is the effect different than that from consumption of nutritive sweeteners?</w:t>
            </w:r>
          </w:p>
        </w:tc>
        <w:tc>
          <w:tcPr>
            <w:tcW w:w="1678" w:type="dxa"/>
          </w:tcPr>
          <w:p w14:paraId="38491598"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1b4</w:t>
            </w:r>
          </w:p>
          <w:p w14:paraId="66CE48CD"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2b3</w:t>
            </w:r>
          </w:p>
        </w:tc>
      </w:tr>
      <w:tr w:rsidR="000B0907" w:rsidRPr="000146EB" w14:paraId="1137FD28" w14:textId="77777777" w:rsidTr="00BA6947">
        <w:tc>
          <w:tcPr>
            <w:tcW w:w="7338" w:type="dxa"/>
          </w:tcPr>
          <w:p w14:paraId="2D7DB7D0"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Q10. Do LCSs affect energy metabolism and fat storage?</w:t>
            </w:r>
          </w:p>
        </w:tc>
        <w:tc>
          <w:tcPr>
            <w:tcW w:w="1678" w:type="dxa"/>
          </w:tcPr>
          <w:p w14:paraId="4B017024"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1b1</w:t>
            </w:r>
          </w:p>
        </w:tc>
      </w:tr>
      <w:tr w:rsidR="000B0907" w:rsidRPr="000146EB" w14:paraId="414104B7" w14:textId="77777777" w:rsidTr="00BA6947">
        <w:tc>
          <w:tcPr>
            <w:tcW w:w="7338" w:type="dxa"/>
          </w:tcPr>
          <w:p w14:paraId="2BF7A679"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Q11. Should study findings be evaluated for each LCS individually or collectively? To which health outcome(s) are the findings from individual LCSs generalizable to the class of ingredients?</w:t>
            </w:r>
          </w:p>
        </w:tc>
        <w:tc>
          <w:tcPr>
            <w:tcW w:w="1678" w:type="dxa"/>
          </w:tcPr>
          <w:p w14:paraId="56BA399C"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1b3</w:t>
            </w:r>
          </w:p>
        </w:tc>
      </w:tr>
      <w:tr w:rsidR="000B0907" w:rsidRPr="000146EB" w14:paraId="09E5EA8C" w14:textId="77777777" w:rsidTr="00BA6947">
        <w:tc>
          <w:tcPr>
            <w:tcW w:w="7338" w:type="dxa"/>
          </w:tcPr>
          <w:p w14:paraId="765EC1A9"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Q12. Is LCS intake accurately estimated in current dietary assessment tools?</w:t>
            </w:r>
          </w:p>
        </w:tc>
        <w:tc>
          <w:tcPr>
            <w:tcW w:w="1678" w:type="dxa"/>
          </w:tcPr>
          <w:p w14:paraId="2C3860CA"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2b3</w:t>
            </w:r>
          </w:p>
        </w:tc>
      </w:tr>
      <w:tr w:rsidR="000B0907" w:rsidRPr="000146EB" w14:paraId="30C447C0" w14:textId="77777777" w:rsidTr="00BA6947">
        <w:tc>
          <w:tcPr>
            <w:tcW w:w="7338" w:type="dxa"/>
          </w:tcPr>
          <w:p w14:paraId="5463A312"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Q13. Are there interactions between the combination of fat substitutes and sweetener substitutes on appetite (hunger, fullness, desire to eat or prospective consumption) and/or total energy intake?</w:t>
            </w:r>
          </w:p>
        </w:tc>
        <w:tc>
          <w:tcPr>
            <w:tcW w:w="1678" w:type="dxa"/>
          </w:tcPr>
          <w:p w14:paraId="0D73DBCF"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related to 1b2</w:t>
            </w:r>
          </w:p>
        </w:tc>
      </w:tr>
      <w:tr w:rsidR="000B0907" w:rsidRPr="000146EB" w14:paraId="54E51A55" w14:textId="77777777" w:rsidTr="00BA6947">
        <w:tc>
          <w:tcPr>
            <w:tcW w:w="7338" w:type="dxa"/>
          </w:tcPr>
          <w:p w14:paraId="75016963"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Q14. Is there any variation in how LCSs affect those of different ages, races, and ethnicities?</w:t>
            </w:r>
          </w:p>
        </w:tc>
        <w:tc>
          <w:tcPr>
            <w:tcW w:w="1678" w:type="dxa"/>
          </w:tcPr>
          <w:p w14:paraId="5234F699"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1b2</w:t>
            </w:r>
          </w:p>
        </w:tc>
      </w:tr>
      <w:tr w:rsidR="000B0907" w:rsidRPr="000146EB" w14:paraId="03C8F8C7" w14:textId="77777777" w:rsidTr="00BA6947">
        <w:tc>
          <w:tcPr>
            <w:tcW w:w="7338" w:type="dxa"/>
          </w:tcPr>
          <w:p w14:paraId="7430050B"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Q15. Do individuals with different dietary patterns (high protein vs. high carbohydrate, etc.) affect the metabolism of LCSs differently and, if so, how?</w:t>
            </w:r>
          </w:p>
        </w:tc>
        <w:tc>
          <w:tcPr>
            <w:tcW w:w="1678" w:type="dxa"/>
          </w:tcPr>
          <w:p w14:paraId="713E72DA"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1b2</w:t>
            </w:r>
          </w:p>
        </w:tc>
      </w:tr>
      <w:tr w:rsidR="000B0907" w:rsidRPr="000146EB" w14:paraId="2E25C238" w14:textId="77777777" w:rsidTr="00BA6947">
        <w:tc>
          <w:tcPr>
            <w:tcW w:w="7338" w:type="dxa"/>
          </w:tcPr>
          <w:p w14:paraId="4FFCAD34"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Q16. How do we design a system or methodology to address the differences in existing LCS compounds vs.</w:t>
            </w:r>
            <w:r>
              <w:rPr>
                <w:rFonts w:ascii="Arial" w:eastAsiaTheme="minorHAnsi" w:hAnsi="Arial" w:cs="Arial"/>
                <w:color w:val="000000" w:themeColor="text1"/>
                <w:sz w:val="22"/>
                <w:szCs w:val="22"/>
                <w:lang w:eastAsia="ja-JP"/>
              </w:rPr>
              <w:t xml:space="preserve"> </w:t>
            </w:r>
            <w:r w:rsidRPr="000146EB">
              <w:rPr>
                <w:rFonts w:ascii="Arial" w:eastAsiaTheme="minorHAnsi" w:hAnsi="Arial" w:cs="Arial"/>
                <w:color w:val="000000" w:themeColor="text1"/>
                <w:sz w:val="22"/>
                <w:szCs w:val="22"/>
                <w:lang w:eastAsia="ja-JP"/>
              </w:rPr>
              <w:t>compounds that will be emerging down the road?</w:t>
            </w:r>
          </w:p>
        </w:tc>
        <w:tc>
          <w:tcPr>
            <w:tcW w:w="1678" w:type="dxa"/>
          </w:tcPr>
          <w:p w14:paraId="2B8D8599"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2a1? 2b2</w:t>
            </w:r>
          </w:p>
          <w:p w14:paraId="6F4B1306"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2b3</w:t>
            </w:r>
          </w:p>
        </w:tc>
      </w:tr>
      <w:tr w:rsidR="000B0907" w:rsidRPr="000146EB" w14:paraId="1646F43C" w14:textId="77777777" w:rsidTr="00BA6947">
        <w:tc>
          <w:tcPr>
            <w:tcW w:w="7338" w:type="dxa"/>
          </w:tcPr>
          <w:p w14:paraId="7998ADB1"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Q17. Do the effects of LCS consumption on body weight differ by sex? If so, what are the sex-specific mechanisms of the impact of LCS consumption on body weight?</w:t>
            </w:r>
          </w:p>
        </w:tc>
        <w:tc>
          <w:tcPr>
            <w:tcW w:w="1678" w:type="dxa"/>
          </w:tcPr>
          <w:p w14:paraId="714C46D9"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 xml:space="preserve">1b2  </w:t>
            </w:r>
          </w:p>
        </w:tc>
      </w:tr>
      <w:tr w:rsidR="000B0907" w:rsidRPr="000146EB" w14:paraId="12E56FEA" w14:textId="77777777" w:rsidTr="00BA6947">
        <w:tc>
          <w:tcPr>
            <w:tcW w:w="7338" w:type="dxa"/>
          </w:tcPr>
          <w:p w14:paraId="3B146FF3"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Q18. Has there been a gradual increase in the overall sweetness in our diet?</w:t>
            </w:r>
          </w:p>
        </w:tc>
        <w:tc>
          <w:tcPr>
            <w:tcW w:w="1678" w:type="dxa"/>
          </w:tcPr>
          <w:p w14:paraId="1A178210" w14:textId="77777777" w:rsidR="000B0907" w:rsidRPr="000146EB" w:rsidRDefault="000B0907" w:rsidP="00BA6947">
            <w:pPr>
              <w:pStyle w:val="NormalWeb"/>
              <w:jc w:val="both"/>
              <w:textAlignment w:val="baseline"/>
              <w:rPr>
                <w:rFonts w:ascii="Arial" w:eastAsiaTheme="minorHAnsi" w:hAnsi="Arial" w:cs="Arial"/>
                <w:color w:val="000000" w:themeColor="text1"/>
                <w:sz w:val="22"/>
                <w:szCs w:val="22"/>
                <w:lang w:eastAsia="ja-JP"/>
              </w:rPr>
            </w:pPr>
            <w:r w:rsidRPr="000146EB">
              <w:rPr>
                <w:rFonts w:ascii="Arial" w:eastAsiaTheme="minorHAnsi" w:hAnsi="Arial" w:cs="Arial"/>
                <w:color w:val="000000" w:themeColor="text1"/>
                <w:sz w:val="22"/>
                <w:szCs w:val="22"/>
                <w:lang w:eastAsia="ja-JP"/>
              </w:rPr>
              <w:t>related to 1b4</w:t>
            </w:r>
          </w:p>
        </w:tc>
      </w:tr>
    </w:tbl>
    <w:p w14:paraId="07031E28" w14:textId="77777777" w:rsidR="000B0907" w:rsidRPr="000146EB" w:rsidRDefault="000B0907" w:rsidP="000B0907">
      <w:pPr>
        <w:pStyle w:val="CommentText"/>
        <w:rPr>
          <w:color w:val="000000" w:themeColor="text1"/>
        </w:rPr>
      </w:pPr>
    </w:p>
    <w:p w14:paraId="4300297F" w14:textId="7844B5AA" w:rsidR="000B0907" w:rsidRDefault="000B0907"/>
    <w:p w14:paraId="7EFA42C0" w14:textId="61DFB3AA" w:rsidR="000B0907" w:rsidRDefault="000B0907"/>
    <w:p w14:paraId="5DFC5A98" w14:textId="77777777" w:rsidR="000B0907" w:rsidRDefault="000B0907"/>
    <w:sectPr w:rsidR="000B0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A15DA"/>
    <w:multiLevelType w:val="hybridMultilevel"/>
    <w:tmpl w:val="A2A063E4"/>
    <w:lvl w:ilvl="0" w:tplc="B9AEF3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07"/>
    <w:rsid w:val="000B0907"/>
    <w:rsid w:val="00436EB5"/>
    <w:rsid w:val="005B1631"/>
    <w:rsid w:val="00CC485E"/>
    <w:rsid w:val="00F20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4D9E"/>
  <w15:chartTrackingRefBased/>
  <w15:docId w15:val="{B714A069-187E-43DD-84C1-6A49FFED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07"/>
    <w:pPr>
      <w:spacing w:after="0" w:line="240" w:lineRule="auto"/>
    </w:pPr>
    <w:rPr>
      <w:rFonts w:ascii="Arial" w:hAnsi="Arial" w:cs="Arial"/>
      <w:lang w:eastAsia="ja-JP"/>
    </w:rPr>
  </w:style>
  <w:style w:type="paragraph" w:styleId="Heading1">
    <w:name w:val="heading 1"/>
    <w:basedOn w:val="Normal"/>
    <w:next w:val="Normal"/>
    <w:link w:val="Heading1Char"/>
    <w:uiPriority w:val="9"/>
    <w:qFormat/>
    <w:rsid w:val="000B0907"/>
    <w:pPr>
      <w:keepNext/>
      <w:keepLines/>
      <w:spacing w:before="480"/>
      <w:outlineLvl w:val="0"/>
    </w:pPr>
    <w:rPr>
      <w:rFonts w:asciiTheme="majorHAnsi" w:eastAsiaTheme="majorEastAsia" w:hAnsiTheme="majorHAnsi" w:cstheme="majorBidi"/>
      <w:b/>
      <w:bCs/>
      <w:color w:val="2F5496" w:themeColor="accent1" w:themeShade="BF"/>
      <w:sz w:val="32"/>
      <w:szCs w:val="28"/>
    </w:rPr>
  </w:style>
  <w:style w:type="paragraph" w:styleId="Heading2">
    <w:name w:val="heading 2"/>
    <w:basedOn w:val="Normal"/>
    <w:next w:val="Normal"/>
    <w:link w:val="Heading2Char"/>
    <w:uiPriority w:val="9"/>
    <w:unhideWhenUsed/>
    <w:qFormat/>
    <w:rsid w:val="000B0907"/>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907"/>
    <w:rPr>
      <w:rFonts w:asciiTheme="majorHAnsi" w:eastAsiaTheme="majorEastAsia" w:hAnsiTheme="majorHAnsi" w:cstheme="majorBidi"/>
      <w:b/>
      <w:bCs/>
      <w:color w:val="2F5496" w:themeColor="accent1" w:themeShade="BF"/>
      <w:sz w:val="32"/>
      <w:szCs w:val="28"/>
      <w:lang w:eastAsia="ja-JP"/>
    </w:rPr>
  </w:style>
  <w:style w:type="character" w:customStyle="1" w:styleId="Heading2Char">
    <w:name w:val="Heading 2 Char"/>
    <w:basedOn w:val="DefaultParagraphFont"/>
    <w:link w:val="Heading2"/>
    <w:uiPriority w:val="9"/>
    <w:rsid w:val="000B0907"/>
    <w:rPr>
      <w:rFonts w:asciiTheme="majorHAnsi" w:eastAsiaTheme="majorEastAsia" w:hAnsiTheme="majorHAnsi" w:cstheme="majorBidi"/>
      <w:b/>
      <w:bCs/>
      <w:color w:val="4472C4" w:themeColor="accent1"/>
      <w:sz w:val="26"/>
      <w:szCs w:val="26"/>
      <w:lang w:eastAsia="ja-JP"/>
    </w:rPr>
  </w:style>
  <w:style w:type="table" w:styleId="TableGrid">
    <w:name w:val="Table Grid"/>
    <w:basedOn w:val="TableNormal"/>
    <w:uiPriority w:val="59"/>
    <w:rsid w:val="000B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B0907"/>
    <w:rPr>
      <w:sz w:val="20"/>
      <w:szCs w:val="20"/>
    </w:rPr>
  </w:style>
  <w:style w:type="character" w:customStyle="1" w:styleId="CommentTextChar">
    <w:name w:val="Comment Text Char"/>
    <w:basedOn w:val="DefaultParagraphFont"/>
    <w:link w:val="CommentText"/>
    <w:uiPriority w:val="99"/>
    <w:rsid w:val="000B0907"/>
    <w:rPr>
      <w:rFonts w:ascii="Arial" w:hAnsi="Arial" w:cs="Arial"/>
      <w:sz w:val="20"/>
      <w:szCs w:val="20"/>
      <w:lang w:eastAsia="ja-JP"/>
    </w:rPr>
  </w:style>
  <w:style w:type="paragraph" w:styleId="NormalWeb">
    <w:name w:val="Normal (Web)"/>
    <w:basedOn w:val="Normal"/>
    <w:uiPriority w:val="99"/>
    <w:unhideWhenUsed/>
    <w:rsid w:val="000B0907"/>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Diana Bedford</dc:creator>
  <cp:keywords/>
  <dc:description/>
  <cp:lastModifiedBy>Chris Diana Bedford</cp:lastModifiedBy>
  <cp:revision>2</cp:revision>
  <dcterms:created xsi:type="dcterms:W3CDTF">2019-11-28T13:07:00Z</dcterms:created>
  <dcterms:modified xsi:type="dcterms:W3CDTF">2019-11-28T13:17:00Z</dcterms:modified>
</cp:coreProperties>
</file>