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108" w:rsidRPr="00B54A75" w:rsidRDefault="00A71108">
      <w:pPr>
        <w:rPr>
          <w:b/>
        </w:rPr>
      </w:pPr>
    </w:p>
    <w:p w:rsidR="00360830" w:rsidRPr="00D11419" w:rsidRDefault="00C56D72">
      <w:pPr>
        <w:rPr>
          <w:sz w:val="24"/>
          <w:szCs w:val="24"/>
        </w:rPr>
      </w:pPr>
      <w:r w:rsidRPr="00B82BC6">
        <w:rPr>
          <w:b/>
          <w:sz w:val="24"/>
          <w:szCs w:val="24"/>
        </w:rPr>
        <w:t xml:space="preserve">Supplementary Table </w:t>
      </w:r>
      <w:r w:rsidR="00B82BC6" w:rsidRPr="00B82BC6">
        <w:rPr>
          <w:b/>
          <w:sz w:val="24"/>
          <w:szCs w:val="24"/>
        </w:rPr>
        <w:t>S</w:t>
      </w:r>
      <w:r w:rsidRPr="00B82BC6">
        <w:rPr>
          <w:b/>
          <w:sz w:val="24"/>
          <w:szCs w:val="24"/>
        </w:rPr>
        <w:t>1</w:t>
      </w:r>
      <w:r w:rsidRPr="00B82BC6">
        <w:rPr>
          <w:sz w:val="24"/>
          <w:szCs w:val="24"/>
        </w:rPr>
        <w:t>.</w:t>
      </w:r>
      <w:r w:rsidR="00B422A7" w:rsidRPr="00B82BC6">
        <w:rPr>
          <w:sz w:val="24"/>
          <w:szCs w:val="24"/>
        </w:rPr>
        <w:t xml:space="preserve"> </w:t>
      </w:r>
      <w:r w:rsidR="00B422A7" w:rsidRPr="00D11419">
        <w:rPr>
          <w:sz w:val="24"/>
          <w:szCs w:val="24"/>
        </w:rPr>
        <w:t>Cross</w:t>
      </w:r>
      <w:r w:rsidR="00B82BC6">
        <w:rPr>
          <w:sz w:val="24"/>
          <w:szCs w:val="24"/>
        </w:rPr>
        <w:t>-</w:t>
      </w:r>
      <w:r w:rsidR="00B422A7" w:rsidRPr="00D11419">
        <w:rPr>
          <w:sz w:val="24"/>
          <w:szCs w:val="24"/>
        </w:rPr>
        <w:t>sectional and longitudinal studies investigating nutrition</w:t>
      </w:r>
      <w:r w:rsidR="006E4E0D">
        <w:rPr>
          <w:sz w:val="24"/>
          <w:szCs w:val="24"/>
        </w:rPr>
        <w:t>al intake</w:t>
      </w:r>
      <w:r w:rsidR="00B422A7" w:rsidRPr="00D11419">
        <w:rPr>
          <w:sz w:val="24"/>
          <w:szCs w:val="24"/>
        </w:rPr>
        <w:t xml:space="preserve"> and cerebral structure in older adults</w:t>
      </w:r>
      <w:r w:rsidR="009F31F9">
        <w:rPr>
          <w:sz w:val="24"/>
          <w:szCs w:val="24"/>
        </w:rPr>
        <w:t xml:space="preserve"> without dementia (or in mixed groups adjusting for dementia diagnosis)</w:t>
      </w:r>
    </w:p>
    <w:tbl>
      <w:tblPr>
        <w:tblW w:w="15168" w:type="dxa"/>
        <w:tblLook w:val="04A0" w:firstRow="1" w:lastRow="0" w:firstColumn="1" w:lastColumn="0" w:noHBand="0" w:noVBand="1"/>
      </w:tblPr>
      <w:tblGrid>
        <w:gridCol w:w="1840"/>
        <w:gridCol w:w="1161"/>
        <w:gridCol w:w="1082"/>
        <w:gridCol w:w="1274"/>
        <w:gridCol w:w="1328"/>
        <w:gridCol w:w="1418"/>
        <w:gridCol w:w="1417"/>
        <w:gridCol w:w="5760"/>
      </w:tblGrid>
      <w:tr w:rsidR="009321E8" w:rsidRPr="00B54A75" w:rsidTr="002A279C">
        <w:trPr>
          <w:trHeight w:val="540"/>
        </w:trPr>
        <w:tc>
          <w:tcPr>
            <w:tcW w:w="1840" w:type="dxa"/>
            <w:vMerge w:val="restart"/>
            <w:tcBorders>
              <w:top w:val="single" w:sz="4" w:space="0" w:color="auto"/>
              <w:left w:val="nil"/>
              <w:bottom w:val="single" w:sz="4" w:space="0" w:color="000000"/>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b/>
                <w:bCs/>
                <w:color w:val="000000"/>
                <w:sz w:val="20"/>
                <w:szCs w:val="20"/>
                <w:lang w:eastAsia="en-AU"/>
              </w:rPr>
            </w:pPr>
            <w:r w:rsidRPr="00B54A75">
              <w:rPr>
                <w:rFonts w:ascii="Calibri" w:eastAsia="Times New Roman" w:hAnsi="Calibri" w:cs="Calibri"/>
                <w:b/>
                <w:bCs/>
                <w:color w:val="000000"/>
                <w:sz w:val="20"/>
                <w:szCs w:val="20"/>
                <w:lang w:eastAsia="en-AU"/>
              </w:rPr>
              <w:t>Study</w:t>
            </w:r>
          </w:p>
        </w:tc>
        <w:tc>
          <w:tcPr>
            <w:tcW w:w="1049" w:type="dxa"/>
            <w:vMerge w:val="restart"/>
            <w:tcBorders>
              <w:top w:val="single" w:sz="4" w:space="0" w:color="auto"/>
              <w:left w:val="nil"/>
              <w:bottom w:val="single" w:sz="4" w:space="0" w:color="000000"/>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b/>
                <w:bCs/>
                <w:color w:val="000000"/>
                <w:sz w:val="20"/>
                <w:szCs w:val="20"/>
                <w:lang w:eastAsia="en-AU"/>
              </w:rPr>
            </w:pPr>
            <w:r w:rsidRPr="00B54A75">
              <w:rPr>
                <w:rFonts w:ascii="Calibri" w:eastAsia="Times New Roman" w:hAnsi="Calibri" w:cs="Calibri"/>
                <w:b/>
                <w:bCs/>
                <w:color w:val="000000"/>
                <w:sz w:val="20"/>
                <w:szCs w:val="20"/>
                <w:lang w:eastAsia="en-AU"/>
              </w:rPr>
              <w:t>Study Measure*</w:t>
            </w:r>
          </w:p>
        </w:tc>
        <w:tc>
          <w:tcPr>
            <w:tcW w:w="2356" w:type="dxa"/>
            <w:gridSpan w:val="2"/>
            <w:tcBorders>
              <w:top w:val="single" w:sz="4" w:space="0" w:color="auto"/>
              <w:left w:val="nil"/>
              <w:bottom w:val="nil"/>
              <w:right w:val="nil"/>
            </w:tcBorders>
            <w:shd w:val="clear" w:color="auto" w:fill="auto"/>
            <w:vAlign w:val="bottom"/>
            <w:hideMark/>
          </w:tcPr>
          <w:p w:rsidR="00112011" w:rsidRPr="00B54A75" w:rsidRDefault="003F2254" w:rsidP="00112011">
            <w:pPr>
              <w:spacing w:after="0" w:line="240" w:lineRule="auto"/>
              <w:jc w:val="center"/>
              <w:rPr>
                <w:rFonts w:ascii="Calibri" w:eastAsia="Times New Roman" w:hAnsi="Calibri" w:cs="Calibri"/>
                <w:b/>
                <w:bCs/>
                <w:color w:val="000000"/>
                <w:sz w:val="20"/>
                <w:szCs w:val="20"/>
                <w:lang w:eastAsia="en-AU"/>
              </w:rPr>
            </w:pPr>
            <w:r>
              <w:rPr>
                <w:rFonts w:ascii="Calibri" w:eastAsia="Times New Roman" w:hAnsi="Calibri" w:cs="Calibri"/>
                <w:b/>
                <w:bCs/>
                <w:color w:val="000000"/>
                <w:sz w:val="20"/>
                <w:szCs w:val="20"/>
                <w:lang w:eastAsia="en-AU"/>
              </w:rPr>
              <w:t xml:space="preserve">Reported </w:t>
            </w:r>
            <w:r w:rsidR="00112011" w:rsidRPr="00B54A75">
              <w:rPr>
                <w:rFonts w:ascii="Calibri" w:eastAsia="Times New Roman" w:hAnsi="Calibri" w:cs="Calibri"/>
                <w:b/>
                <w:bCs/>
                <w:color w:val="000000"/>
                <w:sz w:val="20"/>
                <w:szCs w:val="20"/>
                <w:lang w:eastAsia="en-AU"/>
              </w:rPr>
              <w:t>Target Groups</w:t>
            </w:r>
          </w:p>
        </w:tc>
        <w:tc>
          <w:tcPr>
            <w:tcW w:w="4163" w:type="dxa"/>
            <w:gridSpan w:val="3"/>
            <w:tcBorders>
              <w:top w:val="single" w:sz="4" w:space="0" w:color="auto"/>
              <w:left w:val="nil"/>
              <w:bottom w:val="nil"/>
              <w:right w:val="nil"/>
            </w:tcBorders>
            <w:shd w:val="clear" w:color="auto" w:fill="auto"/>
            <w:vAlign w:val="bottom"/>
            <w:hideMark/>
          </w:tcPr>
          <w:p w:rsidR="00112011" w:rsidRPr="00B54A75" w:rsidRDefault="00112011" w:rsidP="00112011">
            <w:pPr>
              <w:spacing w:after="0" w:line="240" w:lineRule="auto"/>
              <w:jc w:val="center"/>
              <w:rPr>
                <w:rFonts w:ascii="Calibri" w:eastAsia="Times New Roman" w:hAnsi="Calibri" w:cs="Calibri"/>
                <w:b/>
                <w:bCs/>
                <w:color w:val="000000"/>
                <w:sz w:val="20"/>
                <w:szCs w:val="20"/>
                <w:lang w:eastAsia="en-AU"/>
              </w:rPr>
            </w:pPr>
            <w:r w:rsidRPr="00B54A75">
              <w:rPr>
                <w:rFonts w:ascii="Calibri" w:eastAsia="Times New Roman" w:hAnsi="Calibri" w:cs="Calibri"/>
                <w:b/>
                <w:bCs/>
                <w:color w:val="000000"/>
                <w:sz w:val="20"/>
                <w:szCs w:val="20"/>
                <w:lang w:eastAsia="en-AU"/>
              </w:rPr>
              <w:t>Age (years)</w:t>
            </w:r>
          </w:p>
        </w:tc>
        <w:tc>
          <w:tcPr>
            <w:tcW w:w="5760" w:type="dxa"/>
            <w:tcBorders>
              <w:top w:val="single" w:sz="4" w:space="0" w:color="auto"/>
              <w:left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b/>
                <w:bCs/>
                <w:color w:val="000000"/>
                <w:sz w:val="20"/>
                <w:szCs w:val="20"/>
                <w:lang w:eastAsia="en-AU"/>
              </w:rPr>
            </w:pPr>
            <w:r w:rsidRPr="00B54A75">
              <w:rPr>
                <w:rFonts w:ascii="Calibri" w:eastAsia="Times New Roman" w:hAnsi="Calibri" w:cs="Calibri"/>
                <w:b/>
                <w:bCs/>
                <w:color w:val="000000"/>
                <w:sz w:val="20"/>
                <w:szCs w:val="20"/>
                <w:lang w:eastAsia="en-AU"/>
              </w:rPr>
              <w:t>Cerebral Structure Outcomes</w:t>
            </w:r>
          </w:p>
        </w:tc>
      </w:tr>
      <w:tr w:rsidR="009321E8" w:rsidRPr="00B54A75" w:rsidTr="002A279C">
        <w:trPr>
          <w:trHeight w:val="315"/>
        </w:trPr>
        <w:tc>
          <w:tcPr>
            <w:tcW w:w="1840" w:type="dxa"/>
            <w:vMerge/>
            <w:tcBorders>
              <w:top w:val="single" w:sz="4" w:space="0" w:color="auto"/>
              <w:left w:val="nil"/>
              <w:bottom w:val="single" w:sz="4" w:space="0" w:color="000000"/>
              <w:right w:val="nil"/>
            </w:tcBorders>
            <w:vAlign w:val="center"/>
            <w:hideMark/>
          </w:tcPr>
          <w:p w:rsidR="00112011" w:rsidRPr="00B54A75" w:rsidRDefault="00112011" w:rsidP="00112011">
            <w:pPr>
              <w:spacing w:after="0" w:line="240" w:lineRule="auto"/>
              <w:rPr>
                <w:rFonts w:ascii="Calibri" w:eastAsia="Times New Roman" w:hAnsi="Calibri" w:cs="Calibri"/>
                <w:b/>
                <w:bCs/>
                <w:color w:val="000000"/>
                <w:sz w:val="20"/>
                <w:szCs w:val="20"/>
                <w:lang w:eastAsia="en-AU"/>
              </w:rPr>
            </w:pPr>
          </w:p>
        </w:tc>
        <w:tc>
          <w:tcPr>
            <w:tcW w:w="1049" w:type="dxa"/>
            <w:vMerge/>
            <w:tcBorders>
              <w:top w:val="single" w:sz="4" w:space="0" w:color="auto"/>
              <w:left w:val="nil"/>
              <w:bottom w:val="single" w:sz="4" w:space="0" w:color="000000"/>
              <w:right w:val="nil"/>
            </w:tcBorders>
            <w:vAlign w:val="center"/>
            <w:hideMark/>
          </w:tcPr>
          <w:p w:rsidR="00112011" w:rsidRPr="00B54A75" w:rsidRDefault="00112011" w:rsidP="00112011">
            <w:pPr>
              <w:spacing w:after="0" w:line="240" w:lineRule="auto"/>
              <w:rPr>
                <w:rFonts w:ascii="Calibri" w:eastAsia="Times New Roman" w:hAnsi="Calibri" w:cs="Calibri"/>
                <w:b/>
                <w:bCs/>
                <w:color w:val="000000"/>
                <w:sz w:val="20"/>
                <w:szCs w:val="20"/>
                <w:lang w:eastAsia="en-AU"/>
              </w:rPr>
            </w:pPr>
          </w:p>
        </w:tc>
        <w:tc>
          <w:tcPr>
            <w:tcW w:w="1082" w:type="dxa"/>
            <w:tcBorders>
              <w:top w:val="nil"/>
              <w:left w:val="nil"/>
              <w:bottom w:val="single" w:sz="4" w:space="0" w:color="auto"/>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b/>
                <w:bCs/>
                <w:color w:val="000000"/>
                <w:sz w:val="20"/>
                <w:szCs w:val="20"/>
                <w:lang w:eastAsia="en-AU"/>
              </w:rPr>
            </w:pPr>
            <w:r w:rsidRPr="00B54A75">
              <w:rPr>
                <w:rFonts w:ascii="Calibri" w:eastAsia="Times New Roman" w:hAnsi="Calibri" w:cs="Calibri"/>
                <w:b/>
                <w:bCs/>
                <w:color w:val="000000"/>
                <w:sz w:val="20"/>
                <w:szCs w:val="20"/>
                <w:lang w:eastAsia="en-AU"/>
              </w:rPr>
              <w:t>Descriptor</w:t>
            </w:r>
          </w:p>
        </w:tc>
        <w:tc>
          <w:tcPr>
            <w:tcW w:w="1274" w:type="dxa"/>
            <w:tcBorders>
              <w:top w:val="nil"/>
              <w:left w:val="nil"/>
              <w:bottom w:val="single" w:sz="4" w:space="0" w:color="auto"/>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b/>
                <w:bCs/>
                <w:color w:val="000000"/>
                <w:sz w:val="20"/>
                <w:szCs w:val="20"/>
                <w:lang w:eastAsia="en-AU"/>
              </w:rPr>
            </w:pPr>
            <w:r w:rsidRPr="00B54A75">
              <w:rPr>
                <w:rFonts w:ascii="Calibri" w:eastAsia="Times New Roman" w:hAnsi="Calibri" w:cs="Calibri"/>
                <w:b/>
                <w:bCs/>
                <w:color w:val="000000"/>
                <w:sz w:val="20"/>
                <w:szCs w:val="20"/>
                <w:lang w:eastAsia="en-AU"/>
              </w:rPr>
              <w:t>N</w:t>
            </w:r>
          </w:p>
        </w:tc>
        <w:tc>
          <w:tcPr>
            <w:tcW w:w="1328" w:type="dxa"/>
            <w:tcBorders>
              <w:top w:val="nil"/>
              <w:left w:val="nil"/>
              <w:bottom w:val="single" w:sz="4" w:space="0" w:color="auto"/>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b/>
                <w:bCs/>
                <w:color w:val="000000"/>
                <w:sz w:val="20"/>
                <w:szCs w:val="20"/>
                <w:lang w:eastAsia="en-AU"/>
              </w:rPr>
            </w:pPr>
            <w:r w:rsidRPr="00B54A75">
              <w:rPr>
                <w:rFonts w:ascii="Calibri" w:eastAsia="Times New Roman" w:hAnsi="Calibri" w:cs="Calibri"/>
                <w:b/>
                <w:bCs/>
                <w:color w:val="000000"/>
                <w:sz w:val="20"/>
                <w:szCs w:val="20"/>
                <w:lang w:eastAsia="en-AU"/>
              </w:rPr>
              <w:t>Range</w:t>
            </w:r>
          </w:p>
        </w:tc>
        <w:tc>
          <w:tcPr>
            <w:tcW w:w="1418" w:type="dxa"/>
            <w:tcBorders>
              <w:top w:val="nil"/>
              <w:left w:val="nil"/>
              <w:bottom w:val="single" w:sz="4" w:space="0" w:color="auto"/>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b/>
                <w:bCs/>
                <w:color w:val="000000"/>
                <w:sz w:val="20"/>
                <w:szCs w:val="20"/>
                <w:lang w:eastAsia="en-AU"/>
              </w:rPr>
            </w:pPr>
            <w:r w:rsidRPr="00B54A75">
              <w:rPr>
                <w:rFonts w:ascii="Calibri" w:eastAsia="Times New Roman" w:hAnsi="Calibri" w:cs="Calibri"/>
                <w:b/>
                <w:bCs/>
                <w:color w:val="000000"/>
                <w:sz w:val="20"/>
                <w:szCs w:val="20"/>
                <w:lang w:eastAsia="en-AU"/>
              </w:rPr>
              <w:t>Mean</w:t>
            </w:r>
          </w:p>
        </w:tc>
        <w:tc>
          <w:tcPr>
            <w:tcW w:w="1417" w:type="dxa"/>
            <w:tcBorders>
              <w:top w:val="nil"/>
              <w:left w:val="nil"/>
              <w:bottom w:val="single" w:sz="4" w:space="0" w:color="auto"/>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b/>
                <w:bCs/>
                <w:color w:val="000000"/>
                <w:sz w:val="20"/>
                <w:szCs w:val="20"/>
                <w:lang w:eastAsia="en-AU"/>
              </w:rPr>
            </w:pPr>
            <w:r w:rsidRPr="00B54A75">
              <w:rPr>
                <w:rFonts w:ascii="Calibri" w:eastAsia="Times New Roman" w:hAnsi="Calibri" w:cs="Calibri"/>
                <w:b/>
                <w:bCs/>
                <w:color w:val="000000"/>
                <w:sz w:val="20"/>
                <w:szCs w:val="20"/>
                <w:lang w:eastAsia="en-AU"/>
              </w:rPr>
              <w:t>SD</w:t>
            </w:r>
          </w:p>
        </w:tc>
        <w:tc>
          <w:tcPr>
            <w:tcW w:w="5760" w:type="dxa"/>
            <w:tcBorders>
              <w:left w:val="nil"/>
              <w:bottom w:val="single" w:sz="4" w:space="0" w:color="000000"/>
              <w:right w:val="nil"/>
            </w:tcBorders>
            <w:vAlign w:val="center"/>
            <w:hideMark/>
          </w:tcPr>
          <w:p w:rsidR="00112011" w:rsidRPr="00B54A75" w:rsidRDefault="00112011" w:rsidP="00112011">
            <w:pPr>
              <w:spacing w:after="0" w:line="240" w:lineRule="auto"/>
              <w:rPr>
                <w:rFonts w:ascii="Calibri" w:eastAsia="Times New Roman" w:hAnsi="Calibri" w:cs="Calibri"/>
                <w:b/>
                <w:bCs/>
                <w:color w:val="000000"/>
                <w:sz w:val="20"/>
                <w:szCs w:val="20"/>
                <w:lang w:eastAsia="en-AU"/>
              </w:rPr>
            </w:pPr>
          </w:p>
        </w:tc>
      </w:tr>
      <w:tr w:rsidR="009321E8" w:rsidRPr="00B54A75" w:rsidTr="00222F25">
        <w:trPr>
          <w:trHeight w:val="285"/>
        </w:trPr>
        <w:tc>
          <w:tcPr>
            <w:tcW w:w="3971" w:type="dxa"/>
            <w:gridSpan w:val="3"/>
            <w:tcBorders>
              <w:top w:val="nil"/>
              <w:left w:val="nil"/>
              <w:bottom w:val="nil"/>
              <w:right w:val="nil"/>
            </w:tcBorders>
            <w:shd w:val="clear" w:color="auto" w:fill="auto"/>
            <w:noWrap/>
            <w:vAlign w:val="bottom"/>
            <w:hideMark/>
          </w:tcPr>
          <w:p w:rsidR="00112011" w:rsidRPr="00B54A75" w:rsidRDefault="00112011" w:rsidP="00112011">
            <w:pPr>
              <w:spacing w:after="0" w:line="240" w:lineRule="auto"/>
              <w:rPr>
                <w:rFonts w:ascii="Calibri" w:eastAsia="Times New Roman" w:hAnsi="Calibri" w:cs="Calibri"/>
                <w:b/>
                <w:bCs/>
                <w:iCs/>
                <w:color w:val="000000"/>
                <w:sz w:val="20"/>
                <w:szCs w:val="20"/>
                <w:lang w:eastAsia="en-AU"/>
              </w:rPr>
            </w:pPr>
            <w:r w:rsidRPr="00B54A75">
              <w:rPr>
                <w:rFonts w:ascii="Calibri" w:eastAsia="Times New Roman" w:hAnsi="Calibri" w:cs="Calibri"/>
                <w:b/>
                <w:bCs/>
                <w:iCs/>
                <w:color w:val="000000"/>
                <w:sz w:val="20"/>
                <w:szCs w:val="20"/>
                <w:lang w:eastAsia="en-AU"/>
              </w:rPr>
              <w:t>B Vitamins (or related biomarkers)</w:t>
            </w:r>
          </w:p>
        </w:tc>
        <w:tc>
          <w:tcPr>
            <w:tcW w:w="1274" w:type="dxa"/>
            <w:tcBorders>
              <w:top w:val="nil"/>
              <w:left w:val="nil"/>
              <w:bottom w:val="nil"/>
              <w:right w:val="nil"/>
            </w:tcBorders>
            <w:shd w:val="clear" w:color="auto" w:fill="auto"/>
            <w:noWrap/>
            <w:vAlign w:val="bottom"/>
            <w:hideMark/>
          </w:tcPr>
          <w:p w:rsidR="00112011" w:rsidRPr="00B54A75" w:rsidRDefault="00112011" w:rsidP="00112011">
            <w:pPr>
              <w:spacing w:after="0" w:line="240" w:lineRule="auto"/>
              <w:rPr>
                <w:rFonts w:ascii="Calibri" w:eastAsia="Times New Roman" w:hAnsi="Calibri" w:cs="Calibri"/>
                <w:b/>
                <w:bCs/>
                <w:iCs/>
                <w:color w:val="000000"/>
                <w:sz w:val="20"/>
                <w:szCs w:val="20"/>
                <w:lang w:eastAsia="en-AU"/>
              </w:rPr>
            </w:pPr>
          </w:p>
        </w:tc>
        <w:tc>
          <w:tcPr>
            <w:tcW w:w="1328" w:type="dxa"/>
            <w:tcBorders>
              <w:top w:val="nil"/>
              <w:left w:val="nil"/>
              <w:bottom w:val="nil"/>
              <w:right w:val="nil"/>
            </w:tcBorders>
            <w:shd w:val="clear" w:color="auto" w:fill="auto"/>
            <w:noWrap/>
            <w:vAlign w:val="bottom"/>
            <w:hideMark/>
          </w:tcPr>
          <w:p w:rsidR="00112011" w:rsidRPr="00B54A75" w:rsidRDefault="00112011" w:rsidP="00112011">
            <w:pPr>
              <w:spacing w:after="0" w:line="240" w:lineRule="auto"/>
              <w:rPr>
                <w:rFonts w:ascii="Times New Roman" w:eastAsia="Times New Roman" w:hAnsi="Times New Roman" w:cs="Times New Roman"/>
                <w:sz w:val="20"/>
                <w:szCs w:val="20"/>
                <w:lang w:eastAsia="en-AU"/>
              </w:rPr>
            </w:pPr>
          </w:p>
        </w:tc>
        <w:tc>
          <w:tcPr>
            <w:tcW w:w="1418" w:type="dxa"/>
            <w:tcBorders>
              <w:top w:val="nil"/>
              <w:left w:val="nil"/>
              <w:bottom w:val="nil"/>
              <w:right w:val="nil"/>
            </w:tcBorders>
            <w:shd w:val="clear" w:color="auto" w:fill="auto"/>
            <w:noWrap/>
            <w:vAlign w:val="bottom"/>
            <w:hideMark/>
          </w:tcPr>
          <w:p w:rsidR="00112011" w:rsidRPr="00B54A75" w:rsidRDefault="00112011" w:rsidP="00112011">
            <w:pPr>
              <w:spacing w:after="0" w:line="240" w:lineRule="auto"/>
              <w:rPr>
                <w:rFonts w:ascii="Times New Roman" w:eastAsia="Times New Roman" w:hAnsi="Times New Roman" w:cs="Times New Roman"/>
                <w:sz w:val="20"/>
                <w:szCs w:val="20"/>
                <w:lang w:eastAsia="en-AU"/>
              </w:rPr>
            </w:pPr>
          </w:p>
        </w:tc>
        <w:tc>
          <w:tcPr>
            <w:tcW w:w="1417" w:type="dxa"/>
            <w:tcBorders>
              <w:top w:val="nil"/>
              <w:left w:val="nil"/>
              <w:bottom w:val="nil"/>
              <w:right w:val="nil"/>
            </w:tcBorders>
            <w:shd w:val="clear" w:color="auto" w:fill="auto"/>
            <w:noWrap/>
            <w:vAlign w:val="bottom"/>
            <w:hideMark/>
          </w:tcPr>
          <w:p w:rsidR="00112011" w:rsidRPr="00B54A75" w:rsidRDefault="00112011" w:rsidP="00112011">
            <w:pPr>
              <w:spacing w:after="0" w:line="240" w:lineRule="auto"/>
              <w:rPr>
                <w:rFonts w:ascii="Times New Roman" w:eastAsia="Times New Roman" w:hAnsi="Times New Roman" w:cs="Times New Roman"/>
                <w:sz w:val="20"/>
                <w:szCs w:val="20"/>
                <w:lang w:eastAsia="en-AU"/>
              </w:rPr>
            </w:pPr>
          </w:p>
        </w:tc>
        <w:tc>
          <w:tcPr>
            <w:tcW w:w="5760" w:type="dxa"/>
            <w:tcBorders>
              <w:top w:val="nil"/>
              <w:left w:val="nil"/>
              <w:bottom w:val="nil"/>
              <w:right w:val="nil"/>
            </w:tcBorders>
            <w:shd w:val="clear" w:color="auto" w:fill="auto"/>
            <w:noWrap/>
            <w:vAlign w:val="bottom"/>
            <w:hideMark/>
          </w:tcPr>
          <w:p w:rsidR="00112011" w:rsidRPr="00B54A75" w:rsidRDefault="00112011" w:rsidP="00112011">
            <w:pPr>
              <w:spacing w:after="0" w:line="240" w:lineRule="auto"/>
              <w:rPr>
                <w:rFonts w:ascii="Times New Roman" w:eastAsia="Times New Roman" w:hAnsi="Times New Roman" w:cs="Times New Roman"/>
                <w:sz w:val="20"/>
                <w:szCs w:val="20"/>
                <w:lang w:eastAsia="en-AU"/>
              </w:rPr>
            </w:pPr>
          </w:p>
        </w:tc>
      </w:tr>
      <w:tr w:rsidR="008251F9" w:rsidRPr="00B54A75" w:rsidTr="00222F25">
        <w:trPr>
          <w:trHeight w:val="1335"/>
        </w:trPr>
        <w:tc>
          <w:tcPr>
            <w:tcW w:w="1840" w:type="dxa"/>
            <w:tcBorders>
              <w:top w:val="nil"/>
              <w:left w:val="nil"/>
              <w:bottom w:val="nil"/>
              <w:right w:val="nil"/>
            </w:tcBorders>
            <w:shd w:val="clear" w:color="000000" w:fill="D9D9D9"/>
            <w:vAlign w:val="bottom"/>
            <w:hideMark/>
          </w:tcPr>
          <w:p w:rsidR="00112011" w:rsidRPr="00B54A75" w:rsidRDefault="00FA70BA"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fldChar w:fldCharType="begin" w:fldLock="1"/>
            </w:r>
            <w:r w:rsidR="00C73D5C">
              <w:rPr>
                <w:rFonts w:ascii="Calibri" w:eastAsia="Times New Roman" w:hAnsi="Calibri" w:cs="Calibri"/>
                <w:color w:val="000000"/>
                <w:sz w:val="20"/>
                <w:szCs w:val="20"/>
                <w:lang w:eastAsia="en-AU"/>
              </w:rPr>
              <w:instrText>ADDIN CSL_CITATION { "citationItems" : [ { "id" : "ITEM-1", "itemData" : { "DOI" : "10.3233/JAD-170796", "author" : [ { "dropping-particle" : "", "family" : "Tan", "given" : "Bryce", "non-dropping-particle" : "", "parse-names" : false, "suffix" : "" }, { "dropping-particle" : "", "family" : "Venketasubramanian", "given" : "Narayanaswamy", "non-dropping-particle" : "", "parse-names" : false, "suffix" : "" }, { "dropping-particle" : "", "family" : "Vrooman", "given" : "Henri", "non-dropping-particle" : "", "parse-names" : false, "suffix" : "" }, { "dropping-particle" : "", "family" : "Cheng", "given" : "Ching-Yu", "non-dropping-particle" : "", "parse-names" : false, "suffix" : "" }, { "dropping-particle" : "", "family" : "Wong", "given" : "T.Y.", "non-dropping-particle" : "", "parse-names" : false, "suffix" : "" }, { "dropping-particle" : "", "family" : "Ikram", "given" : "M.K.", "non-dropping-particle" : "", "parse-names" : false, "suffix" : "" }, { "dropping-particle" : "", "family" : "Chen", "given" : "C.", "non-dropping-particle" : "", "parse-names" : false, "suffix" : "" }, { "dropping-particle" : "", "family" : "Hilal", "given" : "S.", "non-dropping-particle" : "", "parse-names" : false, "suffix" : "" } ], "container-title" : "Journal of Alzheimer's disease", "id" : "ITEM-1", "issued" : { "date-parts" : [ [ "2018" ] ] }, "page" : "877-885", "title" : "Homocysteine and Cerebral Atrophy: The Epidemiology of Dementia in Singapore Study", "type" : "article-journal", "volume" : "62" }, "uris" : [ "http://www.mendeley.com/documents/?uuid=93e46bbe-43f0-4520-aaa3-3619daf9cbe9" ] } ], "mendeley" : { "formattedCitation" : "&lt;sup&gt;(1)&lt;/sup&gt;", "manualFormatting" : "Tan et al.(1)", "plainTextFormattedCitation" : "(1)", "previouslyFormattedCitation" : "&lt;sup&gt;(1)&lt;/sup&gt;" }, "properties" : { "noteIndex" : 0 }, "schema" : "https://github.com/citation-style-language/schema/raw/master/csl-citation.json" }</w:instrText>
            </w:r>
            <w:r w:rsidRPr="00B54A75">
              <w:rPr>
                <w:rFonts w:ascii="Calibri" w:eastAsia="Times New Roman" w:hAnsi="Calibri" w:cs="Calibri"/>
                <w:color w:val="000000"/>
                <w:sz w:val="20"/>
                <w:szCs w:val="20"/>
                <w:lang w:eastAsia="en-AU"/>
              </w:rPr>
              <w:fldChar w:fldCharType="separate"/>
            </w:r>
            <w:r w:rsidR="00A85A6A" w:rsidRPr="00B54A75">
              <w:rPr>
                <w:rFonts w:ascii="Calibri" w:eastAsia="Times New Roman" w:hAnsi="Calibri" w:cs="Calibri"/>
                <w:noProof/>
                <w:color w:val="000000"/>
                <w:sz w:val="20"/>
                <w:szCs w:val="20"/>
                <w:lang w:eastAsia="en-AU"/>
              </w:rPr>
              <w:t>Tan et al.</w:t>
            </w:r>
            <w:r w:rsidR="00A85A6A" w:rsidRPr="00B54A75">
              <w:rPr>
                <w:rFonts w:ascii="Calibri" w:eastAsia="Times New Roman" w:hAnsi="Calibri" w:cs="Calibri"/>
                <w:noProof/>
                <w:color w:val="000000"/>
                <w:sz w:val="20"/>
                <w:szCs w:val="20"/>
                <w:vertAlign w:val="superscript"/>
                <w:lang w:eastAsia="en-AU"/>
              </w:rPr>
              <w:t>(1)</w:t>
            </w:r>
            <w:r w:rsidRPr="00B54A75">
              <w:rPr>
                <w:rFonts w:ascii="Calibri" w:eastAsia="Times New Roman" w:hAnsi="Calibri" w:cs="Calibri"/>
                <w:color w:val="000000"/>
                <w:sz w:val="20"/>
                <w:szCs w:val="20"/>
                <w:lang w:eastAsia="en-AU"/>
              </w:rPr>
              <w:fldChar w:fldCharType="end"/>
            </w:r>
          </w:p>
        </w:tc>
        <w:tc>
          <w:tcPr>
            <w:tcW w:w="1049"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proofErr w:type="spellStart"/>
            <w:r w:rsidRPr="00B54A75">
              <w:rPr>
                <w:rFonts w:ascii="Calibri" w:eastAsia="Times New Roman" w:hAnsi="Calibri" w:cs="Calibri"/>
                <w:color w:val="000000"/>
                <w:sz w:val="20"/>
                <w:szCs w:val="20"/>
                <w:lang w:eastAsia="en-AU"/>
              </w:rPr>
              <w:t>HcY</w:t>
            </w:r>
            <w:proofErr w:type="spellEnd"/>
          </w:p>
        </w:tc>
        <w:tc>
          <w:tcPr>
            <w:tcW w:w="1082"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DF</w:t>
            </w:r>
          </w:p>
        </w:tc>
        <w:tc>
          <w:tcPr>
            <w:tcW w:w="1274"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768</w:t>
            </w:r>
          </w:p>
        </w:tc>
        <w:tc>
          <w:tcPr>
            <w:tcW w:w="1328"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≥60.0</w:t>
            </w:r>
          </w:p>
        </w:tc>
        <w:tc>
          <w:tcPr>
            <w:tcW w:w="1418"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69.60</w:t>
            </w:r>
          </w:p>
        </w:tc>
        <w:tc>
          <w:tcPr>
            <w:tcW w:w="1417"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6.50</w:t>
            </w:r>
          </w:p>
        </w:tc>
        <w:tc>
          <w:tcPr>
            <w:tcW w:w="5760"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b/>
                <w:bCs/>
                <w:iCs/>
                <w:color w:val="000000"/>
                <w:sz w:val="20"/>
                <w:szCs w:val="20"/>
                <w:lang w:eastAsia="en-AU"/>
              </w:rPr>
              <w:t>Cross sectional</w:t>
            </w:r>
            <w:r w:rsidRPr="00B54A75">
              <w:rPr>
                <w:rFonts w:ascii="Calibri" w:eastAsia="Times New Roman" w:hAnsi="Calibri" w:cs="Calibri"/>
                <w:b/>
                <w:bCs/>
                <w:color w:val="000000"/>
                <w:sz w:val="20"/>
                <w:szCs w:val="20"/>
                <w:lang w:eastAsia="en-AU"/>
              </w:rPr>
              <w:t xml:space="preserve"> (MRI) </w:t>
            </w:r>
            <w:r w:rsidRPr="00B54A75">
              <w:rPr>
                <w:rFonts w:ascii="Calibri" w:eastAsia="Times New Roman" w:hAnsi="Calibri" w:cs="Calibri"/>
                <w:b/>
                <w:bCs/>
                <w:color w:val="000000"/>
                <w:sz w:val="20"/>
                <w:szCs w:val="20"/>
                <w:lang w:eastAsia="en-AU"/>
              </w:rPr>
              <w:br/>
            </w:r>
            <w:r w:rsidRPr="00B54A75">
              <w:rPr>
                <w:rFonts w:ascii="Calibri" w:eastAsia="Times New Roman" w:hAnsi="Calibri" w:cs="Calibri"/>
                <w:color w:val="000000"/>
                <w:sz w:val="20"/>
                <w:szCs w:val="20"/>
                <w:u w:val="single"/>
                <w:lang w:eastAsia="en-AU"/>
              </w:rPr>
              <w:t xml:space="preserve">↑ </w:t>
            </w:r>
            <w:proofErr w:type="spellStart"/>
            <w:r w:rsidRPr="00B54A75">
              <w:rPr>
                <w:rFonts w:ascii="Calibri" w:eastAsia="Times New Roman" w:hAnsi="Calibri" w:cs="Calibri"/>
                <w:color w:val="000000"/>
                <w:sz w:val="20"/>
                <w:szCs w:val="20"/>
                <w:u w:val="single"/>
                <w:lang w:eastAsia="en-AU"/>
              </w:rPr>
              <w:t>HcY</w:t>
            </w:r>
            <w:proofErr w:type="spellEnd"/>
            <w:r w:rsidRPr="00B54A75">
              <w:rPr>
                <w:rFonts w:ascii="Calibri" w:eastAsia="Times New Roman" w:hAnsi="Calibri" w:cs="Calibri"/>
                <w:color w:val="000000"/>
                <w:sz w:val="20"/>
                <w:szCs w:val="20"/>
                <w:lang w:eastAsia="en-AU"/>
              </w:rPr>
              <w:t xml:space="preserve"> was associated with:</w:t>
            </w:r>
            <w:r w:rsidRPr="00B54A75">
              <w:rPr>
                <w:rFonts w:ascii="Calibri" w:eastAsia="Times New Roman" w:hAnsi="Calibri" w:cs="Calibri"/>
                <w:color w:val="000000"/>
                <w:sz w:val="20"/>
                <w:szCs w:val="20"/>
                <w:lang w:eastAsia="en-AU"/>
              </w:rPr>
              <w:br/>
              <w:t xml:space="preserve">   </w:t>
            </w:r>
            <w:r w:rsidRPr="00B54A75">
              <w:rPr>
                <w:rFonts w:ascii="Calibri" w:eastAsia="Times New Roman" w:hAnsi="Calibri" w:cs="Calibri"/>
                <w:iCs/>
                <w:color w:val="000000"/>
                <w:sz w:val="20"/>
                <w:szCs w:val="20"/>
                <w:lang w:eastAsia="en-AU"/>
              </w:rPr>
              <w:t xml:space="preserve"> </w:t>
            </w:r>
            <w:r w:rsidRPr="00B54A75">
              <w:rPr>
                <w:rFonts w:ascii="Calibri" w:eastAsia="Times New Roman" w:hAnsi="Calibri" w:cs="Calibri"/>
                <w:color w:val="000000"/>
                <w:sz w:val="20"/>
                <w:szCs w:val="20"/>
                <w:lang w:eastAsia="en-AU"/>
              </w:rPr>
              <w:t xml:space="preserve">↓ </w:t>
            </w:r>
            <w:proofErr w:type="spellStart"/>
            <w:r w:rsidRPr="00B54A75">
              <w:rPr>
                <w:rFonts w:ascii="Calibri" w:eastAsia="Times New Roman" w:hAnsi="Calibri" w:cs="Calibri"/>
                <w:color w:val="000000"/>
                <w:sz w:val="20"/>
                <w:szCs w:val="20"/>
                <w:lang w:eastAsia="en-AU"/>
              </w:rPr>
              <w:t>WMv</w:t>
            </w:r>
            <w:proofErr w:type="spellEnd"/>
            <w:r w:rsidRPr="00B54A75">
              <w:rPr>
                <w:rFonts w:ascii="Calibri" w:eastAsia="Times New Roman" w:hAnsi="Calibri" w:cs="Calibri"/>
                <w:color w:val="000000"/>
                <w:sz w:val="20"/>
                <w:szCs w:val="20"/>
                <w:lang w:eastAsia="en-AU"/>
              </w:rPr>
              <w:t xml:space="preserve"> within FL, PL, &amp; TL</w:t>
            </w:r>
            <w:r w:rsidRPr="00B54A75">
              <w:rPr>
                <w:rFonts w:ascii="Calibri" w:eastAsia="Times New Roman" w:hAnsi="Calibri" w:cs="Calibri"/>
                <w:color w:val="000000"/>
                <w:sz w:val="20"/>
                <w:szCs w:val="20"/>
                <w:lang w:eastAsia="en-AU"/>
              </w:rPr>
              <w:br/>
              <w:t xml:space="preserve">     ↓ CT within PL</w:t>
            </w:r>
            <w:r w:rsidRPr="00B54A75">
              <w:rPr>
                <w:rFonts w:ascii="Calibri" w:eastAsia="Times New Roman" w:hAnsi="Calibri" w:cs="Calibri"/>
                <w:color w:val="000000"/>
                <w:sz w:val="20"/>
                <w:szCs w:val="20"/>
                <w:lang w:eastAsia="en-AU"/>
              </w:rPr>
              <w:br/>
              <w:t xml:space="preserve">     ↓ Volume of Thalamus, Brainstem &amp; </w:t>
            </w:r>
            <w:proofErr w:type="spellStart"/>
            <w:r w:rsidRPr="00B54A75">
              <w:rPr>
                <w:rFonts w:ascii="Calibri" w:eastAsia="Times New Roman" w:hAnsi="Calibri" w:cs="Calibri"/>
                <w:color w:val="000000"/>
                <w:sz w:val="20"/>
                <w:szCs w:val="20"/>
                <w:lang w:eastAsia="en-AU"/>
              </w:rPr>
              <w:t>Accumbens</w:t>
            </w:r>
            <w:proofErr w:type="spellEnd"/>
            <w:r w:rsidRPr="00B54A75">
              <w:rPr>
                <w:rFonts w:ascii="Calibri" w:eastAsia="Times New Roman" w:hAnsi="Calibri" w:cs="Calibri"/>
                <w:color w:val="000000"/>
                <w:sz w:val="20"/>
                <w:szCs w:val="20"/>
                <w:lang w:eastAsia="en-AU"/>
              </w:rPr>
              <w:t xml:space="preserve"> </w:t>
            </w:r>
          </w:p>
        </w:tc>
      </w:tr>
      <w:tr w:rsidR="009321E8" w:rsidRPr="00B54A75" w:rsidTr="00222F25">
        <w:trPr>
          <w:trHeight w:val="1200"/>
        </w:trPr>
        <w:tc>
          <w:tcPr>
            <w:tcW w:w="1840" w:type="dxa"/>
            <w:tcBorders>
              <w:top w:val="nil"/>
              <w:left w:val="nil"/>
              <w:bottom w:val="nil"/>
              <w:right w:val="nil"/>
            </w:tcBorders>
            <w:shd w:val="clear" w:color="auto" w:fill="auto"/>
            <w:vAlign w:val="bottom"/>
            <w:hideMark/>
          </w:tcPr>
          <w:p w:rsidR="00112011" w:rsidRPr="00B54A75" w:rsidRDefault="00A85A6A"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Kobe et al.</w:t>
            </w:r>
            <w:r w:rsidR="00FA70BA" w:rsidRPr="00B54A75">
              <w:rPr>
                <w:rFonts w:ascii="Calibri" w:eastAsia="Times New Roman" w:hAnsi="Calibri" w:cs="Calibri"/>
                <w:color w:val="000000"/>
                <w:sz w:val="20"/>
                <w:szCs w:val="20"/>
                <w:lang w:eastAsia="en-AU"/>
              </w:rPr>
              <w:fldChar w:fldCharType="begin" w:fldLock="1"/>
            </w:r>
            <w:r w:rsidR="00C73D5C">
              <w:rPr>
                <w:rFonts w:ascii="Calibri" w:eastAsia="Times New Roman" w:hAnsi="Calibri" w:cs="Calibri"/>
                <w:color w:val="000000"/>
                <w:sz w:val="20"/>
                <w:szCs w:val="20"/>
                <w:lang w:eastAsia="en-AU"/>
              </w:rPr>
              <w:instrText>ADDIN CSL_CITATION { "citationItems" : [ { "id" : "ITEM-1", "itemData" : { "DOI" : "10.3945/ajcn.115.116970.1", "author" : [ { "dropping-particle" : "", "family" : "Kobe", "given" : "Theresa", "non-dropping-particle" : "", "parse-names" : false, "suffix" : "" }, { "dropping-particle" : "", "family" : "Witte", "given" : "A Veronica", "non-dropping-particle" : "", "parse-names" : false, "suffix" : "" }, { "dropping-particle" : "", "family" : "Schnelle", "given" : "Ariane", "non-dropping-particle" : "", "parse-names" : false, "suffix" : "" }, { "dropping-particle" : "", "family" : "Grittner", "given" : "Ulrike", "non-dropping-particle" : "", "parse-names" : false, "suffix" : "" }, { "dropping-particle" : "", "family" : "Tesky", "given" : "Valentina A", "non-dropping-particle" : "", "parse-names" : false, "suffix" : "" }, { "dropping-particle" : "", "family" : "Pantel", "given" : "Johannes", "non-dropping-particle" : "", "parse-names" : false, "suffix" : "" }, { "dropping-particle" : "", "family" : "Schuchardt", "given" : "Jan Philipp", "non-dropping-particle" : "", "parse-names" : false, "suffix" : "" }, { "dropping-particle" : "", "family" : "Hahn", "given" : "Andreas", "non-dropping-particle" : "", "parse-names" : false, "suffix" : "" }, { "dropping-particle" : "", "family" : "Bohlken", "given" : "Jens", "non-dropping-particle" : "", "parse-names" : false, "suffix" : "" }, { "dropping-particle" : "", "family" : "Rujescu", "given" : "Dan", "non-dropping-particle" : "", "parse-names" : false, "suffix" : "" }, { "dropping-particle" : "", "family" : "Floel", "given" : "Agnes", "non-dropping-particle" : "", "parse-names" : false, "suffix" : "" } ], "container-title" : "American journal of clinical nutriition", "id" : "ITEM-1", "issued" : { "date-parts" : [ [ "2016" ] ] }, "page" : "1045-1054", "title" : "Vitamin B-12 concentration, memory performance, and hippocampal structure in patients with mild cognitive impairment", "type" : "article-journal", "volume" : "103" }, "uris" : [ "http://www.mendeley.com/documents/?uuid=34382492-a2e9-493c-bfd7-51754954f192" ] } ], "mendeley" : { "formattedCitation" : "&lt;sup&gt;(2)&lt;/sup&gt;", "plainTextFormattedCitation" : "(2)", "previouslyFormattedCitation" : "&lt;sup&gt;(2)&lt;/sup&gt;" }, "properties" : { "noteIndex" : 0 }, "schema" : "https://github.com/citation-style-language/schema/raw/master/csl-citation.json" }</w:instrText>
            </w:r>
            <w:r w:rsidR="00FA70BA" w:rsidRPr="00B54A75">
              <w:rPr>
                <w:rFonts w:ascii="Calibri" w:eastAsia="Times New Roman" w:hAnsi="Calibri" w:cs="Calibri"/>
                <w:color w:val="000000"/>
                <w:sz w:val="20"/>
                <w:szCs w:val="20"/>
                <w:lang w:eastAsia="en-AU"/>
              </w:rPr>
              <w:fldChar w:fldCharType="separate"/>
            </w:r>
            <w:r w:rsidR="00B54A75" w:rsidRPr="00B54A75">
              <w:rPr>
                <w:rFonts w:ascii="Calibri" w:eastAsia="Times New Roman" w:hAnsi="Calibri" w:cs="Calibri"/>
                <w:noProof/>
                <w:color w:val="000000"/>
                <w:sz w:val="20"/>
                <w:szCs w:val="20"/>
                <w:vertAlign w:val="superscript"/>
                <w:lang w:eastAsia="en-AU"/>
              </w:rPr>
              <w:t>(2)</w:t>
            </w:r>
            <w:r w:rsidR="00FA70BA" w:rsidRPr="00B54A75">
              <w:rPr>
                <w:rFonts w:ascii="Calibri" w:eastAsia="Times New Roman" w:hAnsi="Calibri" w:cs="Calibri"/>
                <w:color w:val="000000"/>
                <w:sz w:val="20"/>
                <w:szCs w:val="20"/>
                <w:lang w:eastAsia="en-AU"/>
              </w:rPr>
              <w:fldChar w:fldCharType="end"/>
            </w:r>
          </w:p>
        </w:tc>
        <w:tc>
          <w:tcPr>
            <w:tcW w:w="1049"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VIT-B</w:t>
            </w:r>
            <w:r w:rsidRPr="00B54A75">
              <w:rPr>
                <w:rFonts w:ascii="Calibri" w:eastAsia="Times New Roman" w:hAnsi="Calibri" w:cs="Calibri"/>
                <w:color w:val="000000"/>
                <w:sz w:val="20"/>
                <w:szCs w:val="20"/>
                <w:vertAlign w:val="subscript"/>
                <w:lang w:eastAsia="en-AU"/>
              </w:rPr>
              <w:t>12</w:t>
            </w:r>
          </w:p>
        </w:tc>
        <w:tc>
          <w:tcPr>
            <w:tcW w:w="1082"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MCI</w:t>
            </w:r>
          </w:p>
        </w:tc>
        <w:tc>
          <w:tcPr>
            <w:tcW w:w="1274"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100</w:t>
            </w:r>
          </w:p>
        </w:tc>
        <w:tc>
          <w:tcPr>
            <w:tcW w:w="1328"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50.0 - 80.0</w:t>
            </w:r>
          </w:p>
        </w:tc>
        <w:tc>
          <w:tcPr>
            <w:tcW w:w="1418"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69.0</w:t>
            </w:r>
          </w:p>
        </w:tc>
        <w:tc>
          <w:tcPr>
            <w:tcW w:w="1417"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7.80</w:t>
            </w:r>
          </w:p>
        </w:tc>
        <w:tc>
          <w:tcPr>
            <w:tcW w:w="5760"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b/>
                <w:bCs/>
                <w:iCs/>
                <w:color w:val="000000"/>
                <w:sz w:val="20"/>
                <w:szCs w:val="20"/>
                <w:lang w:eastAsia="en-AU"/>
              </w:rPr>
              <w:t>Cross sectional (MRI &amp; DTI)</w:t>
            </w:r>
            <w:r w:rsidRPr="00B54A75">
              <w:rPr>
                <w:rFonts w:ascii="Calibri" w:eastAsia="Times New Roman" w:hAnsi="Calibri" w:cs="Calibri"/>
                <w:color w:val="000000"/>
                <w:sz w:val="20"/>
                <w:szCs w:val="20"/>
                <w:lang w:eastAsia="en-AU"/>
              </w:rPr>
              <w:br/>
            </w:r>
            <w:r w:rsidRPr="00B54A75">
              <w:rPr>
                <w:rFonts w:ascii="Calibri" w:eastAsia="Times New Roman" w:hAnsi="Calibri" w:cs="Calibri"/>
                <w:color w:val="000000"/>
                <w:sz w:val="20"/>
                <w:szCs w:val="20"/>
                <w:u w:val="single"/>
                <w:lang w:eastAsia="en-AU"/>
              </w:rPr>
              <w:t>↓ VIT-B</w:t>
            </w:r>
            <w:r w:rsidRPr="00B54A75">
              <w:rPr>
                <w:rFonts w:ascii="Calibri" w:eastAsia="Times New Roman" w:hAnsi="Calibri" w:cs="Calibri"/>
                <w:color w:val="000000"/>
                <w:sz w:val="20"/>
                <w:szCs w:val="20"/>
                <w:u w:val="single"/>
                <w:vertAlign w:val="subscript"/>
                <w:lang w:eastAsia="en-AU"/>
              </w:rPr>
              <w:t>12</w:t>
            </w:r>
            <w:r w:rsidRPr="00B54A75">
              <w:rPr>
                <w:rFonts w:ascii="Calibri" w:eastAsia="Times New Roman" w:hAnsi="Calibri" w:cs="Calibri"/>
                <w:color w:val="000000"/>
                <w:sz w:val="20"/>
                <w:szCs w:val="20"/>
                <w:lang w:eastAsia="en-AU"/>
              </w:rPr>
              <w:t xml:space="preserve"> was associated with:</w:t>
            </w:r>
            <w:r w:rsidRPr="00B54A75">
              <w:rPr>
                <w:rFonts w:ascii="Calibri" w:eastAsia="Times New Roman" w:hAnsi="Calibri" w:cs="Calibri"/>
                <w:color w:val="000000"/>
                <w:sz w:val="20"/>
                <w:szCs w:val="20"/>
                <w:lang w:eastAsia="en-AU"/>
              </w:rPr>
              <w:br/>
              <w:t xml:space="preserve">        ↓ HC microstructural integrity (HC tail, </w:t>
            </w:r>
            <w:r w:rsidR="00310374">
              <w:rPr>
                <w:rFonts w:ascii="Calibri" w:eastAsia="Times New Roman" w:hAnsi="Calibri" w:cs="Calibri"/>
                <w:color w:val="000000"/>
                <w:sz w:val="20"/>
                <w:szCs w:val="20"/>
                <w:lang w:eastAsia="en-AU"/>
              </w:rPr>
              <w:t xml:space="preserve">DG, &amp; CA4 </w:t>
            </w:r>
            <w:proofErr w:type="gramStart"/>
            <w:r w:rsidR="00310374">
              <w:rPr>
                <w:rFonts w:ascii="Calibri" w:eastAsia="Times New Roman" w:hAnsi="Calibri" w:cs="Calibri"/>
                <w:color w:val="000000"/>
                <w:sz w:val="20"/>
                <w:szCs w:val="20"/>
                <w:lang w:eastAsia="en-AU"/>
              </w:rPr>
              <w:t>subfield</w:t>
            </w:r>
            <w:r w:rsidRPr="00B54A75">
              <w:rPr>
                <w:rFonts w:ascii="Calibri" w:eastAsia="Times New Roman" w:hAnsi="Calibri" w:cs="Calibri"/>
                <w:color w:val="000000"/>
                <w:sz w:val="20"/>
                <w:szCs w:val="20"/>
                <w:lang w:eastAsia="en-AU"/>
              </w:rPr>
              <w:t xml:space="preserve">)   </w:t>
            </w:r>
            <w:proofErr w:type="gramEnd"/>
            <w:r w:rsidRPr="00B54A75">
              <w:rPr>
                <w:rFonts w:ascii="Calibri" w:eastAsia="Times New Roman" w:hAnsi="Calibri" w:cs="Calibri"/>
                <w:color w:val="000000"/>
                <w:sz w:val="20"/>
                <w:szCs w:val="20"/>
                <w:lang w:eastAsia="en-AU"/>
              </w:rPr>
              <w:t xml:space="preserve">            </w:t>
            </w:r>
          </w:p>
        </w:tc>
      </w:tr>
      <w:tr w:rsidR="008251F9" w:rsidRPr="00B54A75" w:rsidTr="00222F25">
        <w:trPr>
          <w:trHeight w:val="1275"/>
        </w:trPr>
        <w:tc>
          <w:tcPr>
            <w:tcW w:w="1840" w:type="dxa"/>
            <w:tcBorders>
              <w:top w:val="nil"/>
              <w:left w:val="nil"/>
              <w:bottom w:val="nil"/>
              <w:right w:val="nil"/>
            </w:tcBorders>
            <w:shd w:val="clear" w:color="000000" w:fill="D9D9D9"/>
            <w:vAlign w:val="bottom"/>
            <w:hideMark/>
          </w:tcPr>
          <w:p w:rsidR="00112011" w:rsidRPr="00B54A75" w:rsidRDefault="00A85A6A"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Hsu et al.</w:t>
            </w:r>
            <w:r w:rsidR="00FA70BA" w:rsidRPr="00B54A75">
              <w:rPr>
                <w:rFonts w:ascii="Calibri" w:eastAsia="Times New Roman" w:hAnsi="Calibri" w:cs="Calibri"/>
                <w:color w:val="000000"/>
                <w:sz w:val="20"/>
                <w:szCs w:val="20"/>
                <w:lang w:eastAsia="en-AU"/>
              </w:rPr>
              <w:fldChar w:fldCharType="begin" w:fldLock="1"/>
            </w:r>
            <w:r w:rsidR="00C73D5C">
              <w:rPr>
                <w:rFonts w:ascii="Calibri" w:eastAsia="Times New Roman" w:hAnsi="Calibri" w:cs="Calibri"/>
                <w:color w:val="000000"/>
                <w:sz w:val="20"/>
                <w:szCs w:val="20"/>
                <w:lang w:eastAsia="en-AU"/>
              </w:rPr>
              <w:instrText>ADDIN CSL_CITATION { "citationItems" : [ { "id" : "ITEM-1", "itemData" : { "DOI" : "10.1371/journal.pone.0116330", "ISSN" : "1932-6203", "PMID" : "25693199", "abstract" : "Homocysteine level can lead to adverse effects on the brain white matter through endothelial dysfunction, microstructural inflammation, and neurotoxin effects. Despite previously observed associations between elevated homocysteine and macroscopic structural brain changes, it is still unknown whether microstructural associations of homocysteine on brain tissue properties can be observed in healthy subjects with routine MRI. To this end, we investigated potential relationships between homocysteine levels and microstructural measures computed with diffusion tensor imaging (DTI) in a cohort of 338 healthy participants. Significant positive correlations were observed between homocysteine levels and diffusivity measures in the bilateral temporal WM, the brainstem, and the bilateral cerebellar peduncle. This is the first study demonstrating that DTI is sufficiently sensitive to relate microstructural WM properties to homocysteine levels in healthy subjects.", "author" : [ { "dropping-particle" : "", "family" : "Hsu", "given" : "Jung-Lung", "non-dropping-particle" : "", "parse-names" : false, "suffix" : "" }, { "dropping-particle" : "", "family" : "Chen", "given" : "Wei-Hung", "non-dropping-particle" : "", "parse-names" : false, "suffix" : "" }, { "dropping-particle" : "", "family" : "Bai", "given" : "Chyi-Huey", "non-dropping-particle" : "", "parse-names" : false, "suffix" : "" }, { "dropping-particle" : "", "family" : "Leu", "given" : "Jyu-Gang", "non-dropping-particle" : "", "parse-names" : false, "suffix" : "" }, { "dropping-particle" : "", "family" : "Hsu", "given" : "Chien-Yeh", "non-dropping-particle" : "", "parse-names" : false, "suffix" : "" }, { "dropping-particle" : "", "family" : "Viergever", "given" : "Max A", "non-dropping-particle" : "", "parse-names" : false, "suffix" : "" }, { "dropping-particle" : "", "family" : "Leemans", "given" : "Alexander", "non-dropping-particle" : "", "parse-names" : false, "suffix" : "" } ], "container-title" : "PloS one", "id" : "ITEM-1", "issued" : { "date-parts" : [ [ "2015", "1" ] ] }, "page" : "e0116330", "title" : "Microstructural white matter tissue characteristics are modulated by homocysteine: a diffusion tensor imaging study", "type" : "article-journal", "volume" : "10" }, "uris" : [ "http://www.mendeley.com/documents/?uuid=e34e20a2-8115-468f-80ec-dc234295d0cf" ] } ], "mendeley" : { "formattedCitation" : "&lt;sup&gt;(3)&lt;/sup&gt;", "plainTextFormattedCitation" : "(3)", "previouslyFormattedCitation" : "&lt;sup&gt;(3)&lt;/sup&gt;" }, "properties" : { "noteIndex" : 0 }, "schema" : "https://github.com/citation-style-language/schema/raw/master/csl-citation.json" }</w:instrText>
            </w:r>
            <w:r w:rsidR="00FA70BA" w:rsidRPr="00B54A75">
              <w:rPr>
                <w:rFonts w:ascii="Calibri" w:eastAsia="Times New Roman" w:hAnsi="Calibri" w:cs="Calibri"/>
                <w:color w:val="000000"/>
                <w:sz w:val="20"/>
                <w:szCs w:val="20"/>
                <w:lang w:eastAsia="en-AU"/>
              </w:rPr>
              <w:fldChar w:fldCharType="separate"/>
            </w:r>
            <w:r w:rsidR="00B54A75" w:rsidRPr="00B54A75">
              <w:rPr>
                <w:rFonts w:ascii="Calibri" w:eastAsia="Times New Roman" w:hAnsi="Calibri" w:cs="Calibri"/>
                <w:noProof/>
                <w:color w:val="000000"/>
                <w:sz w:val="20"/>
                <w:szCs w:val="20"/>
                <w:vertAlign w:val="superscript"/>
                <w:lang w:eastAsia="en-AU"/>
              </w:rPr>
              <w:t>(3)</w:t>
            </w:r>
            <w:r w:rsidR="00FA70BA" w:rsidRPr="00B54A75">
              <w:rPr>
                <w:rFonts w:ascii="Calibri" w:eastAsia="Times New Roman" w:hAnsi="Calibri" w:cs="Calibri"/>
                <w:color w:val="000000"/>
                <w:sz w:val="20"/>
                <w:szCs w:val="20"/>
                <w:lang w:eastAsia="en-AU"/>
              </w:rPr>
              <w:fldChar w:fldCharType="end"/>
            </w:r>
          </w:p>
        </w:tc>
        <w:tc>
          <w:tcPr>
            <w:tcW w:w="1049"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proofErr w:type="spellStart"/>
            <w:r w:rsidRPr="00B54A75">
              <w:rPr>
                <w:rFonts w:ascii="Calibri" w:eastAsia="Times New Roman" w:hAnsi="Calibri" w:cs="Calibri"/>
                <w:color w:val="000000"/>
                <w:sz w:val="20"/>
                <w:szCs w:val="20"/>
                <w:lang w:eastAsia="en-AU"/>
              </w:rPr>
              <w:t>HcY</w:t>
            </w:r>
            <w:proofErr w:type="spellEnd"/>
          </w:p>
        </w:tc>
        <w:tc>
          <w:tcPr>
            <w:tcW w:w="1082"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H</w:t>
            </w:r>
          </w:p>
        </w:tc>
        <w:tc>
          <w:tcPr>
            <w:tcW w:w="1274"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338</w:t>
            </w:r>
          </w:p>
        </w:tc>
        <w:tc>
          <w:tcPr>
            <w:tcW w:w="1328"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25 - 81</w:t>
            </w:r>
          </w:p>
        </w:tc>
        <w:tc>
          <w:tcPr>
            <w:tcW w:w="1418"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51.60</w:t>
            </w:r>
          </w:p>
        </w:tc>
        <w:tc>
          <w:tcPr>
            <w:tcW w:w="1417"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10.50</w:t>
            </w:r>
          </w:p>
        </w:tc>
        <w:tc>
          <w:tcPr>
            <w:tcW w:w="5760" w:type="dxa"/>
            <w:tcBorders>
              <w:top w:val="nil"/>
              <w:left w:val="nil"/>
              <w:bottom w:val="nil"/>
              <w:right w:val="nil"/>
            </w:tcBorders>
            <w:shd w:val="clear" w:color="000000" w:fill="D9D9D9"/>
            <w:vAlign w:val="bottom"/>
            <w:hideMark/>
          </w:tcPr>
          <w:p w:rsidR="00112011" w:rsidRPr="00B54A75" w:rsidRDefault="00112011" w:rsidP="00083999">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b/>
                <w:bCs/>
                <w:iCs/>
                <w:color w:val="000000"/>
                <w:sz w:val="20"/>
                <w:szCs w:val="20"/>
                <w:lang w:eastAsia="en-AU"/>
              </w:rPr>
              <w:t>Cross sectional</w:t>
            </w:r>
            <w:r w:rsidRPr="00B54A75">
              <w:rPr>
                <w:rFonts w:ascii="Calibri" w:eastAsia="Times New Roman" w:hAnsi="Calibri" w:cs="Calibri"/>
                <w:b/>
                <w:bCs/>
                <w:color w:val="000000"/>
                <w:sz w:val="20"/>
                <w:szCs w:val="20"/>
                <w:lang w:eastAsia="en-AU"/>
              </w:rPr>
              <w:t xml:space="preserve"> (DTI)</w:t>
            </w:r>
            <w:r w:rsidRPr="00B54A75">
              <w:rPr>
                <w:rFonts w:ascii="Calibri" w:eastAsia="Times New Roman" w:hAnsi="Calibri" w:cs="Calibri"/>
                <w:color w:val="000000"/>
                <w:sz w:val="20"/>
                <w:szCs w:val="20"/>
                <w:lang w:eastAsia="en-AU"/>
              </w:rPr>
              <w:br/>
            </w:r>
            <w:r w:rsidRPr="00B54A75">
              <w:rPr>
                <w:rFonts w:ascii="Calibri" w:eastAsia="Times New Roman" w:hAnsi="Calibri" w:cs="Calibri"/>
                <w:color w:val="000000"/>
                <w:sz w:val="20"/>
                <w:szCs w:val="20"/>
                <w:u w:val="single"/>
                <w:lang w:eastAsia="en-AU"/>
              </w:rPr>
              <w:t xml:space="preserve">↑ </w:t>
            </w:r>
            <w:proofErr w:type="spellStart"/>
            <w:r w:rsidRPr="00B54A75">
              <w:rPr>
                <w:rFonts w:ascii="Calibri" w:eastAsia="Times New Roman" w:hAnsi="Calibri" w:cs="Calibri"/>
                <w:color w:val="000000"/>
                <w:sz w:val="20"/>
                <w:szCs w:val="20"/>
                <w:u w:val="single"/>
                <w:lang w:eastAsia="en-AU"/>
              </w:rPr>
              <w:t>HcY</w:t>
            </w:r>
            <w:proofErr w:type="spellEnd"/>
            <w:r w:rsidRPr="00B54A75">
              <w:rPr>
                <w:rFonts w:ascii="Calibri" w:eastAsia="Times New Roman" w:hAnsi="Calibri" w:cs="Calibri"/>
                <w:color w:val="000000"/>
                <w:sz w:val="20"/>
                <w:szCs w:val="20"/>
                <w:lang w:eastAsia="en-AU"/>
              </w:rPr>
              <w:t xml:space="preserve"> was associated with:</w:t>
            </w:r>
            <w:r w:rsidRPr="00B54A75">
              <w:rPr>
                <w:rFonts w:ascii="Calibri" w:eastAsia="Times New Roman" w:hAnsi="Calibri" w:cs="Calibri"/>
                <w:color w:val="000000"/>
                <w:sz w:val="20"/>
                <w:szCs w:val="20"/>
                <w:lang w:eastAsia="en-AU"/>
              </w:rPr>
              <w:br/>
              <w:t xml:space="preserve">        </w:t>
            </w:r>
            <w:r w:rsidR="00083999" w:rsidRPr="00B54A75">
              <w:rPr>
                <w:rFonts w:ascii="Calibri" w:eastAsia="Times New Roman" w:hAnsi="Calibri" w:cs="Calibri"/>
                <w:color w:val="000000"/>
                <w:sz w:val="20"/>
                <w:szCs w:val="20"/>
                <w:lang w:eastAsia="en-AU"/>
              </w:rPr>
              <w:t xml:space="preserve">↓ </w:t>
            </w:r>
            <w:r w:rsidRPr="00B54A75">
              <w:rPr>
                <w:rFonts w:ascii="Calibri" w:eastAsia="Times New Roman" w:hAnsi="Calibri" w:cs="Calibri"/>
                <w:color w:val="000000"/>
                <w:sz w:val="20"/>
                <w:szCs w:val="20"/>
                <w:lang w:eastAsia="en-AU"/>
              </w:rPr>
              <w:t>WM microstructural integrity within regions FL &amp;</w:t>
            </w:r>
            <w:r w:rsidRPr="00B54A75">
              <w:rPr>
                <w:rFonts w:ascii="Calibri" w:eastAsia="Times New Roman" w:hAnsi="Calibri" w:cs="Calibri"/>
                <w:color w:val="000000"/>
                <w:sz w:val="20"/>
                <w:szCs w:val="20"/>
                <w:lang w:eastAsia="en-AU"/>
              </w:rPr>
              <w:br/>
              <w:t xml:space="preserve">            anterior TL, CC &amp; Midbrain</w:t>
            </w:r>
            <w:r w:rsidRPr="00B54A75">
              <w:rPr>
                <w:rFonts w:ascii="Calibri" w:eastAsia="Times New Roman" w:hAnsi="Calibri" w:cs="Calibri"/>
                <w:iCs/>
                <w:color w:val="000000"/>
                <w:sz w:val="20"/>
                <w:szCs w:val="20"/>
                <w:lang w:eastAsia="en-AU"/>
              </w:rPr>
              <w:br/>
              <w:t xml:space="preserve">         </w:t>
            </w:r>
            <w:proofErr w:type="gramStart"/>
            <w:r w:rsidRPr="00B54A75">
              <w:rPr>
                <w:rFonts w:ascii="Calibri" w:eastAsia="Times New Roman" w:hAnsi="Calibri" w:cs="Calibri"/>
                <w:iCs/>
                <w:color w:val="000000"/>
                <w:sz w:val="20"/>
                <w:szCs w:val="20"/>
                <w:lang w:eastAsia="en-AU"/>
              </w:rPr>
              <w:t xml:space="preserve">   (</w:t>
            </w:r>
            <w:proofErr w:type="gramEnd"/>
            <w:r w:rsidRPr="00B54A75">
              <w:rPr>
                <w:rFonts w:ascii="Calibri" w:eastAsia="Times New Roman" w:hAnsi="Calibri" w:cs="Calibri"/>
                <w:iCs/>
                <w:color w:val="000000"/>
                <w:sz w:val="20"/>
                <w:szCs w:val="20"/>
                <w:lang w:eastAsia="en-AU"/>
              </w:rPr>
              <w:t xml:space="preserve">corresponding with multiple WM fibre bundles)                                             </w:t>
            </w:r>
          </w:p>
        </w:tc>
      </w:tr>
      <w:tr w:rsidR="009321E8" w:rsidRPr="00B54A75" w:rsidTr="00222F25">
        <w:trPr>
          <w:trHeight w:val="1665"/>
        </w:trPr>
        <w:tc>
          <w:tcPr>
            <w:tcW w:w="1840" w:type="dxa"/>
            <w:tcBorders>
              <w:top w:val="nil"/>
              <w:left w:val="nil"/>
              <w:bottom w:val="nil"/>
              <w:right w:val="nil"/>
            </w:tcBorders>
            <w:shd w:val="clear" w:color="auto" w:fill="auto"/>
            <w:vAlign w:val="bottom"/>
            <w:hideMark/>
          </w:tcPr>
          <w:p w:rsidR="00112011" w:rsidRPr="00B54A75" w:rsidRDefault="00A85A6A" w:rsidP="00083999">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Madsen et al.</w:t>
            </w:r>
            <w:r w:rsidR="00FA70BA" w:rsidRPr="00B54A75">
              <w:rPr>
                <w:rFonts w:ascii="Calibri" w:eastAsia="Times New Roman" w:hAnsi="Calibri" w:cs="Calibri"/>
                <w:color w:val="000000"/>
                <w:sz w:val="20"/>
                <w:szCs w:val="20"/>
                <w:lang w:eastAsia="en-AU"/>
              </w:rPr>
              <w:fldChar w:fldCharType="begin" w:fldLock="1"/>
            </w:r>
            <w:r w:rsidR="00C73D5C">
              <w:rPr>
                <w:rFonts w:ascii="Calibri" w:eastAsia="Times New Roman" w:hAnsi="Calibri" w:cs="Calibri"/>
                <w:color w:val="000000"/>
                <w:sz w:val="20"/>
                <w:szCs w:val="20"/>
                <w:lang w:eastAsia="en-AU"/>
              </w:rPr>
              <w:instrText>ADDIN CSL_CITATION { "citationItems" : [ { "id" : "ITEM-1", "itemData" : { "DOI" : "10.1016/j.neurobiolaging.2014.01.154", "ISSN" : "1558-1497", "PMID" : "25444607", "abstract" : "A significant portion of our risk for dementia in old age is associated with lifestyle factors (diet, exercise, and cardiovascular health) that are modifiable, at least in principle. One such risk factor, high-homocysteine levels in the blood, is known to increase risk for Alzheimer's disease and vascular disorders. Here, we set out to understand how homocysteine levels relate to 3D surface-based maps of cortical gray matter distribution (thickness, volume, and surface area) computed from brain magnetic resonance imaging in 803 elderly subjects from the Alzheimer's Disease Neuroimaging Initiative data set. Individuals with higher plasma levels of homocysteine had lower gray matter thickness in bilateral frontal, parietal, occipital, and right temporal regions and lower gray matter volumes in left frontal, parietal, temporal, and occipital regions, after controlling for diagnosis, age, and sex and after correcting for multiple comparisons. No significant within-group associations were found in cognitively healthy people, patients with mild cognitive impairment, or patients with Alzheimer's disease. These regional differences in gray matter structure may be useful biomarkers to assess the effectiveness of interventions, such as vitamin B supplements, that aim to prevent homocysteine-related brain atrophy by normalizing homocysteine levels.", "author" : [ { "dropping-particle" : "", "family" : "Madsen", "given" : "Sarah K", "non-dropping-particle" : "", "parse-names" : false, "suffix" : "" }, { "dropping-particle" : "", "family" : "Rajagopalan", "given" : "Priya", "non-dropping-particle" : "", "parse-names" : false, "suffix" : "" }, { "dropping-particle" : "", "family" : "Joshi", "given" : "Shantanu H", "non-dropping-particle" : "", "parse-names" : false, "suffix" : "" }, { "dropping-particle" : "", "family" : "Toga", "given" : "Arthur W", "non-dropping-particle" : "", "parse-names" : false, "suffix" : "" }, { "dropping-particle" : "", "family" : "Thompson", "given" : "Paul M", "non-dropping-particle" : "", "parse-names" : false, "suffix" : "" } ], "container-title" : "Neurobiology of Aging", "id" : "ITEM-1", "issued" : { "date-parts" : [ [ "2015", "8", "30" ] ] }, "page" : "S203-S210", "publisher" : "Elsevier Ltd", "title" : "Higher homocysteine associated with thinner cortical gray matter in 803 participants from the Alzheimer's Disease Neuroimaging Initiative", "type" : "article-journal", "volume" : "36" }, "uris" : [ "http://www.mendeley.com/documents/?uuid=d438a98a-720e-4d3b-99a2-dee420f4492c" ] } ], "mendeley" : { "formattedCitation" : "&lt;sup&gt;(4)&lt;/sup&gt;", "plainTextFormattedCitation" : "(4)", "previouslyFormattedCitation" : "&lt;sup&gt;(4)&lt;/sup&gt;" }, "properties" : { "noteIndex" : 0 }, "schema" : "https://github.com/citation-style-language/schema/raw/master/csl-citation.json" }</w:instrText>
            </w:r>
            <w:r w:rsidR="00FA70BA" w:rsidRPr="00B54A75">
              <w:rPr>
                <w:rFonts w:ascii="Calibri" w:eastAsia="Times New Roman" w:hAnsi="Calibri" w:cs="Calibri"/>
                <w:color w:val="000000"/>
                <w:sz w:val="20"/>
                <w:szCs w:val="20"/>
                <w:lang w:eastAsia="en-AU"/>
              </w:rPr>
              <w:fldChar w:fldCharType="separate"/>
            </w:r>
            <w:r w:rsidR="00B54A75" w:rsidRPr="00B54A75">
              <w:rPr>
                <w:rFonts w:ascii="Calibri" w:eastAsia="Times New Roman" w:hAnsi="Calibri" w:cs="Calibri"/>
                <w:noProof/>
                <w:color w:val="000000"/>
                <w:sz w:val="20"/>
                <w:szCs w:val="20"/>
                <w:vertAlign w:val="superscript"/>
                <w:lang w:eastAsia="en-AU"/>
              </w:rPr>
              <w:t>(4)</w:t>
            </w:r>
            <w:r w:rsidR="00FA70BA" w:rsidRPr="00B54A75">
              <w:rPr>
                <w:rFonts w:ascii="Calibri" w:eastAsia="Times New Roman" w:hAnsi="Calibri" w:cs="Calibri"/>
                <w:color w:val="000000"/>
                <w:sz w:val="20"/>
                <w:szCs w:val="20"/>
                <w:lang w:eastAsia="en-AU"/>
              </w:rPr>
              <w:fldChar w:fldCharType="end"/>
            </w:r>
          </w:p>
        </w:tc>
        <w:tc>
          <w:tcPr>
            <w:tcW w:w="1049"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proofErr w:type="spellStart"/>
            <w:r w:rsidRPr="00B54A75">
              <w:rPr>
                <w:rFonts w:ascii="Calibri" w:eastAsia="Times New Roman" w:hAnsi="Calibri" w:cs="Calibri"/>
                <w:color w:val="000000"/>
                <w:sz w:val="20"/>
                <w:szCs w:val="20"/>
                <w:lang w:eastAsia="en-AU"/>
              </w:rPr>
              <w:t>HcY</w:t>
            </w:r>
            <w:proofErr w:type="spellEnd"/>
          </w:p>
        </w:tc>
        <w:tc>
          <w:tcPr>
            <w:tcW w:w="1082"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Mixed†</w:t>
            </w:r>
          </w:p>
        </w:tc>
        <w:tc>
          <w:tcPr>
            <w:tcW w:w="1274" w:type="dxa"/>
            <w:tcBorders>
              <w:top w:val="nil"/>
              <w:left w:val="nil"/>
              <w:bottom w:val="nil"/>
              <w:right w:val="nil"/>
            </w:tcBorders>
            <w:shd w:val="clear" w:color="auto" w:fill="auto"/>
            <w:vAlign w:val="bottom"/>
            <w:hideMark/>
          </w:tcPr>
          <w:p w:rsidR="00FA70BA"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225 (CN)</w:t>
            </w:r>
          </w:p>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392 (MCI) 186 (AD)</w:t>
            </w:r>
          </w:p>
        </w:tc>
        <w:tc>
          <w:tcPr>
            <w:tcW w:w="1328"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NR</w:t>
            </w:r>
          </w:p>
        </w:tc>
        <w:tc>
          <w:tcPr>
            <w:tcW w:w="1418"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75.33 (CN)</w:t>
            </w:r>
            <w:r w:rsidRPr="00B54A75">
              <w:rPr>
                <w:rFonts w:ascii="Calibri" w:eastAsia="Times New Roman" w:hAnsi="Calibri" w:cs="Calibri"/>
                <w:color w:val="000000"/>
                <w:sz w:val="20"/>
                <w:szCs w:val="20"/>
                <w:lang w:eastAsia="en-AU"/>
              </w:rPr>
              <w:br/>
              <w:t>75.39 (MCI)</w:t>
            </w:r>
            <w:r w:rsidRPr="00B54A75">
              <w:rPr>
                <w:rFonts w:ascii="Calibri" w:eastAsia="Times New Roman" w:hAnsi="Calibri" w:cs="Calibri"/>
                <w:color w:val="000000"/>
                <w:sz w:val="20"/>
                <w:szCs w:val="20"/>
                <w:lang w:eastAsia="en-AU"/>
              </w:rPr>
              <w:br/>
              <w:t>75.45 (AD)</w:t>
            </w:r>
          </w:p>
        </w:tc>
        <w:tc>
          <w:tcPr>
            <w:tcW w:w="1417"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7.67 (CN)</w:t>
            </w:r>
            <w:r w:rsidRPr="00B54A75">
              <w:rPr>
                <w:rFonts w:ascii="Calibri" w:eastAsia="Times New Roman" w:hAnsi="Calibri" w:cs="Calibri"/>
                <w:color w:val="000000"/>
                <w:sz w:val="20"/>
                <w:szCs w:val="20"/>
                <w:lang w:eastAsia="en-AU"/>
              </w:rPr>
              <w:br/>
              <w:t>7.60 (MCI)</w:t>
            </w:r>
            <w:r w:rsidRPr="00B54A75">
              <w:rPr>
                <w:rFonts w:ascii="Calibri" w:eastAsia="Times New Roman" w:hAnsi="Calibri" w:cs="Calibri"/>
                <w:color w:val="000000"/>
                <w:sz w:val="20"/>
                <w:szCs w:val="20"/>
                <w:lang w:eastAsia="en-AU"/>
              </w:rPr>
              <w:br/>
              <w:t>6.84 (AD)</w:t>
            </w:r>
          </w:p>
        </w:tc>
        <w:tc>
          <w:tcPr>
            <w:tcW w:w="5760"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b/>
                <w:bCs/>
                <w:color w:val="000000"/>
                <w:sz w:val="20"/>
                <w:szCs w:val="20"/>
                <w:lang w:eastAsia="en-AU"/>
              </w:rPr>
            </w:pPr>
            <w:r w:rsidRPr="00B54A75">
              <w:rPr>
                <w:rFonts w:ascii="Calibri" w:eastAsia="Times New Roman" w:hAnsi="Calibri" w:cs="Calibri"/>
                <w:b/>
                <w:bCs/>
                <w:iCs/>
                <w:color w:val="000000"/>
                <w:sz w:val="20"/>
                <w:szCs w:val="20"/>
                <w:lang w:eastAsia="en-AU"/>
              </w:rPr>
              <w:t xml:space="preserve">Cross sectional </w:t>
            </w:r>
            <w:r w:rsidRPr="00B54A75">
              <w:rPr>
                <w:rFonts w:ascii="Calibri" w:eastAsia="Times New Roman" w:hAnsi="Calibri" w:cs="Calibri"/>
                <w:b/>
                <w:bCs/>
                <w:color w:val="000000"/>
                <w:sz w:val="20"/>
                <w:szCs w:val="20"/>
                <w:lang w:eastAsia="en-AU"/>
              </w:rPr>
              <w:t xml:space="preserve">(MRI) </w:t>
            </w:r>
            <w:r w:rsidRPr="00B54A75">
              <w:rPr>
                <w:rFonts w:ascii="Calibri" w:eastAsia="Times New Roman" w:hAnsi="Calibri" w:cs="Calibri"/>
                <w:b/>
                <w:bCs/>
                <w:color w:val="000000"/>
                <w:sz w:val="20"/>
                <w:szCs w:val="20"/>
                <w:lang w:eastAsia="en-AU"/>
              </w:rPr>
              <w:br/>
            </w:r>
            <w:r w:rsidRPr="00B54A75">
              <w:rPr>
                <w:rFonts w:ascii="Calibri" w:eastAsia="Times New Roman" w:hAnsi="Calibri" w:cs="Calibri"/>
                <w:color w:val="000000"/>
                <w:sz w:val="20"/>
                <w:szCs w:val="20"/>
                <w:lang w:eastAsia="en-AU"/>
              </w:rPr>
              <w:t xml:space="preserve"> </w:t>
            </w:r>
            <w:r w:rsidRPr="00B54A75">
              <w:rPr>
                <w:rFonts w:ascii="Calibri" w:eastAsia="Times New Roman" w:hAnsi="Calibri" w:cs="Calibri"/>
                <w:color w:val="000000"/>
                <w:sz w:val="20"/>
                <w:szCs w:val="20"/>
                <w:u w:val="single"/>
                <w:lang w:eastAsia="en-AU"/>
              </w:rPr>
              <w:t xml:space="preserve">↑ </w:t>
            </w:r>
            <w:proofErr w:type="spellStart"/>
            <w:r w:rsidRPr="00B54A75">
              <w:rPr>
                <w:rFonts w:ascii="Calibri" w:eastAsia="Times New Roman" w:hAnsi="Calibri" w:cs="Calibri"/>
                <w:color w:val="000000"/>
                <w:sz w:val="20"/>
                <w:szCs w:val="20"/>
                <w:u w:val="single"/>
                <w:lang w:eastAsia="en-AU"/>
              </w:rPr>
              <w:t>HcY</w:t>
            </w:r>
            <w:proofErr w:type="spellEnd"/>
            <w:r w:rsidRPr="00B54A75">
              <w:rPr>
                <w:rFonts w:ascii="Calibri" w:eastAsia="Times New Roman" w:hAnsi="Calibri" w:cs="Calibri"/>
                <w:color w:val="000000"/>
                <w:sz w:val="20"/>
                <w:szCs w:val="20"/>
                <w:u w:val="single"/>
                <w:lang w:eastAsia="en-AU"/>
              </w:rPr>
              <w:t xml:space="preserve"> </w:t>
            </w:r>
            <w:r w:rsidRPr="00B54A75">
              <w:rPr>
                <w:rFonts w:ascii="Calibri" w:eastAsia="Times New Roman" w:hAnsi="Calibri" w:cs="Calibri"/>
                <w:color w:val="000000"/>
                <w:sz w:val="20"/>
                <w:szCs w:val="20"/>
                <w:lang w:eastAsia="en-AU"/>
              </w:rPr>
              <w:t>was associated with:</w:t>
            </w:r>
            <w:r w:rsidRPr="00B54A75">
              <w:rPr>
                <w:rFonts w:ascii="Calibri" w:eastAsia="Times New Roman" w:hAnsi="Calibri" w:cs="Calibri"/>
                <w:color w:val="000000"/>
                <w:sz w:val="20"/>
                <w:szCs w:val="20"/>
                <w:lang w:eastAsia="en-AU"/>
              </w:rPr>
              <w:br/>
              <w:t xml:space="preserve">         ↓ CT within FL, PL, &amp; TL</w:t>
            </w:r>
            <w:r w:rsidRPr="00B54A75">
              <w:rPr>
                <w:rFonts w:ascii="Calibri" w:eastAsia="Times New Roman" w:hAnsi="Calibri" w:cs="Calibri"/>
                <w:color w:val="000000"/>
                <w:sz w:val="20"/>
                <w:szCs w:val="20"/>
                <w:lang w:eastAsia="en-AU"/>
              </w:rPr>
              <w:br/>
              <w:t xml:space="preserve">         ↓ Cortical </w:t>
            </w:r>
            <w:proofErr w:type="spellStart"/>
            <w:r w:rsidRPr="00B54A75">
              <w:rPr>
                <w:rFonts w:ascii="Calibri" w:eastAsia="Times New Roman" w:hAnsi="Calibri" w:cs="Calibri"/>
                <w:color w:val="000000"/>
                <w:sz w:val="20"/>
                <w:szCs w:val="20"/>
                <w:lang w:eastAsia="en-AU"/>
              </w:rPr>
              <w:t>GMv</w:t>
            </w:r>
            <w:proofErr w:type="spellEnd"/>
            <w:r w:rsidRPr="00B54A75">
              <w:rPr>
                <w:rFonts w:ascii="Calibri" w:eastAsia="Times New Roman" w:hAnsi="Calibri" w:cs="Calibri"/>
                <w:color w:val="000000"/>
                <w:sz w:val="20"/>
                <w:szCs w:val="20"/>
                <w:lang w:eastAsia="en-AU"/>
              </w:rPr>
              <w:t xml:space="preserve"> within FL, PL, &amp; TL</w:t>
            </w:r>
            <w:r w:rsidRPr="00B54A75">
              <w:rPr>
                <w:rFonts w:ascii="Calibri" w:eastAsia="Times New Roman" w:hAnsi="Calibri" w:cs="Calibri"/>
                <w:iCs/>
                <w:color w:val="000000"/>
                <w:sz w:val="20"/>
                <w:szCs w:val="20"/>
                <w:lang w:eastAsia="en-AU"/>
              </w:rPr>
              <w:br/>
            </w:r>
            <w:r w:rsidRPr="00B54A75">
              <w:rPr>
                <w:rFonts w:ascii="Calibri" w:eastAsia="Times New Roman" w:hAnsi="Calibri" w:cs="Calibri"/>
                <w:color w:val="000000"/>
                <w:sz w:val="20"/>
                <w:szCs w:val="20"/>
                <w:lang w:eastAsia="en-AU"/>
              </w:rPr>
              <w:t>Significant associations only observed for whole group. No significant associations observed for specific subgroups</w:t>
            </w:r>
          </w:p>
        </w:tc>
      </w:tr>
      <w:tr w:rsidR="008251F9" w:rsidRPr="00B54A75" w:rsidTr="00222F25">
        <w:trPr>
          <w:trHeight w:val="885"/>
        </w:trPr>
        <w:tc>
          <w:tcPr>
            <w:tcW w:w="1840" w:type="dxa"/>
            <w:tcBorders>
              <w:top w:val="nil"/>
              <w:left w:val="nil"/>
              <w:bottom w:val="nil"/>
              <w:right w:val="nil"/>
            </w:tcBorders>
            <w:shd w:val="clear" w:color="000000" w:fill="D9D9D9"/>
            <w:vAlign w:val="bottom"/>
            <w:hideMark/>
          </w:tcPr>
          <w:p w:rsidR="00112011" w:rsidRPr="00B54A75" w:rsidRDefault="00A85A6A" w:rsidP="00112011">
            <w:pPr>
              <w:spacing w:after="0" w:line="240" w:lineRule="auto"/>
              <w:rPr>
                <w:rFonts w:ascii="Calibri" w:eastAsia="Times New Roman" w:hAnsi="Calibri" w:cs="Calibri"/>
                <w:color w:val="000000"/>
                <w:sz w:val="20"/>
                <w:szCs w:val="20"/>
                <w:lang w:eastAsia="en-AU"/>
              </w:rPr>
            </w:pPr>
            <w:proofErr w:type="spellStart"/>
            <w:r w:rsidRPr="00B54A75">
              <w:rPr>
                <w:rFonts w:ascii="Calibri" w:eastAsia="Times New Roman" w:hAnsi="Calibri" w:cs="Calibri"/>
                <w:color w:val="000000"/>
                <w:sz w:val="20"/>
                <w:szCs w:val="20"/>
                <w:lang w:eastAsia="en-AU"/>
              </w:rPr>
              <w:t>Bettcher</w:t>
            </w:r>
            <w:proofErr w:type="spellEnd"/>
            <w:r w:rsidRPr="00B54A75">
              <w:rPr>
                <w:rFonts w:ascii="Calibri" w:eastAsia="Times New Roman" w:hAnsi="Calibri" w:cs="Calibri"/>
                <w:color w:val="000000"/>
                <w:sz w:val="20"/>
                <w:szCs w:val="20"/>
                <w:lang w:eastAsia="en-AU"/>
              </w:rPr>
              <w:t xml:space="preserve"> et al.</w:t>
            </w:r>
            <w:r w:rsidR="00083999" w:rsidRPr="00B54A75">
              <w:rPr>
                <w:rFonts w:ascii="Calibri" w:eastAsia="Times New Roman" w:hAnsi="Calibri" w:cs="Calibri"/>
                <w:color w:val="000000"/>
                <w:sz w:val="20"/>
                <w:szCs w:val="20"/>
                <w:lang w:eastAsia="en-AU"/>
              </w:rPr>
              <w:fldChar w:fldCharType="begin" w:fldLock="1"/>
            </w:r>
            <w:r w:rsidR="00C73D5C">
              <w:rPr>
                <w:rFonts w:ascii="Calibri" w:eastAsia="Times New Roman" w:hAnsi="Calibri" w:cs="Calibri"/>
                <w:color w:val="000000"/>
                <w:sz w:val="20"/>
                <w:szCs w:val="20"/>
                <w:lang w:eastAsia="en-AU"/>
              </w:rPr>
              <w:instrText>ADDIN CSL_CITATION { "citationItems" : [ { "id" : "ITEM-1", "itemData" : { "DOI" : "10.1371/journal.pone.0106521", "ISSN" : "1932-6203", "PMID" : "25188448", "abstract" : "The contribution of inflammation to deleterious aging outcomes is increasingly recognized; however, little is known about the complex relationship between interleukin-6 (IL-6) and brain structure, or how this association might change with increasing age. We examined the association between IL-6, white matter integrity, and cognition in 151 community dwelling older adults, and tested whether age moderated these associations. Blood levels of IL-6 and vascular risk (e.g., homocysteine), as well as health history information, were collected. Processing speed assessments were administered to assess cognitive functioning, and we employed tract-based spatial statistics to examine whole brain white matter and regions of interest. Given the association between inflammation, vascular risk, and corpus callosum (CC) integrity, fractional anisotropy (FA) of the genu, body, and splenium represented our primary dependent variables. Whole brain analysis revealed an inverse association between IL-6 and CC fractional anisotropy. Subsequent ROI linear regression and ridge regression analyses indicated that the magnitude of this effect increased with age; thus, older individuals with higher IL-6 levels displayed lower white matter integrity. Finally, higher IL-6 levels were related to worse processing speed; this association was moderated by age, and was not fully accounted for by CC volume. This study highlights that at older ages, the association between higher IL-6 levels and lower white matter integrity is more pronounced; furthermore, it underscores the important, albeit burgeoning role of inflammatory processes in cognitive aging trajectories.", "author" : [ { "dropping-particle" : "", "family" : "Bettcher", "given" : "Brianne M", "non-dropping-particle" : "", "parse-names" : false, "suffix" : "" }, { "dropping-particle" : "", "family" : "Watson", "given" : "Christa L", "non-dropping-particle" : "", "parse-names" : false, "suffix" : "" }, { "dropping-particle" : "", "family" : "Walsh", "given" : "Christine M", "non-dropping-particle" : "", "parse-names" : false, "suffix" : "" }, { "dropping-particle" : "V", "family" : "Lobach", "given" : "Iryna", "non-dropping-particle" : "", "parse-names" : false, "suffix" : "" }, { "dropping-particle" : "", "family" : "Neuhaus", "given" : "John", "non-dropping-particle" : "", "parse-names" : false, "suffix" : "" }, { "dropping-particle" : "", "family" : "Miller", "given" : "Joshua W", "non-dropping-particle" : "", "parse-names" : false, "suffix" : "" }, { "dropping-particle" : "", "family" : "Green", "given" : "Ralph", "non-dropping-particle" : "", "parse-names" : false, "suffix" : "" }, { "dropping-particle" : "", "family" : "Patel", "given" : "Nihar", "non-dropping-particle" : "", "parse-names" : false, "suffix" : "" }, { "dropping-particle" : "", "family" : "Dutt", "given" : "Shubir", "non-dropping-particle" : "", "parse-names" : false, "suffix" : "" }, { "dropping-particle" : "", "family" : "Busovaca", "given" : "Edgar", "non-dropping-particle" : "", "parse-names" : false, "suffix" : "" }, { "dropping-particle" : "", "family" : "Rosen", "given" : "Howard J", "non-dropping-particle" : "", "parse-names" : false, "suffix" : "" }, { "dropping-particle" : "", "family" : "Yaffe", "given" : "Kristine", "non-dropping-particle" : "", "parse-names" : false, "suffix" : "" }, { "dropping-particle" : "", "family" : "Miller", "given" : "Bruce L", "non-dropping-particle" : "", "parse-names" : false, "suffix" : "" }, { "dropping-particle" : "", "family" : "Kramer", "given" : "Joel H", "non-dropping-particle" : "", "parse-names" : false, "suffix" : "" } ], "container-title" : "PloS one", "id" : "ITEM-1", "issue" : "9", "issued" : { "date-parts" : [ [ "2014", "1" ] ] }, "page" : "e106521", "title" : "Interleukin-6, age, and corpus callosum integrity.", "type" : "article-journal", "volume" : "9" }, "uris" : [ "http://www.mendeley.com/documents/?uuid=3dc605ac-ef7d-44b0-9535-db9acb6be596" ] } ], "mendeley" : { "formattedCitation" : "&lt;sup&gt;(5)&lt;/sup&gt;", "plainTextFormattedCitation" : "(5)", "previouslyFormattedCitation" : "&lt;sup&gt;(5)&lt;/sup&gt;" }, "properties" : { "noteIndex" : 0 }, "schema" : "https://github.com/citation-style-language/schema/raw/master/csl-citation.json" }</w:instrText>
            </w:r>
            <w:r w:rsidR="00083999" w:rsidRPr="00B54A75">
              <w:rPr>
                <w:rFonts w:ascii="Calibri" w:eastAsia="Times New Roman" w:hAnsi="Calibri" w:cs="Calibri"/>
                <w:color w:val="000000"/>
                <w:sz w:val="20"/>
                <w:szCs w:val="20"/>
                <w:lang w:eastAsia="en-AU"/>
              </w:rPr>
              <w:fldChar w:fldCharType="separate"/>
            </w:r>
            <w:r w:rsidR="00B54A75" w:rsidRPr="00B54A75">
              <w:rPr>
                <w:rFonts w:ascii="Calibri" w:eastAsia="Times New Roman" w:hAnsi="Calibri" w:cs="Calibri"/>
                <w:noProof/>
                <w:color w:val="000000"/>
                <w:sz w:val="20"/>
                <w:szCs w:val="20"/>
                <w:vertAlign w:val="superscript"/>
                <w:lang w:eastAsia="en-AU"/>
              </w:rPr>
              <w:t>(5)</w:t>
            </w:r>
            <w:r w:rsidR="00083999" w:rsidRPr="00B54A75">
              <w:rPr>
                <w:rFonts w:ascii="Calibri" w:eastAsia="Times New Roman" w:hAnsi="Calibri" w:cs="Calibri"/>
                <w:color w:val="000000"/>
                <w:sz w:val="20"/>
                <w:szCs w:val="20"/>
                <w:lang w:eastAsia="en-AU"/>
              </w:rPr>
              <w:fldChar w:fldCharType="end"/>
            </w:r>
          </w:p>
        </w:tc>
        <w:tc>
          <w:tcPr>
            <w:tcW w:w="1049"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proofErr w:type="spellStart"/>
            <w:r w:rsidRPr="00B54A75">
              <w:rPr>
                <w:rFonts w:ascii="Calibri" w:eastAsia="Times New Roman" w:hAnsi="Calibri" w:cs="Calibri"/>
                <w:color w:val="000000"/>
                <w:sz w:val="20"/>
                <w:szCs w:val="20"/>
                <w:lang w:eastAsia="en-AU"/>
              </w:rPr>
              <w:t>HcY</w:t>
            </w:r>
            <w:proofErr w:type="spellEnd"/>
          </w:p>
        </w:tc>
        <w:tc>
          <w:tcPr>
            <w:tcW w:w="1082"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H</w:t>
            </w:r>
          </w:p>
        </w:tc>
        <w:tc>
          <w:tcPr>
            <w:tcW w:w="1274"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151</w:t>
            </w:r>
          </w:p>
        </w:tc>
        <w:tc>
          <w:tcPr>
            <w:tcW w:w="1328"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62.0 - 87.0</w:t>
            </w:r>
          </w:p>
        </w:tc>
        <w:tc>
          <w:tcPr>
            <w:tcW w:w="1418"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71.60</w:t>
            </w:r>
          </w:p>
        </w:tc>
        <w:tc>
          <w:tcPr>
            <w:tcW w:w="1417"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5.70</w:t>
            </w:r>
          </w:p>
        </w:tc>
        <w:tc>
          <w:tcPr>
            <w:tcW w:w="5760"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b/>
                <w:bCs/>
                <w:iCs/>
                <w:color w:val="000000"/>
                <w:sz w:val="20"/>
                <w:szCs w:val="20"/>
                <w:lang w:eastAsia="en-AU"/>
              </w:rPr>
              <w:t xml:space="preserve">Cross sectional </w:t>
            </w:r>
            <w:r w:rsidRPr="00B54A75">
              <w:rPr>
                <w:rFonts w:ascii="Calibri" w:eastAsia="Times New Roman" w:hAnsi="Calibri" w:cs="Calibri"/>
                <w:b/>
                <w:bCs/>
                <w:color w:val="000000"/>
                <w:sz w:val="20"/>
                <w:szCs w:val="20"/>
                <w:lang w:eastAsia="en-AU"/>
              </w:rPr>
              <w:t>(DTI)</w:t>
            </w:r>
            <w:r w:rsidRPr="00B54A75">
              <w:rPr>
                <w:rFonts w:ascii="Calibri" w:eastAsia="Times New Roman" w:hAnsi="Calibri" w:cs="Calibri"/>
                <w:color w:val="000000"/>
                <w:sz w:val="20"/>
                <w:szCs w:val="20"/>
                <w:lang w:eastAsia="en-AU"/>
              </w:rPr>
              <w:br/>
            </w:r>
            <w:r w:rsidRPr="00B54A75">
              <w:rPr>
                <w:rFonts w:ascii="Calibri" w:eastAsia="Times New Roman" w:hAnsi="Calibri" w:cs="Calibri"/>
                <w:color w:val="000000"/>
                <w:sz w:val="20"/>
                <w:szCs w:val="20"/>
                <w:u w:val="single"/>
                <w:lang w:eastAsia="en-AU"/>
              </w:rPr>
              <w:t xml:space="preserve">↑ </w:t>
            </w:r>
            <w:proofErr w:type="spellStart"/>
            <w:r w:rsidRPr="00B54A75">
              <w:rPr>
                <w:rFonts w:ascii="Calibri" w:eastAsia="Times New Roman" w:hAnsi="Calibri" w:cs="Calibri"/>
                <w:color w:val="000000"/>
                <w:sz w:val="20"/>
                <w:szCs w:val="20"/>
                <w:u w:val="single"/>
                <w:lang w:eastAsia="en-AU"/>
              </w:rPr>
              <w:t>HcY</w:t>
            </w:r>
            <w:proofErr w:type="spellEnd"/>
            <w:r w:rsidRPr="00B54A75">
              <w:rPr>
                <w:rFonts w:ascii="Calibri" w:eastAsia="Times New Roman" w:hAnsi="Calibri" w:cs="Calibri"/>
                <w:color w:val="000000"/>
                <w:sz w:val="20"/>
                <w:szCs w:val="20"/>
                <w:lang w:eastAsia="en-AU"/>
              </w:rPr>
              <w:t xml:space="preserve"> was associated with:</w:t>
            </w:r>
            <w:r w:rsidRPr="00B54A75">
              <w:rPr>
                <w:rFonts w:ascii="Calibri" w:eastAsia="Times New Roman" w:hAnsi="Calibri" w:cs="Calibri"/>
                <w:color w:val="000000"/>
                <w:sz w:val="20"/>
                <w:szCs w:val="20"/>
                <w:lang w:eastAsia="en-AU"/>
              </w:rPr>
              <w:br/>
              <w:t xml:space="preserve">        </w:t>
            </w:r>
            <w:r w:rsidRPr="00B54A75">
              <w:rPr>
                <w:rFonts w:ascii="Calibri" w:eastAsia="Times New Roman" w:hAnsi="Calibri" w:cs="Calibri"/>
                <w:iCs/>
                <w:color w:val="000000"/>
                <w:sz w:val="20"/>
                <w:szCs w:val="20"/>
                <w:lang w:eastAsia="en-AU"/>
              </w:rPr>
              <w:t xml:space="preserve">↓ </w:t>
            </w:r>
            <w:r w:rsidRPr="00B54A75">
              <w:rPr>
                <w:rFonts w:ascii="Calibri" w:eastAsia="Times New Roman" w:hAnsi="Calibri" w:cs="Calibri"/>
                <w:color w:val="000000"/>
                <w:sz w:val="20"/>
                <w:szCs w:val="20"/>
                <w:lang w:eastAsia="en-AU"/>
              </w:rPr>
              <w:t>WM microstructural integrity within CC</w:t>
            </w:r>
          </w:p>
        </w:tc>
      </w:tr>
      <w:tr w:rsidR="009321E8" w:rsidRPr="00B54A75" w:rsidTr="00222F25">
        <w:trPr>
          <w:trHeight w:val="1200"/>
        </w:trPr>
        <w:tc>
          <w:tcPr>
            <w:tcW w:w="1840" w:type="dxa"/>
            <w:tcBorders>
              <w:top w:val="nil"/>
              <w:left w:val="nil"/>
              <w:bottom w:val="nil"/>
              <w:right w:val="nil"/>
            </w:tcBorders>
            <w:shd w:val="clear" w:color="auto" w:fill="auto"/>
            <w:vAlign w:val="bottom"/>
            <w:hideMark/>
          </w:tcPr>
          <w:p w:rsidR="00112011" w:rsidRPr="00B54A75" w:rsidRDefault="00A85A6A"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lastRenderedPageBreak/>
              <w:t>Feng et al.</w:t>
            </w:r>
            <w:r w:rsidR="00D41D01" w:rsidRPr="00B54A75">
              <w:rPr>
                <w:rFonts w:ascii="Calibri" w:eastAsia="Times New Roman" w:hAnsi="Calibri" w:cs="Calibri"/>
                <w:color w:val="000000"/>
                <w:sz w:val="20"/>
                <w:szCs w:val="20"/>
                <w:lang w:eastAsia="en-AU"/>
              </w:rPr>
              <w:fldChar w:fldCharType="begin" w:fldLock="1"/>
            </w:r>
            <w:r w:rsidR="00C73D5C">
              <w:rPr>
                <w:rFonts w:ascii="Calibri" w:eastAsia="Times New Roman" w:hAnsi="Calibri" w:cs="Calibri"/>
                <w:color w:val="000000"/>
                <w:sz w:val="20"/>
                <w:szCs w:val="20"/>
                <w:lang w:eastAsia="en-AU"/>
              </w:rPr>
              <w:instrText>ADDIN CSL_CITATION { "citationItems" : [ { "id" : "ITEM-1", "itemData" : { "author" : [ { "dropping-particle" : "", "family" : "Feng", "given" : "L.", "non-dropping-particle" : "", "parse-names" : false, "suffix" : "" }, { "dropping-particle" : "", "family" : "Isaac", "given" : "V.", "non-dropping-particle" : "", "parse-names" : false, "suffix" : "" }, { "dropping-particle" : "", "family" : "Sim", "given" : "S.", "non-dropping-particle" : "", "parse-names" : false, "suffix" : "" }, { "dropping-particle" : "", "family" : "Ng", "given" : "Tze Pin", "non-dropping-particle" : "", "parse-names" : false, "suffix" : "" }, { "dropping-particle" : "", "family" : "Krishnan", "given" : "K.R.R.", "non-dropping-particle" : "", "parse-names" : false, "suffix" : "" }, { "dropping-particle" : "", "family" : "Chee", "given" : "M.W.L.", "non-dropping-particle" : "", "parse-names" : false, "suffix" : "" } ], "container-title" : "The American Journal of Geriatric Psychiatry", "id" : "ITEM-1", "issue" : "2", "issued" : { "date-parts" : [ [ "2013" ] ] }, "page" : "164-172", "title" : "Associations Between Elevated Homocysteine, Cognitive Impairment, and Reduced White Matter Volume in Healthy Old Adults", "type" : "article-journal", "volume" : "21" }, "uris" : [ "http://www.mendeley.com/documents/?uuid=c0e3f828-3e5f-4e98-b5d0-1adb7c8a7a93" ] } ], "mendeley" : { "formattedCitation" : "&lt;sup&gt;(6)&lt;/sup&gt;", "plainTextFormattedCitation" : "(6)", "previouslyFormattedCitation" : "&lt;sup&gt;(6)&lt;/sup&gt;" }, "properties" : { "noteIndex" : 0 }, "schema" : "https://github.com/citation-style-language/schema/raw/master/csl-citation.json" }</w:instrText>
            </w:r>
            <w:r w:rsidR="00D41D01" w:rsidRPr="00B54A75">
              <w:rPr>
                <w:rFonts w:ascii="Calibri" w:eastAsia="Times New Roman" w:hAnsi="Calibri" w:cs="Calibri"/>
                <w:color w:val="000000"/>
                <w:sz w:val="20"/>
                <w:szCs w:val="20"/>
                <w:lang w:eastAsia="en-AU"/>
              </w:rPr>
              <w:fldChar w:fldCharType="separate"/>
            </w:r>
            <w:r w:rsidR="00B54A75" w:rsidRPr="00B54A75">
              <w:rPr>
                <w:rFonts w:ascii="Calibri" w:eastAsia="Times New Roman" w:hAnsi="Calibri" w:cs="Calibri"/>
                <w:noProof/>
                <w:color w:val="000000"/>
                <w:sz w:val="20"/>
                <w:szCs w:val="20"/>
                <w:vertAlign w:val="superscript"/>
                <w:lang w:eastAsia="en-AU"/>
              </w:rPr>
              <w:t>(6)</w:t>
            </w:r>
            <w:r w:rsidR="00D41D01" w:rsidRPr="00B54A75">
              <w:rPr>
                <w:rFonts w:ascii="Calibri" w:eastAsia="Times New Roman" w:hAnsi="Calibri" w:cs="Calibri"/>
                <w:color w:val="000000"/>
                <w:sz w:val="20"/>
                <w:szCs w:val="20"/>
                <w:lang w:eastAsia="en-AU"/>
              </w:rPr>
              <w:fldChar w:fldCharType="end"/>
            </w:r>
          </w:p>
        </w:tc>
        <w:tc>
          <w:tcPr>
            <w:tcW w:w="1049"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VIT-B</w:t>
            </w:r>
            <w:r w:rsidRPr="00B54A75">
              <w:rPr>
                <w:rFonts w:ascii="Calibri" w:eastAsia="Times New Roman" w:hAnsi="Calibri" w:cs="Calibri"/>
                <w:color w:val="000000"/>
                <w:sz w:val="20"/>
                <w:szCs w:val="20"/>
                <w:vertAlign w:val="subscript"/>
                <w:lang w:eastAsia="en-AU"/>
              </w:rPr>
              <w:t>12</w:t>
            </w:r>
            <w:r w:rsidR="00083999" w:rsidRPr="00B54A75">
              <w:rPr>
                <w:rFonts w:ascii="Calibri" w:eastAsia="Times New Roman" w:hAnsi="Calibri" w:cs="Calibri"/>
                <w:color w:val="000000"/>
                <w:sz w:val="20"/>
                <w:szCs w:val="20"/>
                <w:lang w:eastAsia="en-AU"/>
              </w:rPr>
              <w:t xml:space="preserve">, Folate, </w:t>
            </w:r>
            <w:r w:rsidRPr="00B54A75">
              <w:rPr>
                <w:rFonts w:ascii="Calibri" w:eastAsia="Times New Roman" w:hAnsi="Calibri" w:cs="Calibri"/>
                <w:color w:val="000000"/>
                <w:sz w:val="20"/>
                <w:szCs w:val="20"/>
                <w:lang w:eastAsia="en-AU"/>
              </w:rPr>
              <w:t xml:space="preserve">&amp; </w:t>
            </w:r>
            <w:proofErr w:type="spellStart"/>
            <w:r w:rsidRPr="00B54A75">
              <w:rPr>
                <w:rFonts w:ascii="Calibri" w:eastAsia="Times New Roman" w:hAnsi="Calibri" w:cs="Calibri"/>
                <w:color w:val="000000"/>
                <w:sz w:val="20"/>
                <w:szCs w:val="20"/>
                <w:lang w:eastAsia="en-AU"/>
              </w:rPr>
              <w:t>HcY</w:t>
            </w:r>
            <w:proofErr w:type="spellEnd"/>
          </w:p>
        </w:tc>
        <w:tc>
          <w:tcPr>
            <w:tcW w:w="1082"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H</w:t>
            </w:r>
          </w:p>
        </w:tc>
        <w:tc>
          <w:tcPr>
            <w:tcW w:w="1274"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228</w:t>
            </w:r>
          </w:p>
        </w:tc>
        <w:tc>
          <w:tcPr>
            <w:tcW w:w="1328"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≥55.0</w:t>
            </w:r>
          </w:p>
        </w:tc>
        <w:tc>
          <w:tcPr>
            <w:tcW w:w="1418"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65.40</w:t>
            </w:r>
          </w:p>
        </w:tc>
        <w:tc>
          <w:tcPr>
            <w:tcW w:w="1417"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6.20</w:t>
            </w:r>
          </w:p>
        </w:tc>
        <w:tc>
          <w:tcPr>
            <w:tcW w:w="5760"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b/>
                <w:bCs/>
                <w:iCs/>
                <w:color w:val="000000"/>
                <w:sz w:val="20"/>
                <w:szCs w:val="20"/>
                <w:lang w:eastAsia="en-AU"/>
              </w:rPr>
              <w:t xml:space="preserve">Cross sectional (MRI) </w:t>
            </w:r>
            <w:r w:rsidRPr="00B54A75">
              <w:rPr>
                <w:rFonts w:ascii="Calibri" w:eastAsia="Times New Roman" w:hAnsi="Calibri" w:cs="Calibri"/>
                <w:color w:val="000000"/>
                <w:sz w:val="20"/>
                <w:szCs w:val="20"/>
                <w:lang w:eastAsia="en-AU"/>
              </w:rPr>
              <w:br/>
            </w:r>
            <w:r w:rsidRPr="00B54A75">
              <w:rPr>
                <w:rFonts w:ascii="Calibri" w:eastAsia="Times New Roman" w:hAnsi="Calibri" w:cs="Calibri"/>
                <w:color w:val="000000"/>
                <w:sz w:val="20"/>
                <w:szCs w:val="20"/>
                <w:u w:val="single"/>
                <w:lang w:eastAsia="en-AU"/>
              </w:rPr>
              <w:t xml:space="preserve">↑ </w:t>
            </w:r>
            <w:proofErr w:type="spellStart"/>
            <w:r w:rsidRPr="00B54A75">
              <w:rPr>
                <w:rFonts w:ascii="Calibri" w:eastAsia="Times New Roman" w:hAnsi="Calibri" w:cs="Calibri"/>
                <w:color w:val="000000"/>
                <w:sz w:val="20"/>
                <w:szCs w:val="20"/>
                <w:u w:val="single"/>
                <w:lang w:eastAsia="en-AU"/>
              </w:rPr>
              <w:t>HcY</w:t>
            </w:r>
            <w:proofErr w:type="spellEnd"/>
            <w:r w:rsidRPr="00B54A75">
              <w:rPr>
                <w:rFonts w:ascii="Calibri" w:eastAsia="Times New Roman" w:hAnsi="Calibri" w:cs="Calibri"/>
                <w:color w:val="000000"/>
                <w:sz w:val="20"/>
                <w:szCs w:val="20"/>
                <w:u w:val="single"/>
                <w:lang w:eastAsia="en-AU"/>
              </w:rPr>
              <w:t xml:space="preserve"> </w:t>
            </w:r>
            <w:r w:rsidRPr="00B54A75">
              <w:rPr>
                <w:rFonts w:ascii="Calibri" w:eastAsia="Times New Roman" w:hAnsi="Calibri" w:cs="Calibri"/>
                <w:color w:val="000000"/>
                <w:sz w:val="20"/>
                <w:szCs w:val="20"/>
                <w:lang w:eastAsia="en-AU"/>
              </w:rPr>
              <w:t>was associated with:</w:t>
            </w:r>
            <w:r w:rsidRPr="00B54A75">
              <w:rPr>
                <w:rFonts w:ascii="Calibri" w:eastAsia="Times New Roman" w:hAnsi="Calibri" w:cs="Calibri"/>
                <w:color w:val="000000"/>
                <w:sz w:val="20"/>
                <w:szCs w:val="20"/>
                <w:lang w:eastAsia="en-AU"/>
              </w:rPr>
              <w:br/>
              <w:t xml:space="preserve">        ↓ TC-</w:t>
            </w:r>
            <w:proofErr w:type="spellStart"/>
            <w:r w:rsidRPr="00B54A75">
              <w:rPr>
                <w:rFonts w:ascii="Calibri" w:eastAsia="Times New Roman" w:hAnsi="Calibri" w:cs="Calibri"/>
                <w:color w:val="000000"/>
                <w:sz w:val="20"/>
                <w:szCs w:val="20"/>
                <w:lang w:eastAsia="en-AU"/>
              </w:rPr>
              <w:t>WMv</w:t>
            </w:r>
            <w:proofErr w:type="spellEnd"/>
            <w:r w:rsidRPr="00B54A75">
              <w:rPr>
                <w:rFonts w:ascii="Calibri" w:eastAsia="Times New Roman" w:hAnsi="Calibri" w:cs="Calibri"/>
                <w:color w:val="000000"/>
                <w:sz w:val="20"/>
                <w:szCs w:val="20"/>
                <w:lang w:eastAsia="en-AU"/>
              </w:rPr>
              <w:t xml:space="preserve">   </w:t>
            </w:r>
            <w:r w:rsidRPr="00B54A75">
              <w:rPr>
                <w:rFonts w:ascii="Calibri" w:eastAsia="Times New Roman" w:hAnsi="Calibri" w:cs="Calibri"/>
                <w:color w:val="000000"/>
                <w:sz w:val="20"/>
                <w:szCs w:val="20"/>
                <w:lang w:eastAsia="en-AU"/>
              </w:rPr>
              <w:br/>
            </w:r>
            <w:r w:rsidRPr="00B54A75">
              <w:rPr>
                <w:rFonts w:ascii="Calibri" w:eastAsia="Times New Roman" w:hAnsi="Calibri" w:cs="Calibri"/>
                <w:color w:val="000000"/>
                <w:sz w:val="20"/>
                <w:szCs w:val="20"/>
                <w:u w:val="single"/>
                <w:lang w:eastAsia="en-AU"/>
              </w:rPr>
              <w:t>VIT-B</w:t>
            </w:r>
            <w:r w:rsidRPr="00B54A75">
              <w:rPr>
                <w:rFonts w:ascii="Calibri" w:eastAsia="Times New Roman" w:hAnsi="Calibri" w:cs="Calibri"/>
                <w:color w:val="000000"/>
                <w:sz w:val="20"/>
                <w:szCs w:val="20"/>
                <w:u w:val="single"/>
                <w:vertAlign w:val="subscript"/>
                <w:lang w:eastAsia="en-AU"/>
              </w:rPr>
              <w:t>12</w:t>
            </w:r>
            <w:r w:rsidRPr="00B54A75">
              <w:rPr>
                <w:rFonts w:ascii="Calibri" w:eastAsia="Times New Roman" w:hAnsi="Calibri" w:cs="Calibri"/>
                <w:color w:val="000000"/>
                <w:sz w:val="20"/>
                <w:szCs w:val="20"/>
                <w:u w:val="single"/>
                <w:lang w:eastAsia="en-AU"/>
              </w:rPr>
              <w:t xml:space="preserve"> </w:t>
            </w:r>
            <w:r w:rsidRPr="00B54A75">
              <w:rPr>
                <w:rFonts w:ascii="Calibri" w:eastAsia="Times New Roman" w:hAnsi="Calibri" w:cs="Calibri"/>
                <w:color w:val="000000"/>
                <w:sz w:val="20"/>
                <w:szCs w:val="20"/>
                <w:lang w:eastAsia="en-AU"/>
              </w:rPr>
              <w:t xml:space="preserve">or </w:t>
            </w:r>
            <w:r w:rsidRPr="00B54A75">
              <w:rPr>
                <w:rFonts w:ascii="Calibri" w:eastAsia="Times New Roman" w:hAnsi="Calibri" w:cs="Calibri"/>
                <w:color w:val="000000"/>
                <w:sz w:val="20"/>
                <w:szCs w:val="20"/>
                <w:u w:val="single"/>
                <w:lang w:eastAsia="en-AU"/>
              </w:rPr>
              <w:t>folate</w:t>
            </w:r>
            <w:r w:rsidRPr="00B54A75">
              <w:rPr>
                <w:rFonts w:ascii="Calibri" w:eastAsia="Times New Roman" w:hAnsi="Calibri" w:cs="Calibri"/>
                <w:color w:val="000000"/>
                <w:sz w:val="20"/>
                <w:szCs w:val="20"/>
                <w:lang w:eastAsia="en-AU"/>
              </w:rPr>
              <w:t xml:space="preserve"> were not associated with cerebral structure </w:t>
            </w:r>
          </w:p>
        </w:tc>
      </w:tr>
      <w:tr w:rsidR="008251F9" w:rsidRPr="00B54A75" w:rsidTr="00222F25">
        <w:trPr>
          <w:trHeight w:val="915"/>
        </w:trPr>
        <w:tc>
          <w:tcPr>
            <w:tcW w:w="1840" w:type="dxa"/>
            <w:tcBorders>
              <w:top w:val="nil"/>
              <w:left w:val="nil"/>
              <w:bottom w:val="nil"/>
              <w:right w:val="nil"/>
            </w:tcBorders>
            <w:shd w:val="clear" w:color="000000" w:fill="D9D9D9"/>
            <w:vAlign w:val="bottom"/>
            <w:hideMark/>
          </w:tcPr>
          <w:p w:rsidR="00112011" w:rsidRPr="00B54A75" w:rsidRDefault="00A85A6A"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Ford et al.</w:t>
            </w:r>
            <w:r w:rsidR="00083999" w:rsidRPr="00B54A75">
              <w:rPr>
                <w:rFonts w:ascii="Calibri" w:eastAsia="Times New Roman" w:hAnsi="Calibri" w:cs="Calibri"/>
                <w:color w:val="000000"/>
                <w:sz w:val="20"/>
                <w:szCs w:val="20"/>
                <w:lang w:eastAsia="en-AU"/>
              </w:rPr>
              <w:fldChar w:fldCharType="begin" w:fldLock="1"/>
            </w:r>
            <w:r w:rsidR="00C73D5C">
              <w:rPr>
                <w:rFonts w:ascii="Calibri" w:eastAsia="Times New Roman" w:hAnsi="Calibri" w:cs="Calibri"/>
                <w:color w:val="000000"/>
                <w:sz w:val="20"/>
                <w:szCs w:val="20"/>
                <w:lang w:eastAsia="en-AU"/>
              </w:rPr>
              <w:instrText>ADDIN CSL_CITATION { "citationItems" : [ { "id" : "ITEM-1", "itemData" : { "DOI" : "10.1371/journal.pone.0033345", "ISSN" : "1932-6203", "PMID" : "22413017", "abstract" : "BACKGROUND: Elevated total plasma homocysteine (tHcy) has been associated with cognitive impairment, vascular disease and brain atrophy. METHODS: We investigated 150 volunteers to determine if the association between high tHcy and cerebral grey matter volume and cognitive function is independent of cardiovascular disease. RESULTS: Participants with high tHcy (\u226515 \u00b5mol/L) showed a widespread relative loss of grey matter compared with people with normal tHcy, although differences between the groups were minimal once the analyses were adjusted for age, gender, diabetes, hypertension, smoking and prevalent cardiovascular disease. Individuals with high tHcy had worse cognitive scores across a range of domains and less total grey matter volume, although these differences were not significant in the adjusted models. CONCLUSIONS: Our results suggest that the association between high tHcy and loss of cerebral grey matter volume and decline in cognitive function is largely explained by increasing age and cardiovascular diseases and indicate that the relationship is not causal.", "author" : [ { "dropping-particle" : "", "family" : "Ford", "given" : "Andrew H", "non-dropping-particle" : "", "parse-names" : false, "suffix" : "" }, { "dropping-particle" : "", "family" : "Garrido", "given" : "Griselda J", "non-dropping-particle" : "", "parse-names" : false, "suffix" : "" }, { "dropping-particle" : "", "family" : "Beer", "given" : "Christopher", "non-dropping-particle" : "", "parse-names" : false, "suffix" : "" }, { "dropping-particle" : "", "family" : "Lautenschlager", "given" : "Nicola T", "non-dropping-particle" : "", "parse-names" : false, "suffix" : "" }, { "dropping-particle" : "", "family" : "Arnolda", "given" : "Leonard", "non-dropping-particle" : "", "parse-names" : false, "suffix" : "" }, { "dropping-particle" : "", "family" : "Flicker", "given" : "Leon", "non-dropping-particle" : "", "parse-names" : false, "suffix" : "" }, { "dropping-particle" : "", "family" : "Almeida", "given" : "Osvaldo P", "non-dropping-particle" : "", "parse-names" : false, "suffix" : "" } ], "container-title" : "PloS one", "id" : "ITEM-1", "issue" : "3", "issued" : { "date-parts" : [ [ "2012", "1" ] ] }, "page" : "e33345", "title" : "Homocysteine, grey matter and cognitive function in adults with cardiovascular disease", "type" : "article-journal", "volume" : "7" }, "uris" : [ "http://www.mendeley.com/documents/?uuid=fc6d2173-bea7-44fe-bc96-5736b0d47f6a" ] } ], "mendeley" : { "formattedCitation" : "&lt;sup&gt;(7)&lt;/sup&gt;", "plainTextFormattedCitation" : "(7)", "previouslyFormattedCitation" : "&lt;sup&gt;(7)&lt;/sup&gt;" }, "properties" : { "noteIndex" : 0 }, "schema" : "https://github.com/citation-style-language/schema/raw/master/csl-citation.json" }</w:instrText>
            </w:r>
            <w:r w:rsidR="00083999" w:rsidRPr="00B54A75">
              <w:rPr>
                <w:rFonts w:ascii="Calibri" w:eastAsia="Times New Roman" w:hAnsi="Calibri" w:cs="Calibri"/>
                <w:color w:val="000000"/>
                <w:sz w:val="20"/>
                <w:szCs w:val="20"/>
                <w:lang w:eastAsia="en-AU"/>
              </w:rPr>
              <w:fldChar w:fldCharType="separate"/>
            </w:r>
            <w:r w:rsidR="00B54A75" w:rsidRPr="00B54A75">
              <w:rPr>
                <w:rFonts w:ascii="Calibri" w:eastAsia="Times New Roman" w:hAnsi="Calibri" w:cs="Calibri"/>
                <w:noProof/>
                <w:color w:val="000000"/>
                <w:sz w:val="20"/>
                <w:szCs w:val="20"/>
                <w:vertAlign w:val="superscript"/>
                <w:lang w:eastAsia="en-AU"/>
              </w:rPr>
              <w:t>(7)</w:t>
            </w:r>
            <w:r w:rsidR="00083999" w:rsidRPr="00B54A75">
              <w:rPr>
                <w:rFonts w:ascii="Calibri" w:eastAsia="Times New Roman" w:hAnsi="Calibri" w:cs="Calibri"/>
                <w:color w:val="000000"/>
                <w:sz w:val="20"/>
                <w:szCs w:val="20"/>
                <w:lang w:eastAsia="en-AU"/>
              </w:rPr>
              <w:fldChar w:fldCharType="end"/>
            </w:r>
          </w:p>
        </w:tc>
        <w:tc>
          <w:tcPr>
            <w:tcW w:w="1049"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proofErr w:type="spellStart"/>
            <w:r w:rsidRPr="00B54A75">
              <w:rPr>
                <w:rFonts w:ascii="Calibri" w:eastAsia="Times New Roman" w:hAnsi="Calibri" w:cs="Calibri"/>
                <w:color w:val="000000"/>
                <w:sz w:val="20"/>
                <w:szCs w:val="20"/>
                <w:lang w:eastAsia="en-AU"/>
              </w:rPr>
              <w:t>HcY</w:t>
            </w:r>
            <w:proofErr w:type="spellEnd"/>
          </w:p>
        </w:tc>
        <w:tc>
          <w:tcPr>
            <w:tcW w:w="1082" w:type="dxa"/>
            <w:tcBorders>
              <w:top w:val="nil"/>
              <w:left w:val="nil"/>
              <w:bottom w:val="nil"/>
              <w:right w:val="nil"/>
            </w:tcBorders>
            <w:shd w:val="clear" w:color="000000" w:fill="D9D9D9"/>
            <w:vAlign w:val="bottom"/>
            <w:hideMark/>
          </w:tcPr>
          <w:p w:rsidR="00112011" w:rsidRPr="00B54A75" w:rsidRDefault="002C1387" w:rsidP="002C1387">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H</w:t>
            </w:r>
          </w:p>
        </w:tc>
        <w:tc>
          <w:tcPr>
            <w:tcW w:w="1274"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106 (</w:t>
            </w:r>
            <w:proofErr w:type="spellStart"/>
            <w:r w:rsidRPr="00B54A75">
              <w:rPr>
                <w:rFonts w:ascii="Calibri" w:eastAsia="Times New Roman" w:hAnsi="Calibri" w:cs="Calibri"/>
                <w:color w:val="000000"/>
                <w:sz w:val="20"/>
                <w:szCs w:val="20"/>
                <w:lang w:eastAsia="en-AU"/>
              </w:rPr>
              <w:t>HHcY</w:t>
            </w:r>
            <w:proofErr w:type="spellEnd"/>
            <w:r w:rsidRPr="00B54A75">
              <w:rPr>
                <w:rFonts w:ascii="Calibri" w:eastAsia="Times New Roman" w:hAnsi="Calibri" w:cs="Calibri"/>
                <w:color w:val="000000"/>
                <w:sz w:val="20"/>
                <w:szCs w:val="20"/>
                <w:lang w:eastAsia="en-AU"/>
              </w:rPr>
              <w:t>)</w:t>
            </w:r>
            <w:r w:rsidRPr="00B54A75">
              <w:rPr>
                <w:rFonts w:ascii="Calibri" w:eastAsia="Times New Roman" w:hAnsi="Calibri" w:cs="Calibri"/>
                <w:color w:val="000000"/>
                <w:sz w:val="20"/>
                <w:szCs w:val="20"/>
                <w:lang w:eastAsia="en-AU"/>
              </w:rPr>
              <w:br/>
              <w:t>49 (</w:t>
            </w:r>
            <w:proofErr w:type="spellStart"/>
            <w:r w:rsidRPr="00B54A75">
              <w:rPr>
                <w:rFonts w:ascii="Calibri" w:eastAsia="Times New Roman" w:hAnsi="Calibri" w:cs="Calibri"/>
                <w:color w:val="000000"/>
                <w:sz w:val="20"/>
                <w:szCs w:val="20"/>
                <w:lang w:eastAsia="en-AU"/>
              </w:rPr>
              <w:t>LHcY</w:t>
            </w:r>
            <w:proofErr w:type="spellEnd"/>
            <w:r w:rsidRPr="00B54A75">
              <w:rPr>
                <w:rFonts w:ascii="Calibri" w:eastAsia="Times New Roman" w:hAnsi="Calibri" w:cs="Calibri"/>
                <w:color w:val="000000"/>
                <w:sz w:val="20"/>
                <w:szCs w:val="20"/>
                <w:lang w:eastAsia="en-AU"/>
              </w:rPr>
              <w:t>)</w:t>
            </w:r>
          </w:p>
        </w:tc>
        <w:tc>
          <w:tcPr>
            <w:tcW w:w="1328"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46.0 - 85.0</w:t>
            </w:r>
          </w:p>
        </w:tc>
        <w:tc>
          <w:tcPr>
            <w:tcW w:w="1418"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65.50 (</w:t>
            </w:r>
            <w:proofErr w:type="spellStart"/>
            <w:r w:rsidRPr="00B54A75">
              <w:rPr>
                <w:rFonts w:ascii="Calibri" w:eastAsia="Times New Roman" w:hAnsi="Calibri" w:cs="Calibri"/>
                <w:color w:val="000000"/>
                <w:sz w:val="20"/>
                <w:szCs w:val="20"/>
                <w:lang w:eastAsia="en-AU"/>
              </w:rPr>
              <w:t>HHcY</w:t>
            </w:r>
            <w:proofErr w:type="spellEnd"/>
            <w:r w:rsidRPr="00B54A75">
              <w:rPr>
                <w:rFonts w:ascii="Calibri" w:eastAsia="Times New Roman" w:hAnsi="Calibri" w:cs="Calibri"/>
                <w:color w:val="000000"/>
                <w:sz w:val="20"/>
                <w:szCs w:val="20"/>
                <w:lang w:eastAsia="en-AU"/>
              </w:rPr>
              <w:t>) 73.70 (</w:t>
            </w:r>
            <w:proofErr w:type="spellStart"/>
            <w:r w:rsidRPr="00B54A75">
              <w:rPr>
                <w:rFonts w:ascii="Calibri" w:eastAsia="Times New Roman" w:hAnsi="Calibri" w:cs="Calibri"/>
                <w:color w:val="000000"/>
                <w:sz w:val="20"/>
                <w:szCs w:val="20"/>
                <w:lang w:eastAsia="en-AU"/>
              </w:rPr>
              <w:t>LHcY</w:t>
            </w:r>
            <w:proofErr w:type="spellEnd"/>
            <w:r w:rsidRPr="00B54A75">
              <w:rPr>
                <w:rFonts w:ascii="Calibri" w:eastAsia="Times New Roman" w:hAnsi="Calibri" w:cs="Calibri"/>
                <w:color w:val="000000"/>
                <w:sz w:val="20"/>
                <w:szCs w:val="20"/>
                <w:lang w:eastAsia="en-AU"/>
              </w:rPr>
              <w:t>)</w:t>
            </w:r>
          </w:p>
        </w:tc>
        <w:tc>
          <w:tcPr>
            <w:tcW w:w="1417"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10.10 (</w:t>
            </w:r>
            <w:proofErr w:type="spellStart"/>
            <w:r w:rsidRPr="00B54A75">
              <w:rPr>
                <w:rFonts w:ascii="Calibri" w:eastAsia="Times New Roman" w:hAnsi="Calibri" w:cs="Calibri"/>
                <w:color w:val="000000"/>
                <w:sz w:val="20"/>
                <w:szCs w:val="20"/>
                <w:lang w:eastAsia="en-AU"/>
              </w:rPr>
              <w:t>HHcY</w:t>
            </w:r>
            <w:proofErr w:type="spellEnd"/>
            <w:r w:rsidRPr="00B54A75">
              <w:rPr>
                <w:rFonts w:ascii="Calibri" w:eastAsia="Times New Roman" w:hAnsi="Calibri" w:cs="Calibri"/>
                <w:color w:val="000000"/>
                <w:sz w:val="20"/>
                <w:szCs w:val="20"/>
                <w:lang w:eastAsia="en-AU"/>
              </w:rPr>
              <w:t>) 7.90 (</w:t>
            </w:r>
            <w:proofErr w:type="spellStart"/>
            <w:r w:rsidRPr="00B54A75">
              <w:rPr>
                <w:rFonts w:ascii="Calibri" w:eastAsia="Times New Roman" w:hAnsi="Calibri" w:cs="Calibri"/>
                <w:color w:val="000000"/>
                <w:sz w:val="20"/>
                <w:szCs w:val="20"/>
                <w:lang w:eastAsia="en-AU"/>
              </w:rPr>
              <w:t>LHcY</w:t>
            </w:r>
            <w:proofErr w:type="spellEnd"/>
            <w:r w:rsidRPr="00B54A75">
              <w:rPr>
                <w:rFonts w:ascii="Calibri" w:eastAsia="Times New Roman" w:hAnsi="Calibri" w:cs="Calibri"/>
                <w:color w:val="000000"/>
                <w:sz w:val="20"/>
                <w:szCs w:val="20"/>
                <w:lang w:eastAsia="en-AU"/>
              </w:rPr>
              <w:t>)</w:t>
            </w:r>
          </w:p>
        </w:tc>
        <w:tc>
          <w:tcPr>
            <w:tcW w:w="5760"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b/>
                <w:bCs/>
                <w:iCs/>
                <w:color w:val="000000"/>
                <w:sz w:val="20"/>
                <w:szCs w:val="20"/>
                <w:lang w:eastAsia="en-AU"/>
              </w:rPr>
              <w:t>Cross sectional</w:t>
            </w:r>
            <w:r w:rsidRPr="00B54A75">
              <w:rPr>
                <w:rFonts w:ascii="Calibri" w:eastAsia="Times New Roman" w:hAnsi="Calibri" w:cs="Calibri"/>
                <w:b/>
                <w:bCs/>
                <w:color w:val="000000"/>
                <w:sz w:val="20"/>
                <w:szCs w:val="20"/>
                <w:lang w:eastAsia="en-AU"/>
              </w:rPr>
              <w:t xml:space="preserve"> (MRI)</w:t>
            </w:r>
            <w:r w:rsidRPr="00B54A75">
              <w:rPr>
                <w:rFonts w:ascii="Calibri" w:eastAsia="Times New Roman" w:hAnsi="Calibri" w:cs="Calibri"/>
                <w:b/>
                <w:bCs/>
                <w:color w:val="000000"/>
                <w:sz w:val="20"/>
                <w:szCs w:val="20"/>
                <w:lang w:eastAsia="en-AU"/>
              </w:rPr>
              <w:br/>
            </w:r>
            <w:proofErr w:type="spellStart"/>
            <w:r w:rsidRPr="00B54A75">
              <w:rPr>
                <w:rFonts w:ascii="Calibri" w:eastAsia="Times New Roman" w:hAnsi="Calibri" w:cs="Calibri"/>
                <w:color w:val="000000"/>
                <w:sz w:val="20"/>
                <w:szCs w:val="20"/>
                <w:u w:val="single"/>
                <w:lang w:eastAsia="en-AU"/>
              </w:rPr>
              <w:t>HHcY</w:t>
            </w:r>
            <w:proofErr w:type="spellEnd"/>
            <w:r w:rsidRPr="00B54A75">
              <w:rPr>
                <w:rFonts w:ascii="Calibri" w:eastAsia="Times New Roman" w:hAnsi="Calibri" w:cs="Calibri"/>
                <w:color w:val="000000"/>
                <w:sz w:val="20"/>
                <w:szCs w:val="20"/>
                <w:u w:val="single"/>
                <w:lang w:eastAsia="en-AU"/>
              </w:rPr>
              <w:t xml:space="preserve"> (≥15µmol/L)</w:t>
            </w:r>
            <w:r w:rsidRPr="00B54A75">
              <w:rPr>
                <w:rFonts w:ascii="Calibri" w:eastAsia="Times New Roman" w:hAnsi="Calibri" w:cs="Calibri"/>
                <w:color w:val="000000"/>
                <w:sz w:val="20"/>
                <w:szCs w:val="20"/>
                <w:lang w:eastAsia="en-AU"/>
              </w:rPr>
              <w:t xml:space="preserve"> was associated with:</w:t>
            </w:r>
            <w:r w:rsidRPr="00B54A75">
              <w:rPr>
                <w:rFonts w:ascii="Calibri" w:eastAsia="Times New Roman" w:hAnsi="Calibri" w:cs="Calibri"/>
                <w:color w:val="000000"/>
                <w:sz w:val="20"/>
                <w:szCs w:val="20"/>
                <w:lang w:eastAsia="en-AU"/>
              </w:rPr>
              <w:br/>
              <w:t xml:space="preserve">         ↓ Cortical </w:t>
            </w:r>
            <w:proofErr w:type="spellStart"/>
            <w:r w:rsidRPr="00B54A75">
              <w:rPr>
                <w:rFonts w:ascii="Calibri" w:eastAsia="Times New Roman" w:hAnsi="Calibri" w:cs="Calibri"/>
                <w:color w:val="000000"/>
                <w:sz w:val="20"/>
                <w:szCs w:val="20"/>
                <w:lang w:eastAsia="en-AU"/>
              </w:rPr>
              <w:t>GMv</w:t>
            </w:r>
            <w:proofErr w:type="spellEnd"/>
            <w:r w:rsidRPr="00B54A75">
              <w:rPr>
                <w:rFonts w:ascii="Calibri" w:eastAsia="Times New Roman" w:hAnsi="Calibri" w:cs="Calibri"/>
                <w:color w:val="000000"/>
                <w:sz w:val="20"/>
                <w:szCs w:val="20"/>
                <w:lang w:eastAsia="en-AU"/>
              </w:rPr>
              <w:t xml:space="preserve"> within small regions of FL, OL, &amp; </w:t>
            </w:r>
            <w:proofErr w:type="spellStart"/>
            <w:r w:rsidRPr="00B54A75">
              <w:rPr>
                <w:rFonts w:ascii="Calibri" w:eastAsia="Times New Roman" w:hAnsi="Calibri" w:cs="Calibri"/>
                <w:color w:val="000000"/>
                <w:sz w:val="20"/>
                <w:szCs w:val="20"/>
                <w:lang w:eastAsia="en-AU"/>
              </w:rPr>
              <w:t>CrB</w:t>
            </w:r>
            <w:proofErr w:type="spellEnd"/>
          </w:p>
        </w:tc>
      </w:tr>
      <w:tr w:rsidR="009321E8" w:rsidRPr="00B54A75" w:rsidTr="00222F25">
        <w:trPr>
          <w:trHeight w:val="930"/>
        </w:trPr>
        <w:tc>
          <w:tcPr>
            <w:tcW w:w="1840" w:type="dxa"/>
            <w:tcBorders>
              <w:top w:val="nil"/>
              <w:left w:val="nil"/>
              <w:bottom w:val="nil"/>
              <w:right w:val="nil"/>
            </w:tcBorders>
            <w:shd w:val="clear" w:color="auto" w:fill="auto"/>
            <w:vAlign w:val="bottom"/>
            <w:hideMark/>
          </w:tcPr>
          <w:p w:rsidR="00112011" w:rsidRPr="00B54A75" w:rsidRDefault="00A85A6A" w:rsidP="00083999">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Raz et al.</w:t>
            </w:r>
            <w:r w:rsidR="00083999" w:rsidRPr="00B54A75">
              <w:rPr>
                <w:rFonts w:ascii="Calibri" w:eastAsia="Times New Roman" w:hAnsi="Calibri" w:cs="Calibri"/>
                <w:color w:val="000000"/>
                <w:sz w:val="20"/>
                <w:szCs w:val="20"/>
                <w:lang w:eastAsia="en-AU"/>
              </w:rPr>
              <w:fldChar w:fldCharType="begin" w:fldLock="1"/>
            </w:r>
            <w:r w:rsidR="00C73D5C">
              <w:rPr>
                <w:rFonts w:ascii="Calibri" w:eastAsia="Times New Roman" w:hAnsi="Calibri" w:cs="Calibri"/>
                <w:color w:val="000000"/>
                <w:sz w:val="20"/>
                <w:szCs w:val="20"/>
                <w:lang w:eastAsia="en-AU"/>
              </w:rPr>
              <w:instrText>ADDIN CSL_CITATION { "citationItems" : [ { "id" : "ITEM-1", "itemData" : { "DOI" : "10.1016/j.bbadis.2011.08.007", "ISSN" : "0006-3002", "PMID" : "21889590", "abstract" : "Aging is associated with appearance of white matter hyperintensities (WMH) on MRI scans. Vascular risk and inflammation, which increase with age, may contribute to white matter deterioration and proliferation of WMH. We investigated whether circulating biomarkers and genetic variants associated with elevated vascular risk and inflammation are associated with WMH volume in healthy adults (144 volunteers, 44-77 years of age). We examined association of WMH volume with age, sex, hypertension, circulating levels of total plasma homocysteine (tHcy), cholesterol (low-density lipoprotein), and C-reactive protein (CRP), and four polymorphisms related to vascular risk and inflammation: Apolipoprotein \u03b5 (ApoE \u03b52,3,4), Angiotensin-Converting Enzyme insertion/deletion (ACE I/D), methylenetetrahydrofolate reductase (MTHFR) C677T, C-reactive protein (CRP)-286C&gt;A&gt;T, and interleukin-1\u03b2 (IL-1\u03b2) C-511T. We found that larger WMH volume was associated with advanced age, hypertension, and elevated levels of homocysteine and CRP but not with low-density lipoprotein levels. Homozygotes for IL-1\u03b2-511T allele and carriers of CRP-286T allele that are associated with increased inflammatory response had larger WMH than the other allelic combinations. Carriers of the APOE \u03b52 allele had larger frontal WMH than \u03b53 homozygotes and \u03b54 carriers did. Thus, in healthy adults, who are free of neurological and vascular disease, genetic variants that promote inflammation and elevated levels of vascular risk biomarkers can contribute to brain abnormalities. This article is part of a Special Issue entitled: Imaging Brain Aging and Neurodegenerative disease.", "author" : [ { "dropping-particle" : "", "family" : "Raz", "given" : "Naftali", "non-dropping-particle" : "", "parse-names" : false, "suffix" : "" }, { "dropping-particle" : "", "family" : "Yang", "given" : "Yiqin", "non-dropping-particle" : "", "parse-names" : false, "suffix" : "" }, { "dropping-particle" : "", "family" : "Dahle", "given" : "Cheryl L", "non-dropping-particle" : "", "parse-names" : false, "suffix" : "" }, { "dropping-particle" : "", "family" : "Land", "given" : "Susan", "non-dropping-particle" : "", "parse-names" : false, "suffix" : "" } ], "container-title" : "Biochimica et Biophysica Acta", "id" : "ITEM-1", "issue" : "3", "issued" : { "date-parts" : [ [ "2012", "3" ] ] }, "page" : "361-369", "title" : "Volume of white matter hyperintensities in healthy adults: contribution of age, vascular risk factors, and inflammation-related genetic variants", "type" : "article-journal", "volume" : "1822" }, "uris" : [ "http://www.mendeley.com/documents/?uuid=1df162e0-aa25-4243-9b6d-de3f6330a41d" ] } ], "mendeley" : { "formattedCitation" : "&lt;sup&gt;(8)&lt;/sup&gt;", "plainTextFormattedCitation" : "(8)", "previouslyFormattedCitation" : "&lt;sup&gt;(8)&lt;/sup&gt;" }, "properties" : { "noteIndex" : 0 }, "schema" : "https://github.com/citation-style-language/schema/raw/master/csl-citation.json" }</w:instrText>
            </w:r>
            <w:r w:rsidR="00083999" w:rsidRPr="00B54A75">
              <w:rPr>
                <w:rFonts w:ascii="Calibri" w:eastAsia="Times New Roman" w:hAnsi="Calibri" w:cs="Calibri"/>
                <w:color w:val="000000"/>
                <w:sz w:val="20"/>
                <w:szCs w:val="20"/>
                <w:lang w:eastAsia="en-AU"/>
              </w:rPr>
              <w:fldChar w:fldCharType="separate"/>
            </w:r>
            <w:r w:rsidR="00B54A75" w:rsidRPr="00B54A75">
              <w:rPr>
                <w:rFonts w:ascii="Calibri" w:eastAsia="Times New Roman" w:hAnsi="Calibri" w:cs="Calibri"/>
                <w:noProof/>
                <w:color w:val="000000"/>
                <w:sz w:val="20"/>
                <w:szCs w:val="20"/>
                <w:vertAlign w:val="superscript"/>
                <w:lang w:eastAsia="en-AU"/>
              </w:rPr>
              <w:t>(8)</w:t>
            </w:r>
            <w:r w:rsidR="00083999" w:rsidRPr="00B54A75">
              <w:rPr>
                <w:rFonts w:ascii="Calibri" w:eastAsia="Times New Roman" w:hAnsi="Calibri" w:cs="Calibri"/>
                <w:color w:val="000000"/>
                <w:sz w:val="20"/>
                <w:szCs w:val="20"/>
                <w:lang w:eastAsia="en-AU"/>
              </w:rPr>
              <w:fldChar w:fldCharType="end"/>
            </w:r>
          </w:p>
        </w:tc>
        <w:tc>
          <w:tcPr>
            <w:tcW w:w="1049"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proofErr w:type="spellStart"/>
            <w:r w:rsidRPr="00B54A75">
              <w:rPr>
                <w:rFonts w:ascii="Calibri" w:eastAsia="Times New Roman" w:hAnsi="Calibri" w:cs="Calibri"/>
                <w:color w:val="000000"/>
                <w:sz w:val="20"/>
                <w:szCs w:val="20"/>
                <w:lang w:eastAsia="en-AU"/>
              </w:rPr>
              <w:t>HcY</w:t>
            </w:r>
            <w:proofErr w:type="spellEnd"/>
          </w:p>
        </w:tc>
        <w:tc>
          <w:tcPr>
            <w:tcW w:w="1082"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H</w:t>
            </w:r>
          </w:p>
        </w:tc>
        <w:tc>
          <w:tcPr>
            <w:tcW w:w="1274"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144</w:t>
            </w:r>
          </w:p>
        </w:tc>
        <w:tc>
          <w:tcPr>
            <w:tcW w:w="1328"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44.0 - 77.0</w:t>
            </w:r>
          </w:p>
        </w:tc>
        <w:tc>
          <w:tcPr>
            <w:tcW w:w="1418"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58.89</w:t>
            </w:r>
          </w:p>
        </w:tc>
        <w:tc>
          <w:tcPr>
            <w:tcW w:w="1417"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9.09</w:t>
            </w:r>
          </w:p>
        </w:tc>
        <w:tc>
          <w:tcPr>
            <w:tcW w:w="5760"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b/>
                <w:bCs/>
                <w:iCs/>
                <w:color w:val="000000"/>
                <w:sz w:val="20"/>
                <w:szCs w:val="20"/>
                <w:lang w:eastAsia="en-AU"/>
              </w:rPr>
              <w:t>Cross sectional</w:t>
            </w:r>
            <w:r w:rsidRPr="00B54A75">
              <w:rPr>
                <w:rFonts w:ascii="Calibri" w:eastAsia="Times New Roman" w:hAnsi="Calibri" w:cs="Calibri"/>
                <w:b/>
                <w:bCs/>
                <w:color w:val="000000"/>
                <w:sz w:val="20"/>
                <w:szCs w:val="20"/>
                <w:lang w:eastAsia="en-AU"/>
              </w:rPr>
              <w:t xml:space="preserve"> (MRI)</w:t>
            </w:r>
            <w:r w:rsidRPr="00B54A75">
              <w:rPr>
                <w:rFonts w:ascii="Calibri" w:eastAsia="Times New Roman" w:hAnsi="Calibri" w:cs="Calibri"/>
                <w:color w:val="000000"/>
                <w:sz w:val="20"/>
                <w:szCs w:val="20"/>
                <w:lang w:eastAsia="en-AU"/>
              </w:rPr>
              <w:br/>
            </w:r>
            <w:r w:rsidRPr="00B54A75">
              <w:rPr>
                <w:rFonts w:ascii="Calibri" w:eastAsia="Times New Roman" w:hAnsi="Calibri" w:cs="Calibri"/>
                <w:color w:val="000000"/>
                <w:sz w:val="20"/>
                <w:szCs w:val="20"/>
                <w:u w:val="single"/>
                <w:lang w:eastAsia="en-AU"/>
              </w:rPr>
              <w:t xml:space="preserve">Total </w:t>
            </w:r>
            <w:proofErr w:type="spellStart"/>
            <w:r w:rsidRPr="00B54A75">
              <w:rPr>
                <w:rFonts w:ascii="Calibri" w:eastAsia="Times New Roman" w:hAnsi="Calibri" w:cs="Calibri"/>
                <w:color w:val="000000"/>
                <w:sz w:val="20"/>
                <w:szCs w:val="20"/>
                <w:u w:val="single"/>
                <w:lang w:eastAsia="en-AU"/>
              </w:rPr>
              <w:t>HcY</w:t>
            </w:r>
            <w:proofErr w:type="spellEnd"/>
            <w:r w:rsidRPr="00B54A75">
              <w:rPr>
                <w:rFonts w:ascii="Calibri" w:eastAsia="Times New Roman" w:hAnsi="Calibri" w:cs="Calibri"/>
                <w:color w:val="000000"/>
                <w:sz w:val="20"/>
                <w:szCs w:val="20"/>
                <w:lang w:eastAsia="en-AU"/>
              </w:rPr>
              <w:t xml:space="preserve"> interacted with age to predict:</w:t>
            </w:r>
            <w:r w:rsidRPr="00B54A75">
              <w:rPr>
                <w:rFonts w:ascii="Calibri" w:eastAsia="Times New Roman" w:hAnsi="Calibri" w:cs="Calibri"/>
                <w:color w:val="000000"/>
                <w:sz w:val="20"/>
                <w:szCs w:val="20"/>
                <w:lang w:eastAsia="en-AU"/>
              </w:rPr>
              <w:br/>
              <w:t xml:space="preserve">          ↑ </w:t>
            </w:r>
            <w:proofErr w:type="spellStart"/>
            <w:r w:rsidRPr="00B54A75">
              <w:rPr>
                <w:rFonts w:ascii="Calibri" w:eastAsia="Times New Roman" w:hAnsi="Calibri" w:cs="Calibri"/>
                <w:color w:val="000000"/>
                <w:sz w:val="20"/>
                <w:szCs w:val="20"/>
                <w:lang w:eastAsia="en-AU"/>
              </w:rPr>
              <w:t>WMHv</w:t>
            </w:r>
            <w:proofErr w:type="spellEnd"/>
            <w:r w:rsidRPr="00B54A75">
              <w:rPr>
                <w:rFonts w:ascii="Calibri" w:eastAsia="Times New Roman" w:hAnsi="Calibri" w:cs="Calibri"/>
                <w:color w:val="000000"/>
                <w:sz w:val="20"/>
                <w:szCs w:val="20"/>
                <w:lang w:eastAsia="en-AU"/>
              </w:rPr>
              <w:t xml:space="preserve"> within </w:t>
            </w:r>
            <w:r w:rsidRPr="00B54A75">
              <w:rPr>
                <w:rFonts w:ascii="Calibri" w:eastAsia="Times New Roman" w:hAnsi="Calibri" w:cs="Calibri"/>
                <w:iCs/>
                <w:color w:val="000000"/>
                <w:sz w:val="20"/>
                <w:szCs w:val="20"/>
                <w:lang w:eastAsia="en-AU"/>
              </w:rPr>
              <w:t xml:space="preserve">FL, PL, &amp; TL (older adults with↑ </w:t>
            </w:r>
            <w:proofErr w:type="spellStart"/>
            <w:r w:rsidRPr="00B54A75">
              <w:rPr>
                <w:rFonts w:ascii="Calibri" w:eastAsia="Times New Roman" w:hAnsi="Calibri" w:cs="Calibri"/>
                <w:iCs/>
                <w:color w:val="000000"/>
                <w:sz w:val="20"/>
                <w:szCs w:val="20"/>
                <w:lang w:eastAsia="en-AU"/>
              </w:rPr>
              <w:t>HcY</w:t>
            </w:r>
            <w:proofErr w:type="spellEnd"/>
            <w:r w:rsidRPr="00B54A75">
              <w:rPr>
                <w:rFonts w:ascii="Calibri" w:eastAsia="Times New Roman" w:hAnsi="Calibri" w:cs="Calibri"/>
                <w:iCs/>
                <w:color w:val="000000"/>
                <w:sz w:val="20"/>
                <w:szCs w:val="20"/>
                <w:lang w:eastAsia="en-AU"/>
              </w:rPr>
              <w:t>)</w:t>
            </w:r>
            <w:r w:rsidRPr="00B54A75">
              <w:rPr>
                <w:rFonts w:ascii="Calibri" w:eastAsia="Times New Roman" w:hAnsi="Calibri" w:cs="Calibri"/>
                <w:color w:val="000000"/>
                <w:sz w:val="20"/>
                <w:szCs w:val="20"/>
                <w:lang w:eastAsia="en-AU"/>
              </w:rPr>
              <w:t xml:space="preserve"> </w:t>
            </w:r>
          </w:p>
        </w:tc>
      </w:tr>
      <w:tr w:rsidR="008251F9" w:rsidRPr="00B54A75" w:rsidTr="00222F25">
        <w:trPr>
          <w:trHeight w:val="1440"/>
        </w:trPr>
        <w:tc>
          <w:tcPr>
            <w:tcW w:w="1840" w:type="dxa"/>
            <w:tcBorders>
              <w:top w:val="nil"/>
              <w:left w:val="nil"/>
              <w:bottom w:val="nil"/>
              <w:right w:val="nil"/>
            </w:tcBorders>
            <w:shd w:val="clear" w:color="000000" w:fill="D9D9D9"/>
            <w:vAlign w:val="bottom"/>
            <w:hideMark/>
          </w:tcPr>
          <w:p w:rsidR="00112011" w:rsidRPr="00B54A75" w:rsidRDefault="00A85A6A"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Narayan et al.</w:t>
            </w:r>
            <w:r w:rsidR="00982877" w:rsidRPr="00B54A75">
              <w:rPr>
                <w:rFonts w:ascii="Calibri" w:eastAsia="Times New Roman" w:hAnsi="Calibri" w:cs="Calibri"/>
                <w:color w:val="000000"/>
                <w:sz w:val="20"/>
                <w:szCs w:val="20"/>
                <w:lang w:eastAsia="en-AU"/>
              </w:rPr>
              <w:fldChar w:fldCharType="begin" w:fldLock="1"/>
            </w:r>
            <w:r w:rsidR="00C73D5C">
              <w:rPr>
                <w:rFonts w:ascii="Calibri" w:eastAsia="Times New Roman" w:hAnsi="Calibri" w:cs="Calibri"/>
                <w:color w:val="000000"/>
                <w:sz w:val="20"/>
                <w:szCs w:val="20"/>
                <w:lang w:eastAsia="en-AU"/>
              </w:rPr>
              <w:instrText>ADDIN CSL_CITATION { "citationItems" : [ { "id" : "ITEM-1", "itemData" : { "DOI" : "10.1159/000328118", "ISSN" : "1421-9824", "PMID" : "21597295", "abstract" : "We determined using serial MR imaging whether raised plasma homocysteine levels are associated with increased brain atrophy, white matter lesion (WML) progression or incidence of silent brain infarcts (SBIs) in older hypertensive subjects. Brain atrophy rates (0.58 \u00b1 0.48% per year, mean \u00b1 SD) were significantly correlated with homocysteine (\u03b2 = 0.46, p = 0.001 homocysteine; \u03b2 = 0.44, p = 0.007 homocysteine/folate/B12 models) but not with folate or B12 levels. Progression of WML (0.08 \u00b1 0.16%) was not associated with homocysteine level (B = 0.01, p = 0.29). New SBIs were uncommon. In older hypertensive individuals, plasma homocysteine levels are associated with increased rates of whole-brain atrophy but not WML progression.", "author" : [ { "dropping-particle" : "", "family" : "Narayan", "given" : "Sunil K", "non-dropping-particle" : "", "parse-names" : false, "suffix" : "" }, { "dropping-particle" : "", "family" : "Firbank", "given" : "Michael J", "non-dropping-particle" : "", "parse-names" : false, "suffix" : "" }, { "dropping-particle" : "", "family" : "Saxby", "given" : "Brian K", "non-dropping-particle" : "", "parse-names" : false, "suffix" : "" }, { "dropping-particle" : "", "family" : "Stansby", "given" : "Gerard", "non-dropping-particle" : "", "parse-names" : false, "suffix" : "" }, { "dropping-particle" : "", "family" : "Hansrani", "given" : "Monica", "non-dropping-particle" : "", "parse-names" : false, "suffix" : "" }, { "dropping-particle" : "", "family" : "O'Brien", "given" : "John T", "non-dropping-particle" : "", "parse-names" : false, "suffix" : "" }, { "dropping-particle" : "", "family" : "Ford", "given" : "Gary a", "non-dropping-particle" : "", "parse-names" : false, "suffix" : "" } ], "container-title" : "Dementia and Geriatric Cognitive Disorders", "id" : "ITEM-1", "issued" : { "date-parts" : [ [ "2011", "1" ] ] }, "page" : "341-348", "title" : "Elevated plasma homocysteine is associated with increased brain atrophy rates in older subjects with mild hypertensio.", "type" : "article-journal", "volume" : "31" }, "uris" : [ "http://www.mendeley.com/documents/?uuid=7ba77843-2282-4822-97d5-a7d839c80e2f" ] } ], "mendeley" : { "formattedCitation" : "&lt;sup&gt;(9)&lt;/sup&gt;", "plainTextFormattedCitation" : "(9)", "previouslyFormattedCitation" : "&lt;sup&gt;(9)&lt;/sup&gt;" }, "properties" : { "noteIndex" : 0 }, "schema" : "https://github.com/citation-style-language/schema/raw/master/csl-citation.json" }</w:instrText>
            </w:r>
            <w:r w:rsidR="00982877" w:rsidRPr="00B54A75">
              <w:rPr>
                <w:rFonts w:ascii="Calibri" w:eastAsia="Times New Roman" w:hAnsi="Calibri" w:cs="Calibri"/>
                <w:color w:val="000000"/>
                <w:sz w:val="20"/>
                <w:szCs w:val="20"/>
                <w:lang w:eastAsia="en-AU"/>
              </w:rPr>
              <w:fldChar w:fldCharType="separate"/>
            </w:r>
            <w:r w:rsidR="00B54A75" w:rsidRPr="00B54A75">
              <w:rPr>
                <w:rFonts w:ascii="Calibri" w:eastAsia="Times New Roman" w:hAnsi="Calibri" w:cs="Calibri"/>
                <w:noProof/>
                <w:color w:val="000000"/>
                <w:sz w:val="20"/>
                <w:szCs w:val="20"/>
                <w:vertAlign w:val="superscript"/>
                <w:lang w:eastAsia="en-AU"/>
              </w:rPr>
              <w:t>(9)</w:t>
            </w:r>
            <w:r w:rsidR="00982877" w:rsidRPr="00B54A75">
              <w:rPr>
                <w:rFonts w:ascii="Calibri" w:eastAsia="Times New Roman" w:hAnsi="Calibri" w:cs="Calibri"/>
                <w:color w:val="000000"/>
                <w:sz w:val="20"/>
                <w:szCs w:val="20"/>
                <w:lang w:eastAsia="en-AU"/>
              </w:rPr>
              <w:fldChar w:fldCharType="end"/>
            </w:r>
          </w:p>
        </w:tc>
        <w:tc>
          <w:tcPr>
            <w:tcW w:w="1049" w:type="dxa"/>
            <w:tcBorders>
              <w:top w:val="nil"/>
              <w:left w:val="nil"/>
              <w:bottom w:val="nil"/>
              <w:right w:val="nil"/>
            </w:tcBorders>
            <w:shd w:val="clear" w:color="000000" w:fill="D9D9D9"/>
            <w:vAlign w:val="bottom"/>
            <w:hideMark/>
          </w:tcPr>
          <w:p w:rsidR="00112011" w:rsidRPr="00B54A75" w:rsidRDefault="00AC73C6"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VIT-</w:t>
            </w:r>
            <w:r w:rsidR="00112011" w:rsidRPr="00B54A75">
              <w:rPr>
                <w:rFonts w:ascii="Calibri" w:eastAsia="Times New Roman" w:hAnsi="Calibri" w:cs="Calibri"/>
                <w:color w:val="000000"/>
                <w:sz w:val="20"/>
                <w:szCs w:val="20"/>
                <w:lang w:eastAsia="en-AU"/>
              </w:rPr>
              <w:t>B</w:t>
            </w:r>
            <w:r w:rsidR="00112011" w:rsidRPr="00B54A75">
              <w:rPr>
                <w:rFonts w:ascii="Calibri" w:eastAsia="Times New Roman" w:hAnsi="Calibri" w:cs="Calibri"/>
                <w:color w:val="000000"/>
                <w:sz w:val="20"/>
                <w:szCs w:val="20"/>
                <w:vertAlign w:val="subscript"/>
                <w:lang w:eastAsia="en-AU"/>
              </w:rPr>
              <w:t>12</w:t>
            </w:r>
            <w:r w:rsidR="00E53F88" w:rsidRPr="00B54A75">
              <w:rPr>
                <w:rFonts w:ascii="Calibri" w:eastAsia="Times New Roman" w:hAnsi="Calibri" w:cs="Calibri"/>
                <w:color w:val="000000"/>
                <w:sz w:val="20"/>
                <w:szCs w:val="20"/>
                <w:lang w:eastAsia="en-AU"/>
              </w:rPr>
              <w:t>, Folate,</w:t>
            </w:r>
            <w:r w:rsidR="00112011" w:rsidRPr="00B54A75">
              <w:rPr>
                <w:rFonts w:ascii="Calibri" w:eastAsia="Times New Roman" w:hAnsi="Calibri" w:cs="Calibri"/>
                <w:color w:val="000000"/>
                <w:sz w:val="20"/>
                <w:szCs w:val="20"/>
                <w:lang w:eastAsia="en-AU"/>
              </w:rPr>
              <w:t xml:space="preserve"> &amp; </w:t>
            </w:r>
            <w:proofErr w:type="spellStart"/>
            <w:r w:rsidR="00112011" w:rsidRPr="00B54A75">
              <w:rPr>
                <w:rFonts w:ascii="Calibri" w:eastAsia="Times New Roman" w:hAnsi="Calibri" w:cs="Calibri"/>
                <w:color w:val="000000"/>
                <w:sz w:val="20"/>
                <w:szCs w:val="20"/>
                <w:lang w:eastAsia="en-AU"/>
              </w:rPr>
              <w:t>HcY</w:t>
            </w:r>
            <w:proofErr w:type="spellEnd"/>
          </w:p>
        </w:tc>
        <w:tc>
          <w:tcPr>
            <w:tcW w:w="1082"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DF</w:t>
            </w:r>
          </w:p>
        </w:tc>
        <w:tc>
          <w:tcPr>
            <w:tcW w:w="1274"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70</w:t>
            </w:r>
          </w:p>
        </w:tc>
        <w:tc>
          <w:tcPr>
            <w:tcW w:w="1328"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74.0 - 91.0</w:t>
            </w:r>
          </w:p>
        </w:tc>
        <w:tc>
          <w:tcPr>
            <w:tcW w:w="1418"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79.0</w:t>
            </w:r>
          </w:p>
        </w:tc>
        <w:tc>
          <w:tcPr>
            <w:tcW w:w="1417"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3.50</w:t>
            </w:r>
          </w:p>
        </w:tc>
        <w:tc>
          <w:tcPr>
            <w:tcW w:w="5760" w:type="dxa"/>
            <w:tcBorders>
              <w:top w:val="nil"/>
              <w:left w:val="nil"/>
              <w:bottom w:val="nil"/>
              <w:right w:val="nil"/>
            </w:tcBorders>
            <w:shd w:val="clear" w:color="000000" w:fill="D9D9D9"/>
            <w:vAlign w:val="bottom"/>
            <w:hideMark/>
          </w:tcPr>
          <w:p w:rsidR="00112011" w:rsidRPr="00B54A75" w:rsidRDefault="00112011" w:rsidP="00E53F88">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b/>
                <w:bCs/>
                <w:iCs/>
                <w:color w:val="000000"/>
                <w:sz w:val="20"/>
                <w:szCs w:val="20"/>
                <w:lang w:eastAsia="en-AU"/>
              </w:rPr>
              <w:t>Longitudinal (MRI; 2 years)</w:t>
            </w:r>
            <w:r w:rsidRPr="00B54A75">
              <w:rPr>
                <w:rFonts w:ascii="Calibri" w:eastAsia="Times New Roman" w:hAnsi="Calibri" w:cs="Calibri"/>
                <w:color w:val="000000"/>
                <w:sz w:val="20"/>
                <w:szCs w:val="20"/>
                <w:lang w:eastAsia="en-AU"/>
              </w:rPr>
              <w:br/>
            </w:r>
            <w:r w:rsidRPr="00B54A75">
              <w:rPr>
                <w:rFonts w:ascii="Calibri" w:eastAsia="Times New Roman" w:hAnsi="Calibri" w:cs="Calibri"/>
                <w:color w:val="000000"/>
                <w:sz w:val="20"/>
                <w:szCs w:val="20"/>
                <w:u w:val="single"/>
                <w:lang w:eastAsia="en-AU"/>
              </w:rPr>
              <w:t xml:space="preserve">↑ </w:t>
            </w:r>
            <w:proofErr w:type="spellStart"/>
            <w:r w:rsidRPr="00B54A75">
              <w:rPr>
                <w:rFonts w:ascii="Calibri" w:eastAsia="Times New Roman" w:hAnsi="Calibri" w:cs="Calibri"/>
                <w:color w:val="000000"/>
                <w:sz w:val="20"/>
                <w:szCs w:val="20"/>
                <w:u w:val="single"/>
                <w:lang w:eastAsia="en-AU"/>
              </w:rPr>
              <w:t>HcY</w:t>
            </w:r>
            <w:proofErr w:type="spellEnd"/>
            <w:r w:rsidRPr="00B54A75">
              <w:rPr>
                <w:rFonts w:ascii="Calibri" w:eastAsia="Times New Roman" w:hAnsi="Calibri" w:cs="Calibri"/>
                <w:color w:val="000000"/>
                <w:sz w:val="20"/>
                <w:szCs w:val="20"/>
                <w:u w:val="single"/>
                <w:lang w:eastAsia="en-AU"/>
              </w:rPr>
              <w:t xml:space="preserve"> </w:t>
            </w:r>
            <w:r w:rsidRPr="00B54A75">
              <w:rPr>
                <w:rFonts w:ascii="Calibri" w:eastAsia="Times New Roman" w:hAnsi="Calibri" w:cs="Calibri"/>
                <w:color w:val="000000"/>
                <w:sz w:val="20"/>
                <w:szCs w:val="20"/>
                <w:lang w:eastAsia="en-AU"/>
              </w:rPr>
              <w:t>was associated with:</w:t>
            </w:r>
            <w:r w:rsidRPr="00B54A75">
              <w:rPr>
                <w:rFonts w:ascii="Calibri" w:eastAsia="Times New Roman" w:hAnsi="Calibri" w:cs="Calibri"/>
                <w:color w:val="000000"/>
                <w:sz w:val="20"/>
                <w:szCs w:val="20"/>
                <w:lang w:eastAsia="en-AU"/>
              </w:rPr>
              <w:br/>
              <w:t xml:space="preserve">           ↑ </w:t>
            </w:r>
            <w:proofErr w:type="spellStart"/>
            <w:r w:rsidRPr="00B54A75">
              <w:rPr>
                <w:rFonts w:ascii="Calibri" w:eastAsia="Times New Roman" w:hAnsi="Calibri" w:cs="Calibri"/>
                <w:color w:val="000000"/>
                <w:sz w:val="20"/>
                <w:szCs w:val="20"/>
                <w:lang w:eastAsia="en-AU"/>
              </w:rPr>
              <w:t>TCar</w:t>
            </w:r>
            <w:proofErr w:type="spellEnd"/>
            <w:r w:rsidRPr="00B54A75">
              <w:rPr>
                <w:rFonts w:ascii="Calibri" w:eastAsia="Times New Roman" w:hAnsi="Calibri" w:cs="Calibri"/>
                <w:color w:val="000000"/>
                <w:sz w:val="20"/>
                <w:szCs w:val="20"/>
                <w:lang w:eastAsia="en-AU"/>
              </w:rPr>
              <w:br/>
            </w:r>
            <w:proofErr w:type="spellStart"/>
            <w:r w:rsidRPr="00B54A75">
              <w:rPr>
                <w:rFonts w:ascii="Calibri" w:eastAsia="Times New Roman" w:hAnsi="Calibri" w:cs="Calibri"/>
                <w:color w:val="000000"/>
                <w:sz w:val="20"/>
                <w:szCs w:val="20"/>
                <w:u w:val="single"/>
                <w:lang w:eastAsia="en-AU"/>
              </w:rPr>
              <w:t>HcY</w:t>
            </w:r>
            <w:proofErr w:type="spellEnd"/>
            <w:r w:rsidRPr="00B54A75">
              <w:rPr>
                <w:rFonts w:ascii="Calibri" w:eastAsia="Times New Roman" w:hAnsi="Calibri" w:cs="Calibri"/>
                <w:color w:val="000000"/>
                <w:sz w:val="20"/>
                <w:szCs w:val="20"/>
                <w:lang w:eastAsia="en-AU"/>
              </w:rPr>
              <w:t xml:space="preserve"> was not associated with WML progression </w:t>
            </w:r>
            <w:r w:rsidRPr="00B54A75">
              <w:rPr>
                <w:rFonts w:ascii="Calibri" w:eastAsia="Times New Roman" w:hAnsi="Calibri" w:cs="Calibri"/>
                <w:color w:val="000000"/>
                <w:sz w:val="20"/>
                <w:szCs w:val="20"/>
                <w:lang w:eastAsia="en-AU"/>
              </w:rPr>
              <w:br/>
            </w:r>
            <w:r w:rsidRPr="00B54A75">
              <w:rPr>
                <w:rFonts w:ascii="Calibri" w:eastAsia="Times New Roman" w:hAnsi="Calibri" w:cs="Calibri"/>
                <w:color w:val="000000"/>
                <w:sz w:val="20"/>
                <w:szCs w:val="20"/>
                <w:u w:val="single"/>
                <w:lang w:eastAsia="en-AU"/>
              </w:rPr>
              <w:t>VIT-B</w:t>
            </w:r>
            <w:r w:rsidRPr="00B54A75">
              <w:rPr>
                <w:rFonts w:ascii="Calibri" w:eastAsia="Times New Roman" w:hAnsi="Calibri" w:cs="Calibri"/>
                <w:color w:val="000000"/>
                <w:sz w:val="20"/>
                <w:szCs w:val="20"/>
                <w:u w:val="single"/>
                <w:vertAlign w:val="subscript"/>
                <w:lang w:eastAsia="en-AU"/>
              </w:rPr>
              <w:t>12</w:t>
            </w:r>
            <w:r w:rsidR="00E53F88" w:rsidRPr="00B54A75">
              <w:rPr>
                <w:rFonts w:ascii="Calibri" w:eastAsia="Times New Roman" w:hAnsi="Calibri" w:cs="Calibri"/>
                <w:color w:val="000000"/>
                <w:sz w:val="20"/>
                <w:szCs w:val="20"/>
                <w:vertAlign w:val="subscript"/>
                <w:lang w:eastAsia="en-AU"/>
              </w:rPr>
              <w:t xml:space="preserve"> </w:t>
            </w:r>
            <w:r w:rsidR="00E53F88" w:rsidRPr="00B54A75">
              <w:rPr>
                <w:rFonts w:ascii="Calibri" w:eastAsia="Times New Roman" w:hAnsi="Calibri" w:cs="Calibri"/>
                <w:color w:val="000000"/>
                <w:sz w:val="20"/>
                <w:szCs w:val="20"/>
                <w:lang w:eastAsia="en-AU"/>
              </w:rPr>
              <w:t xml:space="preserve">or </w:t>
            </w:r>
            <w:r w:rsidR="00E53F88" w:rsidRPr="00B54A75">
              <w:rPr>
                <w:rFonts w:ascii="Calibri" w:eastAsia="Times New Roman" w:hAnsi="Calibri" w:cs="Calibri"/>
                <w:color w:val="000000"/>
                <w:sz w:val="20"/>
                <w:szCs w:val="20"/>
                <w:u w:val="single"/>
                <w:lang w:eastAsia="en-AU"/>
              </w:rPr>
              <w:t>folate</w:t>
            </w:r>
            <w:r w:rsidRPr="00B54A75">
              <w:rPr>
                <w:rFonts w:ascii="Calibri" w:eastAsia="Times New Roman" w:hAnsi="Calibri" w:cs="Calibri"/>
                <w:color w:val="000000"/>
                <w:sz w:val="20"/>
                <w:szCs w:val="20"/>
                <w:lang w:eastAsia="en-AU"/>
              </w:rPr>
              <w:t xml:space="preserve"> were not associated with cerebral structure</w:t>
            </w:r>
          </w:p>
        </w:tc>
      </w:tr>
      <w:tr w:rsidR="009321E8" w:rsidRPr="00B54A75" w:rsidTr="00222F25">
        <w:trPr>
          <w:trHeight w:val="2145"/>
        </w:trPr>
        <w:tc>
          <w:tcPr>
            <w:tcW w:w="1840" w:type="dxa"/>
            <w:tcBorders>
              <w:top w:val="nil"/>
              <w:left w:val="nil"/>
              <w:bottom w:val="nil"/>
              <w:right w:val="nil"/>
            </w:tcBorders>
            <w:shd w:val="clear" w:color="auto" w:fill="auto"/>
            <w:vAlign w:val="bottom"/>
            <w:hideMark/>
          </w:tcPr>
          <w:p w:rsidR="00112011" w:rsidRPr="00B54A75" w:rsidRDefault="00A85A6A"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Rajagopalan et al.</w:t>
            </w:r>
            <w:r w:rsidR="00982877" w:rsidRPr="00B54A75">
              <w:rPr>
                <w:rFonts w:ascii="Calibri" w:eastAsia="Times New Roman" w:hAnsi="Calibri" w:cs="Calibri"/>
                <w:color w:val="000000"/>
                <w:sz w:val="20"/>
                <w:szCs w:val="20"/>
                <w:lang w:eastAsia="en-AU"/>
              </w:rPr>
              <w:fldChar w:fldCharType="begin" w:fldLock="1"/>
            </w:r>
            <w:r w:rsidR="00C73D5C">
              <w:rPr>
                <w:rFonts w:ascii="Calibri" w:eastAsia="Times New Roman" w:hAnsi="Calibri" w:cs="Calibri"/>
                <w:color w:val="000000"/>
                <w:sz w:val="20"/>
                <w:szCs w:val="20"/>
                <w:lang w:eastAsia="en-AU"/>
              </w:rPr>
              <w:instrText>ADDIN CSL_CITATION { "citationItems" : [ { "id" : "ITEM-1", "itemData" : { "DOI" : "10.1097/WNR.0b013e328346bf85", "ISSN" : "1473-558X", "PMID" : "21512418", "abstract" : "Elevated homocysteine levels are a known risk factor for Alzheimer's disease and vascular disorders. Here we applied tensor-based morphometry to brain magnetic resonance imaging scans of 732 elderly individuals from the Alzheimer's Disease Neuroimaging Initiative study, to determine associations between homocysteine and brain atrophy. Those with higher homocysteine levels showed greater frontal, parietal, and occipital white matter atrophy in the entire cohort, irrespective of diagnosis, age, or sex. This association was also found when considering mild cognitive impairment individuals separately. Vitamin B supplements, such as folate, may help prevent homocysteine-related atrophy in Alzheimer's disease by possibly reducing homocysteine levels. These atrophy profiles may, in the future, offer a potential biomarker to gauge the efficacy of interventions using dietary folate supplementation.", "author" : [ { "dropping-particle" : "", "family" : "Rajagopalan", "given" : "Priya", "non-dropping-particle" : "", "parse-names" : false, "suffix" : "" }, { "dropping-particle" : "", "family" : "Hua", "given" : "Xue", "non-dropping-particle" : "", "parse-names" : false, "suffix" : "" }, { "dropping-particle" : "", "family" : "Toga", "given" : "Arthur W", "non-dropping-particle" : "", "parse-names" : false, "suffix" : "" }, { "dropping-particle" : "", "family" : "Jack", "given" : "Clifford R", "non-dropping-particle" : "", "parse-names" : false, "suffix" : "" }, { "dropping-particle" : "", "family" : "Weiner", "given" : "Michael W", "non-dropping-particle" : "", "parse-names" : false, "suffix" : "" }, { "dropping-particle" : "", "family" : "Thompson", "given" : "Paul M", "non-dropping-particle" : "", "parse-names" : false, "suffix" : "" } ], "container-title" : "NeuroReport", "id" : "ITEM-1", "issued" : { "date-parts" : [ [ "2011", "6", "11" ] ] }, "page" : "391-395", "title" : "Homocysteine effects on brain volumes mapped in 732 elderly individuals", "type" : "article-journal", "volume" : "22" }, "uris" : [ "http://www.mendeley.com/documents/?uuid=0a04e297-1ed9-4ec3-b713-d38fb043ae3a" ] } ], "mendeley" : { "formattedCitation" : "&lt;sup&gt;(10)&lt;/sup&gt;", "plainTextFormattedCitation" : "(10)", "previouslyFormattedCitation" : "&lt;sup&gt;(10)&lt;/sup&gt;" }, "properties" : { "noteIndex" : 0 }, "schema" : "https://github.com/citation-style-language/schema/raw/master/csl-citation.json" }</w:instrText>
            </w:r>
            <w:r w:rsidR="00982877" w:rsidRPr="00B54A75">
              <w:rPr>
                <w:rFonts w:ascii="Calibri" w:eastAsia="Times New Roman" w:hAnsi="Calibri" w:cs="Calibri"/>
                <w:color w:val="000000"/>
                <w:sz w:val="20"/>
                <w:szCs w:val="20"/>
                <w:lang w:eastAsia="en-AU"/>
              </w:rPr>
              <w:fldChar w:fldCharType="separate"/>
            </w:r>
            <w:r w:rsidR="00B54A75" w:rsidRPr="00B54A75">
              <w:rPr>
                <w:rFonts w:ascii="Calibri" w:eastAsia="Times New Roman" w:hAnsi="Calibri" w:cs="Calibri"/>
                <w:noProof/>
                <w:color w:val="000000"/>
                <w:sz w:val="20"/>
                <w:szCs w:val="20"/>
                <w:vertAlign w:val="superscript"/>
                <w:lang w:eastAsia="en-AU"/>
              </w:rPr>
              <w:t>(10)</w:t>
            </w:r>
            <w:r w:rsidR="00982877" w:rsidRPr="00B54A75">
              <w:rPr>
                <w:rFonts w:ascii="Calibri" w:eastAsia="Times New Roman" w:hAnsi="Calibri" w:cs="Calibri"/>
                <w:color w:val="000000"/>
                <w:sz w:val="20"/>
                <w:szCs w:val="20"/>
                <w:lang w:eastAsia="en-AU"/>
              </w:rPr>
              <w:fldChar w:fldCharType="end"/>
            </w:r>
          </w:p>
        </w:tc>
        <w:tc>
          <w:tcPr>
            <w:tcW w:w="1049"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proofErr w:type="spellStart"/>
            <w:r w:rsidRPr="00B54A75">
              <w:rPr>
                <w:rFonts w:ascii="Calibri" w:eastAsia="Times New Roman" w:hAnsi="Calibri" w:cs="Calibri"/>
                <w:color w:val="000000"/>
                <w:sz w:val="20"/>
                <w:szCs w:val="20"/>
                <w:lang w:eastAsia="en-AU"/>
              </w:rPr>
              <w:t>HcY</w:t>
            </w:r>
            <w:proofErr w:type="spellEnd"/>
          </w:p>
        </w:tc>
        <w:tc>
          <w:tcPr>
            <w:tcW w:w="1082"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Mixed†</w:t>
            </w:r>
          </w:p>
        </w:tc>
        <w:tc>
          <w:tcPr>
            <w:tcW w:w="1274" w:type="dxa"/>
            <w:tcBorders>
              <w:top w:val="nil"/>
              <w:left w:val="nil"/>
              <w:bottom w:val="nil"/>
              <w:right w:val="nil"/>
            </w:tcBorders>
            <w:shd w:val="clear" w:color="auto" w:fill="auto"/>
            <w:vAlign w:val="bottom"/>
            <w:hideMark/>
          </w:tcPr>
          <w:p w:rsidR="00982877"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 xml:space="preserve">203 (CN) </w:t>
            </w:r>
          </w:p>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356 (MCI) 173 (AD)</w:t>
            </w:r>
          </w:p>
        </w:tc>
        <w:tc>
          <w:tcPr>
            <w:tcW w:w="1328"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NR</w:t>
            </w:r>
          </w:p>
        </w:tc>
        <w:tc>
          <w:tcPr>
            <w:tcW w:w="1418"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 xml:space="preserve">76.13 (CN) </w:t>
            </w:r>
            <w:r w:rsidRPr="00B54A75">
              <w:rPr>
                <w:rFonts w:ascii="Calibri" w:eastAsia="Times New Roman" w:hAnsi="Calibri" w:cs="Calibri"/>
                <w:color w:val="000000"/>
                <w:sz w:val="20"/>
                <w:szCs w:val="20"/>
                <w:lang w:eastAsia="en-AU"/>
              </w:rPr>
              <w:br/>
              <w:t>75.15 (MCI) 75.57 (AD)</w:t>
            </w:r>
          </w:p>
        </w:tc>
        <w:tc>
          <w:tcPr>
            <w:tcW w:w="1417"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4.99 (</w:t>
            </w:r>
            <w:proofErr w:type="gramStart"/>
            <w:r w:rsidRPr="00B54A75">
              <w:rPr>
                <w:rFonts w:ascii="Calibri" w:eastAsia="Times New Roman" w:hAnsi="Calibri" w:cs="Calibri"/>
                <w:color w:val="000000"/>
                <w:sz w:val="20"/>
                <w:szCs w:val="20"/>
                <w:lang w:eastAsia="en-AU"/>
              </w:rPr>
              <w:t>CN)  7.26</w:t>
            </w:r>
            <w:proofErr w:type="gramEnd"/>
            <w:r w:rsidRPr="00B54A75">
              <w:rPr>
                <w:rFonts w:ascii="Calibri" w:eastAsia="Times New Roman" w:hAnsi="Calibri" w:cs="Calibri"/>
                <w:color w:val="000000"/>
                <w:sz w:val="20"/>
                <w:szCs w:val="20"/>
                <w:lang w:eastAsia="en-AU"/>
              </w:rPr>
              <w:t xml:space="preserve"> (MCI) 7.62 (AD)</w:t>
            </w:r>
          </w:p>
        </w:tc>
        <w:tc>
          <w:tcPr>
            <w:tcW w:w="5760"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b/>
                <w:bCs/>
                <w:iCs/>
                <w:color w:val="000000"/>
                <w:sz w:val="20"/>
                <w:szCs w:val="20"/>
                <w:lang w:eastAsia="en-AU"/>
              </w:rPr>
              <w:t>Cross sectional</w:t>
            </w:r>
            <w:r w:rsidRPr="00B54A75">
              <w:rPr>
                <w:rFonts w:ascii="Calibri" w:eastAsia="Times New Roman" w:hAnsi="Calibri" w:cs="Calibri"/>
                <w:b/>
                <w:bCs/>
                <w:color w:val="000000"/>
                <w:sz w:val="20"/>
                <w:szCs w:val="20"/>
                <w:lang w:eastAsia="en-AU"/>
              </w:rPr>
              <w:t xml:space="preserve"> (MRI)</w:t>
            </w:r>
            <w:r w:rsidRPr="00B54A75">
              <w:rPr>
                <w:rFonts w:ascii="Calibri" w:eastAsia="Times New Roman" w:hAnsi="Calibri" w:cs="Calibri"/>
                <w:color w:val="000000"/>
                <w:sz w:val="20"/>
                <w:szCs w:val="20"/>
                <w:lang w:eastAsia="en-AU"/>
              </w:rPr>
              <w:br/>
            </w:r>
            <w:r w:rsidRPr="00B54A75">
              <w:rPr>
                <w:rFonts w:ascii="Calibri" w:eastAsia="Times New Roman" w:hAnsi="Calibri" w:cs="Calibri"/>
                <w:color w:val="000000"/>
                <w:sz w:val="20"/>
                <w:szCs w:val="20"/>
                <w:u w:val="single"/>
                <w:lang w:eastAsia="en-AU"/>
              </w:rPr>
              <w:t xml:space="preserve">↑ </w:t>
            </w:r>
            <w:proofErr w:type="spellStart"/>
            <w:proofErr w:type="gramStart"/>
            <w:r w:rsidRPr="00B54A75">
              <w:rPr>
                <w:rFonts w:ascii="Calibri" w:eastAsia="Times New Roman" w:hAnsi="Calibri" w:cs="Calibri"/>
                <w:color w:val="000000"/>
                <w:sz w:val="20"/>
                <w:szCs w:val="20"/>
                <w:u w:val="single"/>
                <w:lang w:eastAsia="en-AU"/>
              </w:rPr>
              <w:t>HcY</w:t>
            </w:r>
            <w:proofErr w:type="spellEnd"/>
            <w:r w:rsidRPr="00B54A75">
              <w:rPr>
                <w:rFonts w:ascii="Calibri" w:eastAsia="Times New Roman" w:hAnsi="Calibri" w:cs="Calibri"/>
                <w:color w:val="000000"/>
                <w:sz w:val="20"/>
                <w:szCs w:val="20"/>
                <w:u w:val="single"/>
                <w:lang w:eastAsia="en-AU"/>
              </w:rPr>
              <w:t xml:space="preserve"> </w:t>
            </w:r>
            <w:r w:rsidRPr="00B54A75">
              <w:rPr>
                <w:rFonts w:ascii="Calibri" w:eastAsia="Times New Roman" w:hAnsi="Calibri" w:cs="Calibri"/>
                <w:color w:val="000000"/>
                <w:sz w:val="20"/>
                <w:szCs w:val="20"/>
                <w:lang w:eastAsia="en-AU"/>
              </w:rPr>
              <w:t xml:space="preserve"> was</w:t>
            </w:r>
            <w:proofErr w:type="gramEnd"/>
            <w:r w:rsidRPr="00B54A75">
              <w:rPr>
                <w:rFonts w:ascii="Calibri" w:eastAsia="Times New Roman" w:hAnsi="Calibri" w:cs="Calibri"/>
                <w:color w:val="000000"/>
                <w:sz w:val="20"/>
                <w:szCs w:val="20"/>
                <w:lang w:eastAsia="en-AU"/>
              </w:rPr>
              <w:t xml:space="preserve"> associated with:</w:t>
            </w:r>
            <w:r w:rsidRPr="00B54A75">
              <w:rPr>
                <w:rFonts w:ascii="Calibri" w:eastAsia="Times New Roman" w:hAnsi="Calibri" w:cs="Calibri"/>
                <w:color w:val="000000"/>
                <w:sz w:val="20"/>
                <w:szCs w:val="20"/>
                <w:lang w:eastAsia="en-AU"/>
              </w:rPr>
              <w:br/>
              <w:t xml:space="preserve">          ↓ </w:t>
            </w:r>
            <w:proofErr w:type="spellStart"/>
            <w:r w:rsidRPr="00B54A75">
              <w:rPr>
                <w:rFonts w:ascii="Calibri" w:eastAsia="Times New Roman" w:hAnsi="Calibri" w:cs="Calibri"/>
                <w:color w:val="000000"/>
                <w:sz w:val="20"/>
                <w:szCs w:val="20"/>
                <w:lang w:eastAsia="en-AU"/>
              </w:rPr>
              <w:t>WMv</w:t>
            </w:r>
            <w:proofErr w:type="spellEnd"/>
            <w:r w:rsidRPr="00B54A75">
              <w:rPr>
                <w:rFonts w:ascii="Calibri" w:eastAsia="Times New Roman" w:hAnsi="Calibri" w:cs="Calibri"/>
                <w:color w:val="000000"/>
                <w:sz w:val="20"/>
                <w:szCs w:val="20"/>
                <w:lang w:eastAsia="en-AU"/>
              </w:rPr>
              <w:t xml:space="preserve"> within</w:t>
            </w:r>
            <w:r w:rsidRPr="00B54A75">
              <w:rPr>
                <w:rFonts w:ascii="Calibri" w:eastAsia="Times New Roman" w:hAnsi="Calibri" w:cs="Calibri"/>
                <w:iCs/>
                <w:color w:val="000000"/>
                <w:sz w:val="20"/>
                <w:szCs w:val="20"/>
                <w:lang w:eastAsia="en-AU"/>
              </w:rPr>
              <w:t xml:space="preserve"> </w:t>
            </w:r>
            <w:r w:rsidRPr="00B54A75">
              <w:rPr>
                <w:rFonts w:ascii="Calibri" w:eastAsia="Times New Roman" w:hAnsi="Calibri" w:cs="Calibri"/>
                <w:color w:val="000000"/>
                <w:sz w:val="20"/>
                <w:szCs w:val="20"/>
                <w:lang w:eastAsia="en-AU"/>
              </w:rPr>
              <w:t>FL, PL, &amp; OL</w:t>
            </w:r>
            <w:r w:rsidRPr="00B54A75">
              <w:rPr>
                <w:rFonts w:ascii="Calibri" w:eastAsia="Times New Roman" w:hAnsi="Calibri" w:cs="Calibri"/>
                <w:iCs/>
                <w:color w:val="000000"/>
                <w:sz w:val="20"/>
                <w:szCs w:val="20"/>
                <w:lang w:eastAsia="en-AU"/>
              </w:rPr>
              <w:br/>
            </w:r>
            <w:r w:rsidRPr="00B54A75">
              <w:rPr>
                <w:rFonts w:ascii="Calibri" w:eastAsia="Times New Roman" w:hAnsi="Calibri" w:cs="Calibri"/>
                <w:color w:val="000000"/>
                <w:sz w:val="20"/>
                <w:szCs w:val="20"/>
                <w:lang w:eastAsia="en-AU"/>
              </w:rPr>
              <w:t>Significant associations were observed in whole sample, but only in MCI during subgroup analysis</w:t>
            </w:r>
            <w:r w:rsidRPr="00B54A75">
              <w:rPr>
                <w:rFonts w:ascii="Calibri" w:eastAsia="Times New Roman" w:hAnsi="Calibri" w:cs="Calibri"/>
                <w:color w:val="000000"/>
                <w:sz w:val="20"/>
                <w:szCs w:val="20"/>
                <w:lang w:eastAsia="en-AU"/>
              </w:rPr>
              <w:br/>
            </w:r>
            <w:r w:rsidRPr="00B54A75">
              <w:rPr>
                <w:rFonts w:ascii="Calibri" w:eastAsia="Times New Roman" w:hAnsi="Calibri" w:cs="Calibri"/>
                <w:color w:val="000000"/>
                <w:sz w:val="20"/>
                <w:szCs w:val="20"/>
                <w:lang w:eastAsia="en-AU"/>
              </w:rPr>
              <w:br/>
            </w:r>
            <w:proofErr w:type="spellStart"/>
            <w:r w:rsidRPr="00B54A75">
              <w:rPr>
                <w:rFonts w:ascii="Calibri" w:eastAsia="Times New Roman" w:hAnsi="Calibri" w:cs="Calibri"/>
                <w:color w:val="000000"/>
                <w:sz w:val="20"/>
                <w:szCs w:val="20"/>
                <w:u w:val="single"/>
                <w:lang w:eastAsia="en-AU"/>
              </w:rPr>
              <w:t>Hyperhomocysteinemia</w:t>
            </w:r>
            <w:proofErr w:type="spellEnd"/>
            <w:r w:rsidRPr="00B54A75">
              <w:rPr>
                <w:rFonts w:ascii="Calibri" w:eastAsia="Times New Roman" w:hAnsi="Calibri" w:cs="Calibri"/>
                <w:color w:val="000000"/>
                <w:sz w:val="20"/>
                <w:szCs w:val="20"/>
                <w:u w:val="single"/>
                <w:lang w:eastAsia="en-AU"/>
              </w:rPr>
              <w:t xml:space="preserve"> (</w:t>
            </w:r>
            <w:proofErr w:type="spellStart"/>
            <w:r w:rsidRPr="00B54A75">
              <w:rPr>
                <w:rFonts w:ascii="Calibri" w:eastAsia="Times New Roman" w:hAnsi="Calibri" w:cs="Calibri"/>
                <w:color w:val="000000"/>
                <w:sz w:val="20"/>
                <w:szCs w:val="20"/>
                <w:u w:val="single"/>
                <w:lang w:eastAsia="en-AU"/>
              </w:rPr>
              <w:t>HcY</w:t>
            </w:r>
            <w:proofErr w:type="spellEnd"/>
            <w:r w:rsidRPr="00B54A75">
              <w:rPr>
                <w:rFonts w:ascii="Calibri" w:eastAsia="Times New Roman" w:hAnsi="Calibri" w:cs="Calibri"/>
                <w:color w:val="000000"/>
                <w:sz w:val="20"/>
                <w:szCs w:val="20"/>
                <w:u w:val="single"/>
                <w:lang w:eastAsia="en-AU"/>
              </w:rPr>
              <w:t xml:space="preserve"> ≥ 14.0 µM/L)</w:t>
            </w:r>
            <w:r w:rsidRPr="00B54A75">
              <w:rPr>
                <w:rFonts w:ascii="Calibri" w:eastAsia="Times New Roman" w:hAnsi="Calibri" w:cs="Calibri"/>
                <w:color w:val="000000"/>
                <w:sz w:val="20"/>
                <w:szCs w:val="20"/>
                <w:lang w:eastAsia="en-AU"/>
              </w:rPr>
              <w:t xml:space="preserve"> was associated with:</w:t>
            </w:r>
            <w:r w:rsidRPr="00B54A75">
              <w:rPr>
                <w:rFonts w:ascii="Calibri" w:eastAsia="Times New Roman" w:hAnsi="Calibri" w:cs="Calibri"/>
                <w:color w:val="000000"/>
                <w:sz w:val="20"/>
                <w:szCs w:val="20"/>
                <w:lang w:eastAsia="en-AU"/>
              </w:rPr>
              <w:br/>
              <w:t xml:space="preserve">           ↓ </w:t>
            </w:r>
            <w:proofErr w:type="spellStart"/>
            <w:r w:rsidRPr="00B54A75">
              <w:rPr>
                <w:rFonts w:ascii="Calibri" w:eastAsia="Times New Roman" w:hAnsi="Calibri" w:cs="Calibri"/>
                <w:color w:val="000000"/>
                <w:sz w:val="20"/>
                <w:szCs w:val="20"/>
                <w:lang w:eastAsia="en-AU"/>
              </w:rPr>
              <w:t>WMv</w:t>
            </w:r>
            <w:proofErr w:type="spellEnd"/>
            <w:r w:rsidRPr="00B54A75">
              <w:rPr>
                <w:rFonts w:ascii="Calibri" w:eastAsia="Times New Roman" w:hAnsi="Calibri" w:cs="Calibri"/>
                <w:color w:val="000000"/>
                <w:sz w:val="20"/>
                <w:szCs w:val="20"/>
                <w:lang w:eastAsia="en-AU"/>
              </w:rPr>
              <w:t xml:space="preserve"> within FL &amp; PL</w:t>
            </w:r>
          </w:p>
        </w:tc>
      </w:tr>
      <w:tr w:rsidR="008251F9" w:rsidRPr="00B54A75" w:rsidTr="00222F25">
        <w:trPr>
          <w:trHeight w:val="2130"/>
        </w:trPr>
        <w:tc>
          <w:tcPr>
            <w:tcW w:w="1840" w:type="dxa"/>
            <w:tcBorders>
              <w:top w:val="nil"/>
              <w:left w:val="nil"/>
              <w:bottom w:val="nil"/>
              <w:right w:val="nil"/>
            </w:tcBorders>
            <w:shd w:val="clear" w:color="000000" w:fill="D9D9D9"/>
            <w:vAlign w:val="bottom"/>
            <w:hideMark/>
          </w:tcPr>
          <w:p w:rsidR="00112011" w:rsidRPr="00B54A75" w:rsidRDefault="00A85A6A"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Tangney et al.</w:t>
            </w:r>
            <w:r w:rsidR="00A93878" w:rsidRPr="00B54A75">
              <w:rPr>
                <w:rFonts w:ascii="Calibri" w:eastAsia="Times New Roman" w:hAnsi="Calibri" w:cs="Calibri"/>
                <w:color w:val="000000"/>
                <w:sz w:val="20"/>
                <w:szCs w:val="20"/>
                <w:lang w:eastAsia="en-AU"/>
              </w:rPr>
              <w:fldChar w:fldCharType="begin" w:fldLock="1"/>
            </w:r>
            <w:r w:rsidR="00C73D5C">
              <w:rPr>
                <w:rFonts w:ascii="Calibri" w:eastAsia="Times New Roman" w:hAnsi="Calibri" w:cs="Calibri"/>
                <w:color w:val="000000"/>
                <w:sz w:val="20"/>
                <w:szCs w:val="20"/>
                <w:lang w:eastAsia="en-AU"/>
              </w:rPr>
              <w:instrText>ADDIN CSL_CITATION { "citationItems" : [ { "id" : "ITEM-1", "itemData" : { "DOI" : "10.1212/WNL.0b013e3182315a33", "ISSN" : "1526-632X", "PMID" : "21947532", "abstract" : "OBJECTIVE: To investigate the interrelations of serum vitamin B12 markers with brain volumes, cerebral infarcts, and performance in different cognitive domains in a biracial population sample cross-sectionally. METHODS: In 121 community-dwelling participants of the Chicago Health and Aging Project, serum markers of vitamin B12 status were related to summary measures of neuropsychological tests of 5 cognitive domains and brain MRI measures obtained on average 4.6 years later among 121 older adults. RESULTS: Concentrations of all vitamin B12-related markers, but not serum vitamin B12 itself, were associated with global cognitive function and with total brain volume. Methylmalonate levels were associated with poorer episodic memory and perceptual speed, and cystathionine and 2-methylcitrate with poorer episodic and semantic memory. Homocysteine concentrations were associated with decreased total brain volume. The homocysteine-global cognition effect was modified and no longer statistically significant with adjustment for white matter volume or cerebral infarcts. The methylmalonate-global cognition effect was modified and no longer significant with adjustment for total brain volume. CONCLUSIONS: Methylmalonate, a specific marker of B12 deficiency, may affect cognition by reducing total brain volume whereas the effect of homocysteine (nonspecific to vitamin B12 deficiency) on cognitive performance may be mediated through increased white matter hyperintensity and cerebral infarcts. Vitamin B12 status may affect the brain through multiple mechanisms.", "author" : [ { "dropping-particle" : "", "family" : "Tangney", "given" : "C C", "non-dropping-particle" : "", "parse-names" : false, "suffix" : "" }, { "dropping-particle" : "", "family" : "Aggarwal", "given" : "N T", "non-dropping-particle" : "", "parse-names" : false, "suffix" : "" }, { "dropping-particle" : "", "family" : "Li", "given" : "H", "non-dropping-particle" : "", "parse-names" : false, "suffix" : "" }, { "dropping-particle" : "", "family" : "Wilson", "given" : "R S", "non-dropping-particle" : "", "parse-names" : false, "suffix" : "" }, { "dropping-particle" : "", "family" : "Decarli", "given" : "C", "non-dropping-particle" : "", "parse-names" : false, "suffix" : "" }, { "dropping-particle" : "", "family" : "Evans", "given" : "D a", "non-dropping-particle" : "", "parse-names" : false, "suffix" : "" }, { "dropping-particle" : "", "family" : "Morris", "given" : "M C", "non-dropping-particle" : "", "parse-names" : false, "suffix" : "" } ], "container-title" : "Neurology", "id" : "ITEM-1", "issued" : { "date-parts" : [ [ "2011", "9", "27" ] ] }, "page" : "1276-1282", "title" : "Vitamin B12, cognition, and brain MRI measures: a cross-sectional examination.", "type" : "article-journal", "volume" : "77" }, "uris" : [ "http://www.mendeley.com/documents/?uuid=9284c90c-ee43-4611-aa7f-1be264923276" ] } ], "mendeley" : { "formattedCitation" : "&lt;sup&gt;(11)&lt;/sup&gt;", "plainTextFormattedCitation" : "(11)", "previouslyFormattedCitation" : "&lt;sup&gt;(11)&lt;/sup&gt;" }, "properties" : { "noteIndex" : 0 }, "schema" : "https://github.com/citation-style-language/schema/raw/master/csl-citation.json" }</w:instrText>
            </w:r>
            <w:r w:rsidR="00A93878" w:rsidRPr="00B54A75">
              <w:rPr>
                <w:rFonts w:ascii="Calibri" w:eastAsia="Times New Roman" w:hAnsi="Calibri" w:cs="Calibri"/>
                <w:color w:val="000000"/>
                <w:sz w:val="20"/>
                <w:szCs w:val="20"/>
                <w:lang w:eastAsia="en-AU"/>
              </w:rPr>
              <w:fldChar w:fldCharType="separate"/>
            </w:r>
            <w:r w:rsidR="00B54A75" w:rsidRPr="00B54A75">
              <w:rPr>
                <w:rFonts w:ascii="Calibri" w:eastAsia="Times New Roman" w:hAnsi="Calibri" w:cs="Calibri"/>
                <w:noProof/>
                <w:color w:val="000000"/>
                <w:sz w:val="20"/>
                <w:szCs w:val="20"/>
                <w:vertAlign w:val="superscript"/>
                <w:lang w:eastAsia="en-AU"/>
              </w:rPr>
              <w:t>(11)</w:t>
            </w:r>
            <w:r w:rsidR="00A93878" w:rsidRPr="00B54A75">
              <w:rPr>
                <w:rFonts w:ascii="Calibri" w:eastAsia="Times New Roman" w:hAnsi="Calibri" w:cs="Calibri"/>
                <w:color w:val="000000"/>
                <w:sz w:val="20"/>
                <w:szCs w:val="20"/>
                <w:lang w:eastAsia="en-AU"/>
              </w:rPr>
              <w:fldChar w:fldCharType="end"/>
            </w:r>
          </w:p>
        </w:tc>
        <w:tc>
          <w:tcPr>
            <w:tcW w:w="1049"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VIT-B</w:t>
            </w:r>
            <w:r w:rsidRPr="00B54A75">
              <w:rPr>
                <w:rFonts w:ascii="Calibri" w:eastAsia="Times New Roman" w:hAnsi="Calibri" w:cs="Calibri"/>
                <w:color w:val="000000"/>
                <w:sz w:val="20"/>
                <w:szCs w:val="20"/>
                <w:vertAlign w:val="subscript"/>
                <w:lang w:eastAsia="en-AU"/>
              </w:rPr>
              <w:t>12</w:t>
            </w:r>
            <w:r w:rsidRPr="00B54A75">
              <w:rPr>
                <w:rFonts w:ascii="Calibri" w:eastAsia="Times New Roman" w:hAnsi="Calibri" w:cs="Calibri"/>
                <w:color w:val="000000"/>
                <w:sz w:val="20"/>
                <w:szCs w:val="20"/>
                <w:lang w:eastAsia="en-AU"/>
              </w:rPr>
              <w:t xml:space="preserve">, MMA &amp; </w:t>
            </w:r>
            <w:proofErr w:type="spellStart"/>
            <w:r w:rsidRPr="00B54A75">
              <w:rPr>
                <w:rFonts w:ascii="Calibri" w:eastAsia="Times New Roman" w:hAnsi="Calibri" w:cs="Calibri"/>
                <w:color w:val="000000"/>
                <w:sz w:val="20"/>
                <w:szCs w:val="20"/>
                <w:lang w:eastAsia="en-AU"/>
              </w:rPr>
              <w:t>HcY</w:t>
            </w:r>
            <w:proofErr w:type="spellEnd"/>
          </w:p>
        </w:tc>
        <w:tc>
          <w:tcPr>
            <w:tcW w:w="1082"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Mixed‡</w:t>
            </w:r>
          </w:p>
        </w:tc>
        <w:tc>
          <w:tcPr>
            <w:tcW w:w="1274"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121</w:t>
            </w:r>
          </w:p>
        </w:tc>
        <w:tc>
          <w:tcPr>
            <w:tcW w:w="1328"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≥65.0</w:t>
            </w:r>
          </w:p>
        </w:tc>
        <w:tc>
          <w:tcPr>
            <w:tcW w:w="1418"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78.70</w:t>
            </w:r>
          </w:p>
        </w:tc>
        <w:tc>
          <w:tcPr>
            <w:tcW w:w="1417"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5.70</w:t>
            </w:r>
          </w:p>
        </w:tc>
        <w:tc>
          <w:tcPr>
            <w:tcW w:w="5760"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b/>
                <w:bCs/>
                <w:iCs/>
                <w:color w:val="000000"/>
                <w:sz w:val="20"/>
                <w:szCs w:val="20"/>
                <w:lang w:eastAsia="en-AU"/>
              </w:rPr>
              <w:t>Cross sectional</w:t>
            </w:r>
            <w:r w:rsidRPr="00B54A75">
              <w:rPr>
                <w:rFonts w:ascii="Calibri" w:eastAsia="Times New Roman" w:hAnsi="Calibri" w:cs="Calibri"/>
                <w:b/>
                <w:bCs/>
                <w:color w:val="000000"/>
                <w:sz w:val="20"/>
                <w:szCs w:val="20"/>
                <w:lang w:eastAsia="en-AU"/>
              </w:rPr>
              <w:t xml:space="preserve"> (MRI)</w:t>
            </w:r>
            <w:r w:rsidRPr="00B54A75">
              <w:rPr>
                <w:rFonts w:ascii="Calibri" w:eastAsia="Times New Roman" w:hAnsi="Calibri" w:cs="Calibri"/>
                <w:b/>
                <w:bCs/>
                <w:color w:val="000000"/>
                <w:sz w:val="20"/>
                <w:szCs w:val="20"/>
                <w:lang w:eastAsia="en-AU"/>
              </w:rPr>
              <w:br/>
            </w:r>
            <w:r w:rsidRPr="00B54A75">
              <w:rPr>
                <w:rFonts w:ascii="Calibri" w:eastAsia="Times New Roman" w:hAnsi="Calibri" w:cs="Calibri"/>
                <w:color w:val="000000"/>
                <w:sz w:val="20"/>
                <w:szCs w:val="20"/>
                <w:u w:val="single"/>
                <w:lang w:eastAsia="en-AU"/>
              </w:rPr>
              <w:t xml:space="preserve">↑ </w:t>
            </w:r>
            <w:proofErr w:type="spellStart"/>
            <w:r w:rsidRPr="00B54A75">
              <w:rPr>
                <w:rFonts w:ascii="Calibri" w:eastAsia="Times New Roman" w:hAnsi="Calibri" w:cs="Calibri"/>
                <w:color w:val="000000"/>
                <w:sz w:val="20"/>
                <w:szCs w:val="20"/>
                <w:u w:val="single"/>
                <w:lang w:eastAsia="en-AU"/>
              </w:rPr>
              <w:t>HcY</w:t>
            </w:r>
            <w:proofErr w:type="spellEnd"/>
            <w:r w:rsidRPr="00B54A75">
              <w:rPr>
                <w:rFonts w:ascii="Calibri" w:eastAsia="Times New Roman" w:hAnsi="Calibri" w:cs="Calibri"/>
                <w:color w:val="000000"/>
                <w:sz w:val="20"/>
                <w:szCs w:val="20"/>
                <w:lang w:eastAsia="en-AU"/>
              </w:rPr>
              <w:t xml:space="preserve"> was associated with:</w:t>
            </w:r>
            <w:r w:rsidRPr="00B54A75">
              <w:rPr>
                <w:rFonts w:ascii="Calibri" w:eastAsia="Times New Roman" w:hAnsi="Calibri" w:cs="Calibri"/>
                <w:color w:val="000000"/>
                <w:sz w:val="20"/>
                <w:szCs w:val="20"/>
                <w:u w:val="single"/>
                <w:lang w:eastAsia="en-AU"/>
              </w:rPr>
              <w:br/>
            </w:r>
            <w:r w:rsidRPr="00B54A75">
              <w:rPr>
                <w:rFonts w:ascii="Calibri" w:eastAsia="Times New Roman" w:hAnsi="Calibri" w:cs="Calibri"/>
                <w:color w:val="000000"/>
                <w:sz w:val="20"/>
                <w:szCs w:val="20"/>
                <w:lang w:eastAsia="en-AU"/>
              </w:rPr>
              <w:t xml:space="preserve">           ↓ </w:t>
            </w:r>
            <w:proofErr w:type="spellStart"/>
            <w:r w:rsidRPr="00B54A75">
              <w:rPr>
                <w:rFonts w:ascii="Calibri" w:eastAsia="Times New Roman" w:hAnsi="Calibri" w:cs="Calibri"/>
                <w:color w:val="000000"/>
                <w:sz w:val="20"/>
                <w:szCs w:val="20"/>
                <w:lang w:eastAsia="en-AU"/>
              </w:rPr>
              <w:t>TCv</w:t>
            </w:r>
            <w:proofErr w:type="spellEnd"/>
            <w:r w:rsidRPr="00B54A75">
              <w:rPr>
                <w:rFonts w:ascii="Calibri" w:eastAsia="Times New Roman" w:hAnsi="Calibri" w:cs="Calibri"/>
                <w:color w:val="000000"/>
                <w:sz w:val="20"/>
                <w:szCs w:val="20"/>
                <w:lang w:eastAsia="en-AU"/>
              </w:rPr>
              <w:t xml:space="preserve">           </w:t>
            </w:r>
            <w:r w:rsidRPr="00B54A75">
              <w:rPr>
                <w:rFonts w:ascii="Calibri" w:eastAsia="Times New Roman" w:hAnsi="Calibri" w:cs="Calibri"/>
                <w:color w:val="000000"/>
                <w:sz w:val="20"/>
                <w:szCs w:val="20"/>
                <w:lang w:eastAsia="en-AU"/>
              </w:rPr>
              <w:br/>
              <w:t xml:space="preserve">           ↑ </w:t>
            </w:r>
            <w:proofErr w:type="spellStart"/>
            <w:r w:rsidRPr="00B54A75">
              <w:rPr>
                <w:rFonts w:ascii="Calibri" w:eastAsia="Times New Roman" w:hAnsi="Calibri" w:cs="Calibri"/>
                <w:color w:val="000000"/>
                <w:sz w:val="20"/>
                <w:szCs w:val="20"/>
                <w:lang w:eastAsia="en-AU"/>
              </w:rPr>
              <w:t>WMHv</w:t>
            </w:r>
            <w:proofErr w:type="spellEnd"/>
            <w:r w:rsidRPr="00B54A75">
              <w:rPr>
                <w:rFonts w:ascii="Calibri" w:eastAsia="Times New Roman" w:hAnsi="Calibri" w:cs="Calibri"/>
                <w:color w:val="000000"/>
                <w:sz w:val="20"/>
                <w:szCs w:val="20"/>
                <w:lang w:eastAsia="en-AU"/>
              </w:rPr>
              <w:br/>
            </w:r>
            <w:r w:rsidRPr="00B54A75">
              <w:rPr>
                <w:rFonts w:ascii="Calibri" w:eastAsia="Times New Roman" w:hAnsi="Calibri" w:cs="Calibri"/>
                <w:color w:val="000000"/>
                <w:sz w:val="20"/>
                <w:szCs w:val="20"/>
                <w:u w:val="single"/>
                <w:lang w:eastAsia="en-AU"/>
              </w:rPr>
              <w:t>↑ MMA</w:t>
            </w:r>
            <w:r w:rsidRPr="00B54A75">
              <w:rPr>
                <w:rFonts w:ascii="Calibri" w:eastAsia="Times New Roman" w:hAnsi="Calibri" w:cs="Calibri"/>
                <w:color w:val="000000"/>
                <w:sz w:val="20"/>
                <w:szCs w:val="20"/>
                <w:lang w:eastAsia="en-AU"/>
              </w:rPr>
              <w:t xml:space="preserve"> was associated with:</w:t>
            </w:r>
            <w:r w:rsidRPr="00B54A75">
              <w:rPr>
                <w:rFonts w:ascii="Calibri" w:eastAsia="Times New Roman" w:hAnsi="Calibri" w:cs="Calibri"/>
                <w:color w:val="000000"/>
                <w:sz w:val="20"/>
                <w:szCs w:val="20"/>
                <w:lang w:eastAsia="en-AU"/>
              </w:rPr>
              <w:br/>
              <w:t xml:space="preserve">           ↓ </w:t>
            </w:r>
            <w:proofErr w:type="spellStart"/>
            <w:r w:rsidRPr="00B54A75">
              <w:rPr>
                <w:rFonts w:ascii="Calibri" w:eastAsia="Times New Roman" w:hAnsi="Calibri" w:cs="Calibri"/>
                <w:color w:val="000000"/>
                <w:sz w:val="20"/>
                <w:szCs w:val="20"/>
                <w:lang w:eastAsia="en-AU"/>
              </w:rPr>
              <w:t>TCv</w:t>
            </w:r>
            <w:proofErr w:type="spellEnd"/>
            <w:r w:rsidRPr="00B54A75">
              <w:rPr>
                <w:rFonts w:ascii="Calibri" w:eastAsia="Times New Roman" w:hAnsi="Calibri" w:cs="Calibri"/>
                <w:color w:val="000000"/>
                <w:sz w:val="20"/>
                <w:szCs w:val="20"/>
                <w:lang w:eastAsia="en-AU"/>
              </w:rPr>
              <w:br/>
              <w:t xml:space="preserve">All associations remained significant following adjustment for dementia diagnosis </w:t>
            </w:r>
          </w:p>
        </w:tc>
      </w:tr>
      <w:tr w:rsidR="009321E8" w:rsidRPr="00B54A75" w:rsidTr="00B54A75">
        <w:trPr>
          <w:trHeight w:val="2482"/>
        </w:trPr>
        <w:tc>
          <w:tcPr>
            <w:tcW w:w="1840" w:type="dxa"/>
            <w:tcBorders>
              <w:top w:val="nil"/>
              <w:left w:val="nil"/>
              <w:bottom w:val="nil"/>
              <w:right w:val="nil"/>
            </w:tcBorders>
            <w:shd w:val="clear" w:color="auto" w:fill="auto"/>
            <w:vAlign w:val="bottom"/>
            <w:hideMark/>
          </w:tcPr>
          <w:p w:rsidR="00112011" w:rsidRPr="00B54A75" w:rsidRDefault="00A85A6A" w:rsidP="009321E8">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lastRenderedPageBreak/>
              <w:t>Firbank et al.</w:t>
            </w:r>
            <w:r w:rsidR="003114CA" w:rsidRPr="00B54A75">
              <w:rPr>
                <w:rFonts w:ascii="Calibri" w:eastAsia="Times New Roman" w:hAnsi="Calibri" w:cs="Calibri"/>
                <w:color w:val="000000"/>
                <w:sz w:val="20"/>
                <w:szCs w:val="20"/>
                <w:lang w:eastAsia="en-AU"/>
              </w:rPr>
              <w:fldChar w:fldCharType="begin" w:fldLock="1"/>
            </w:r>
            <w:r w:rsidR="00C73D5C">
              <w:rPr>
                <w:rFonts w:ascii="Calibri" w:eastAsia="Times New Roman" w:hAnsi="Calibri" w:cs="Calibri"/>
                <w:color w:val="000000"/>
                <w:sz w:val="20"/>
                <w:szCs w:val="20"/>
                <w:lang w:eastAsia="en-AU"/>
              </w:rPr>
              <w:instrText>ADDIN CSL_CITATION { "citationItems" : [ { "id" : "ITEM-1", "itemData" : { "DOI" : "10.1017/S1041610210000499", "ISSN" : "1741-203X", "PMID" : "20374668", "abstract" : "BACKGROUND: Plasma homocysteine has been associated with reduced brain volumes in cross-sectional studies. We aimed to investigate if homocysteine is associated with ongoing atrophy, and if so, if this is localized to gray or white matter. METHODS: In a group of 80 hypertensive subjects aged 70-90 years (from the SCOPE study) MRI images were obtained at two time points two years apart. Rates of gray and white matter and hippocampal atrophy were determined by calculating the difference in segmentation probability maps using SPM5. Plasma homocysteine, folate, B12 and creatinine were measured at study end. RESULTS: Homocysteine levels correlated with white matter atrophy rate (p = 0.006) hippocampal baseline volume (p = 0.011) and hippocampal atrophy rate (p = 0.004) but not global gray matter atrophy or baseline gray or white matter volumes. The correlations remained significant (p &lt; 0.05) after controlling for subject age, blood pressure, folate levels and white matter lesion volume. CONCLUSION: In older hypertensives, plasma homocysteine levels are associated with increased rates of progressive white matter and hippocampal atrophy.", "author" : [ { "dropping-particle" : "", "family" : "Firbank", "given" : "Michael J", "non-dropping-particle" : "", "parse-names" : false, "suffix" : "" }, { "dropping-particle" : "", "family" : "Narayan", "given" : "Sunil K", "non-dropping-particle" : "", "parse-names" : false, "suffix" : "" }, { "dropping-particle" : "", "family" : "Saxby", "given" : "Brian K", "non-dropping-particle" : "", "parse-names" : false, "suffix" : "" }, { "dropping-particle" : "", "family" : "Ford", "given" : "Gary a", "non-dropping-particle" : "", "parse-names" : false, "suffix" : "" }, { "dropping-particle" : "", "family" : "O'Brien", "given" : "John T", "non-dropping-particle" : "", "parse-names" : false, "suffix" : "" } ], "container-title" : "International Psychogeriatrics", "id" : "ITEM-1", "issued" : { "date-parts" : [ [ "2010", "8" ] ] }, "page" : "804-811", "title" : "Homocysteine is associated with hippocampal and white matter atrophy in older subjects with mild hypertension.", "type" : "article-journal", "volume" : "22" }, "uris" : [ "http://www.mendeley.com/documents/?uuid=fb7c82fb-7163-4b92-bfc2-5721d7ec0404" ] } ], "mendeley" : { "formattedCitation" : "&lt;sup&gt;(12)&lt;/sup&gt;", "plainTextFormattedCitation" : "(12)", "previouslyFormattedCitation" : "&lt;sup&gt;(12)&lt;/sup&gt;" }, "properties" : { "noteIndex" : 0 }, "schema" : "https://github.com/citation-style-language/schema/raw/master/csl-citation.json" }</w:instrText>
            </w:r>
            <w:r w:rsidR="003114CA" w:rsidRPr="00B54A75">
              <w:rPr>
                <w:rFonts w:ascii="Calibri" w:eastAsia="Times New Roman" w:hAnsi="Calibri" w:cs="Calibri"/>
                <w:color w:val="000000"/>
                <w:sz w:val="20"/>
                <w:szCs w:val="20"/>
                <w:lang w:eastAsia="en-AU"/>
              </w:rPr>
              <w:fldChar w:fldCharType="separate"/>
            </w:r>
            <w:r w:rsidR="00B54A75" w:rsidRPr="00B54A75">
              <w:rPr>
                <w:rFonts w:ascii="Calibri" w:eastAsia="Times New Roman" w:hAnsi="Calibri" w:cs="Calibri"/>
                <w:noProof/>
                <w:color w:val="000000"/>
                <w:sz w:val="20"/>
                <w:szCs w:val="20"/>
                <w:vertAlign w:val="superscript"/>
                <w:lang w:eastAsia="en-AU"/>
              </w:rPr>
              <w:t>(12)</w:t>
            </w:r>
            <w:r w:rsidR="003114CA" w:rsidRPr="00B54A75">
              <w:rPr>
                <w:rFonts w:ascii="Calibri" w:eastAsia="Times New Roman" w:hAnsi="Calibri" w:cs="Calibri"/>
                <w:color w:val="000000"/>
                <w:sz w:val="20"/>
                <w:szCs w:val="20"/>
                <w:lang w:eastAsia="en-AU"/>
              </w:rPr>
              <w:fldChar w:fldCharType="end"/>
            </w:r>
          </w:p>
        </w:tc>
        <w:tc>
          <w:tcPr>
            <w:tcW w:w="1049" w:type="dxa"/>
            <w:tcBorders>
              <w:top w:val="nil"/>
              <w:left w:val="nil"/>
              <w:bottom w:val="nil"/>
              <w:right w:val="nil"/>
            </w:tcBorders>
            <w:shd w:val="clear" w:color="auto" w:fill="auto"/>
            <w:vAlign w:val="bottom"/>
            <w:hideMark/>
          </w:tcPr>
          <w:p w:rsidR="00112011" w:rsidRPr="00B54A75" w:rsidRDefault="00AC73C6"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VIT-</w:t>
            </w:r>
            <w:r w:rsidR="00112011" w:rsidRPr="00B54A75">
              <w:rPr>
                <w:rFonts w:ascii="Calibri" w:eastAsia="Times New Roman" w:hAnsi="Calibri" w:cs="Calibri"/>
                <w:color w:val="000000"/>
                <w:sz w:val="20"/>
                <w:szCs w:val="20"/>
                <w:lang w:eastAsia="en-AU"/>
              </w:rPr>
              <w:t>B</w:t>
            </w:r>
            <w:r w:rsidR="00112011" w:rsidRPr="00B54A75">
              <w:rPr>
                <w:rFonts w:ascii="Calibri" w:eastAsia="Times New Roman" w:hAnsi="Calibri" w:cs="Calibri"/>
                <w:color w:val="000000"/>
                <w:sz w:val="20"/>
                <w:szCs w:val="20"/>
                <w:vertAlign w:val="subscript"/>
                <w:lang w:eastAsia="en-AU"/>
              </w:rPr>
              <w:t>12</w:t>
            </w:r>
            <w:r w:rsidR="00E53F88" w:rsidRPr="00B54A75">
              <w:rPr>
                <w:rFonts w:ascii="Calibri" w:eastAsia="Times New Roman" w:hAnsi="Calibri" w:cs="Calibri"/>
                <w:color w:val="000000"/>
                <w:sz w:val="20"/>
                <w:szCs w:val="20"/>
                <w:lang w:eastAsia="en-AU"/>
              </w:rPr>
              <w:t>, Folate,</w:t>
            </w:r>
            <w:r w:rsidR="00112011" w:rsidRPr="00B54A75">
              <w:rPr>
                <w:rFonts w:ascii="Calibri" w:eastAsia="Times New Roman" w:hAnsi="Calibri" w:cs="Calibri"/>
                <w:color w:val="000000"/>
                <w:sz w:val="20"/>
                <w:szCs w:val="20"/>
                <w:lang w:eastAsia="en-AU"/>
              </w:rPr>
              <w:t xml:space="preserve"> &amp; </w:t>
            </w:r>
            <w:proofErr w:type="spellStart"/>
            <w:r w:rsidR="00112011" w:rsidRPr="00B54A75">
              <w:rPr>
                <w:rFonts w:ascii="Calibri" w:eastAsia="Times New Roman" w:hAnsi="Calibri" w:cs="Calibri"/>
                <w:color w:val="000000"/>
                <w:sz w:val="20"/>
                <w:szCs w:val="20"/>
                <w:lang w:eastAsia="en-AU"/>
              </w:rPr>
              <w:t>HcY</w:t>
            </w:r>
            <w:proofErr w:type="spellEnd"/>
          </w:p>
        </w:tc>
        <w:tc>
          <w:tcPr>
            <w:tcW w:w="1082" w:type="dxa"/>
            <w:tcBorders>
              <w:top w:val="nil"/>
              <w:left w:val="nil"/>
              <w:bottom w:val="nil"/>
              <w:right w:val="nil"/>
            </w:tcBorders>
            <w:shd w:val="clear" w:color="auto" w:fill="auto"/>
            <w:vAlign w:val="bottom"/>
            <w:hideMark/>
          </w:tcPr>
          <w:p w:rsidR="00112011" w:rsidRPr="00B54A75" w:rsidRDefault="002C1387" w:rsidP="00112011">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H</w:t>
            </w:r>
          </w:p>
        </w:tc>
        <w:tc>
          <w:tcPr>
            <w:tcW w:w="1274"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80</w:t>
            </w:r>
          </w:p>
        </w:tc>
        <w:tc>
          <w:tcPr>
            <w:tcW w:w="1328"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74.0 - 91.0</w:t>
            </w:r>
          </w:p>
        </w:tc>
        <w:tc>
          <w:tcPr>
            <w:tcW w:w="1418"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79.0</w:t>
            </w:r>
          </w:p>
        </w:tc>
        <w:tc>
          <w:tcPr>
            <w:tcW w:w="1417"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3.50</w:t>
            </w:r>
          </w:p>
        </w:tc>
        <w:tc>
          <w:tcPr>
            <w:tcW w:w="5760"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b/>
                <w:bCs/>
                <w:iCs/>
                <w:color w:val="000000"/>
                <w:sz w:val="20"/>
                <w:szCs w:val="20"/>
                <w:lang w:eastAsia="en-AU"/>
              </w:rPr>
              <w:t>Cross sectional (MRI)</w:t>
            </w:r>
            <w:r w:rsidRPr="00B54A75">
              <w:rPr>
                <w:rFonts w:ascii="Calibri" w:eastAsia="Times New Roman" w:hAnsi="Calibri" w:cs="Calibri"/>
                <w:color w:val="000000"/>
                <w:sz w:val="20"/>
                <w:szCs w:val="20"/>
                <w:lang w:eastAsia="en-AU"/>
              </w:rPr>
              <w:br/>
            </w:r>
            <w:r w:rsidRPr="00B54A75">
              <w:rPr>
                <w:rFonts w:ascii="Calibri" w:eastAsia="Times New Roman" w:hAnsi="Calibri" w:cs="Calibri"/>
                <w:color w:val="000000"/>
                <w:sz w:val="20"/>
                <w:szCs w:val="20"/>
                <w:u w:val="single"/>
                <w:lang w:eastAsia="en-AU"/>
              </w:rPr>
              <w:t xml:space="preserve">↑ </w:t>
            </w:r>
            <w:proofErr w:type="spellStart"/>
            <w:proofErr w:type="gramStart"/>
            <w:r w:rsidRPr="00B54A75">
              <w:rPr>
                <w:rFonts w:ascii="Calibri" w:eastAsia="Times New Roman" w:hAnsi="Calibri" w:cs="Calibri"/>
                <w:color w:val="000000"/>
                <w:sz w:val="20"/>
                <w:szCs w:val="20"/>
                <w:u w:val="single"/>
                <w:lang w:eastAsia="en-AU"/>
              </w:rPr>
              <w:t>HcY</w:t>
            </w:r>
            <w:proofErr w:type="spellEnd"/>
            <w:r w:rsidRPr="00B54A75">
              <w:rPr>
                <w:rFonts w:ascii="Calibri" w:eastAsia="Times New Roman" w:hAnsi="Calibri" w:cs="Calibri"/>
                <w:color w:val="000000"/>
                <w:sz w:val="20"/>
                <w:szCs w:val="20"/>
                <w:lang w:eastAsia="en-AU"/>
              </w:rPr>
              <w:t xml:space="preserve">  w</w:t>
            </w:r>
            <w:r w:rsidR="00AC73C6" w:rsidRPr="00B54A75">
              <w:rPr>
                <w:rFonts w:ascii="Calibri" w:eastAsia="Times New Roman" w:hAnsi="Calibri" w:cs="Calibri"/>
                <w:color w:val="000000"/>
                <w:sz w:val="20"/>
                <w:szCs w:val="20"/>
                <w:lang w:eastAsia="en-AU"/>
              </w:rPr>
              <w:t>as</w:t>
            </w:r>
            <w:proofErr w:type="gramEnd"/>
            <w:r w:rsidR="00AC73C6" w:rsidRPr="00B54A75">
              <w:rPr>
                <w:rFonts w:ascii="Calibri" w:eastAsia="Times New Roman" w:hAnsi="Calibri" w:cs="Calibri"/>
                <w:color w:val="000000"/>
                <w:sz w:val="20"/>
                <w:szCs w:val="20"/>
                <w:lang w:eastAsia="en-AU"/>
              </w:rPr>
              <w:t xml:space="preserve"> associated with:</w:t>
            </w:r>
            <w:r w:rsidR="00AC73C6" w:rsidRPr="00B54A75">
              <w:rPr>
                <w:rFonts w:ascii="Calibri" w:eastAsia="Times New Roman" w:hAnsi="Calibri" w:cs="Calibri"/>
                <w:color w:val="000000"/>
                <w:sz w:val="20"/>
                <w:szCs w:val="20"/>
                <w:lang w:eastAsia="en-AU"/>
              </w:rPr>
              <w:br/>
              <w:t xml:space="preserve">       </w:t>
            </w:r>
            <w:r w:rsidRPr="00B54A75">
              <w:rPr>
                <w:rFonts w:ascii="Calibri" w:eastAsia="Times New Roman" w:hAnsi="Calibri" w:cs="Calibri"/>
                <w:color w:val="000000"/>
                <w:sz w:val="20"/>
                <w:szCs w:val="20"/>
                <w:lang w:eastAsia="en-AU"/>
              </w:rPr>
              <w:t xml:space="preserve">↓ </w:t>
            </w:r>
            <w:proofErr w:type="spellStart"/>
            <w:r w:rsidRPr="00B54A75">
              <w:rPr>
                <w:rFonts w:ascii="Calibri" w:eastAsia="Times New Roman" w:hAnsi="Calibri" w:cs="Calibri"/>
                <w:color w:val="000000"/>
                <w:sz w:val="20"/>
                <w:szCs w:val="20"/>
                <w:lang w:eastAsia="en-AU"/>
              </w:rPr>
              <w:t>HCv</w:t>
            </w:r>
            <w:proofErr w:type="spellEnd"/>
            <w:r w:rsidRPr="00B54A75">
              <w:rPr>
                <w:rFonts w:ascii="Calibri" w:eastAsia="Times New Roman" w:hAnsi="Calibri" w:cs="Calibri"/>
                <w:color w:val="000000"/>
                <w:sz w:val="20"/>
                <w:szCs w:val="20"/>
                <w:lang w:eastAsia="en-AU"/>
              </w:rPr>
              <w:br/>
            </w:r>
            <w:r w:rsidRPr="00B54A75">
              <w:rPr>
                <w:rFonts w:ascii="Calibri" w:eastAsia="Times New Roman" w:hAnsi="Calibri" w:cs="Calibri"/>
                <w:color w:val="000000"/>
                <w:sz w:val="20"/>
                <w:szCs w:val="20"/>
                <w:u w:val="single"/>
                <w:lang w:eastAsia="en-AU"/>
              </w:rPr>
              <w:t>VIT-B</w:t>
            </w:r>
            <w:r w:rsidRPr="00B54A75">
              <w:rPr>
                <w:rFonts w:ascii="Calibri" w:eastAsia="Times New Roman" w:hAnsi="Calibri" w:cs="Calibri"/>
                <w:color w:val="000000"/>
                <w:sz w:val="20"/>
                <w:szCs w:val="20"/>
                <w:u w:val="single"/>
                <w:vertAlign w:val="subscript"/>
                <w:lang w:eastAsia="en-AU"/>
              </w:rPr>
              <w:t>12</w:t>
            </w:r>
            <w:r w:rsidRPr="00B54A75">
              <w:rPr>
                <w:rFonts w:ascii="Calibri" w:eastAsia="Times New Roman" w:hAnsi="Calibri" w:cs="Calibri"/>
                <w:color w:val="000000"/>
                <w:sz w:val="20"/>
                <w:szCs w:val="20"/>
                <w:lang w:eastAsia="en-AU"/>
              </w:rPr>
              <w:t xml:space="preserve"> was not associated with cerebral structure</w:t>
            </w:r>
            <w:r w:rsidRPr="00B54A75">
              <w:rPr>
                <w:rFonts w:ascii="Calibri" w:eastAsia="Times New Roman" w:hAnsi="Calibri" w:cs="Calibri"/>
                <w:color w:val="000000"/>
                <w:sz w:val="20"/>
                <w:szCs w:val="20"/>
                <w:lang w:eastAsia="en-AU"/>
              </w:rPr>
              <w:br/>
            </w:r>
            <w:r w:rsidRPr="00B54A75">
              <w:rPr>
                <w:rFonts w:ascii="Calibri" w:eastAsia="Times New Roman" w:hAnsi="Calibri" w:cs="Calibri"/>
                <w:color w:val="000000"/>
                <w:sz w:val="20"/>
                <w:szCs w:val="20"/>
                <w:lang w:eastAsia="en-AU"/>
              </w:rPr>
              <w:br/>
            </w:r>
            <w:r w:rsidRPr="00B54A75">
              <w:rPr>
                <w:rFonts w:ascii="Calibri" w:eastAsia="Times New Roman" w:hAnsi="Calibri" w:cs="Calibri"/>
                <w:b/>
                <w:bCs/>
                <w:iCs/>
                <w:color w:val="000000"/>
                <w:sz w:val="20"/>
                <w:szCs w:val="20"/>
                <w:lang w:eastAsia="en-AU"/>
              </w:rPr>
              <w:t>Longitudinal (MRI; 2 years)</w:t>
            </w:r>
            <w:r w:rsidRPr="00B54A75">
              <w:rPr>
                <w:rFonts w:ascii="Calibri" w:eastAsia="Times New Roman" w:hAnsi="Calibri" w:cs="Calibri"/>
                <w:color w:val="000000"/>
                <w:sz w:val="20"/>
                <w:szCs w:val="20"/>
                <w:lang w:eastAsia="en-AU"/>
              </w:rPr>
              <w:br/>
            </w:r>
            <w:r w:rsidRPr="00B54A75">
              <w:rPr>
                <w:rFonts w:ascii="Calibri" w:eastAsia="Times New Roman" w:hAnsi="Calibri" w:cs="Calibri"/>
                <w:color w:val="000000"/>
                <w:sz w:val="20"/>
                <w:szCs w:val="20"/>
                <w:u w:val="single"/>
                <w:lang w:eastAsia="en-AU"/>
              </w:rPr>
              <w:t xml:space="preserve">↑ </w:t>
            </w:r>
            <w:proofErr w:type="spellStart"/>
            <w:r w:rsidRPr="00B54A75">
              <w:rPr>
                <w:rFonts w:ascii="Calibri" w:eastAsia="Times New Roman" w:hAnsi="Calibri" w:cs="Calibri"/>
                <w:color w:val="000000"/>
                <w:sz w:val="20"/>
                <w:szCs w:val="20"/>
                <w:u w:val="single"/>
                <w:lang w:eastAsia="en-AU"/>
              </w:rPr>
              <w:t>HcY</w:t>
            </w:r>
            <w:proofErr w:type="spellEnd"/>
            <w:r w:rsidRPr="00B54A75">
              <w:rPr>
                <w:rFonts w:ascii="Calibri" w:eastAsia="Times New Roman" w:hAnsi="Calibri" w:cs="Calibri"/>
                <w:color w:val="000000"/>
                <w:sz w:val="20"/>
                <w:szCs w:val="20"/>
                <w:u w:val="single"/>
                <w:lang w:eastAsia="en-AU"/>
              </w:rPr>
              <w:t xml:space="preserve">  </w:t>
            </w:r>
            <w:r w:rsidRPr="00B54A75">
              <w:rPr>
                <w:rFonts w:ascii="Calibri" w:eastAsia="Times New Roman" w:hAnsi="Calibri" w:cs="Calibri"/>
                <w:color w:val="000000"/>
                <w:sz w:val="20"/>
                <w:szCs w:val="20"/>
                <w:lang w:eastAsia="en-AU"/>
              </w:rPr>
              <w:t>was associate</w:t>
            </w:r>
            <w:r w:rsidR="00AC73C6" w:rsidRPr="00B54A75">
              <w:rPr>
                <w:rFonts w:ascii="Calibri" w:eastAsia="Times New Roman" w:hAnsi="Calibri" w:cs="Calibri"/>
                <w:color w:val="000000"/>
                <w:sz w:val="20"/>
                <w:szCs w:val="20"/>
                <w:lang w:eastAsia="en-AU"/>
              </w:rPr>
              <w:t>d with:</w:t>
            </w:r>
            <w:r w:rsidR="00AC73C6" w:rsidRPr="00B54A75">
              <w:rPr>
                <w:rFonts w:ascii="Calibri" w:eastAsia="Times New Roman" w:hAnsi="Calibri" w:cs="Calibri"/>
                <w:color w:val="000000"/>
                <w:sz w:val="20"/>
                <w:szCs w:val="20"/>
                <w:lang w:eastAsia="en-AU"/>
              </w:rPr>
              <w:br/>
              <w:t xml:space="preserve">       </w:t>
            </w:r>
            <w:r w:rsidRPr="00B54A75">
              <w:rPr>
                <w:rFonts w:ascii="Calibri" w:eastAsia="Times New Roman" w:hAnsi="Calibri" w:cs="Calibri"/>
                <w:color w:val="000000"/>
                <w:sz w:val="20"/>
                <w:szCs w:val="20"/>
                <w:lang w:eastAsia="en-AU"/>
              </w:rPr>
              <w:t xml:space="preserve">↑ </w:t>
            </w:r>
            <w:proofErr w:type="spellStart"/>
            <w:r w:rsidR="00A93878" w:rsidRPr="00B54A75">
              <w:rPr>
                <w:rFonts w:ascii="Calibri" w:eastAsia="Times New Roman" w:hAnsi="Calibri" w:cs="Calibri"/>
                <w:color w:val="000000"/>
                <w:sz w:val="20"/>
                <w:szCs w:val="20"/>
                <w:lang w:eastAsia="en-AU"/>
              </w:rPr>
              <w:t>WMar</w:t>
            </w:r>
            <w:proofErr w:type="spellEnd"/>
            <w:r w:rsidR="00AC73C6" w:rsidRPr="00B54A75">
              <w:rPr>
                <w:rFonts w:ascii="Calibri" w:eastAsia="Times New Roman" w:hAnsi="Calibri" w:cs="Calibri"/>
                <w:color w:val="000000"/>
                <w:sz w:val="20"/>
                <w:szCs w:val="20"/>
                <w:lang w:eastAsia="en-AU"/>
              </w:rPr>
              <w:br/>
              <w:t xml:space="preserve">       </w:t>
            </w:r>
            <w:r w:rsidRPr="00B54A75">
              <w:rPr>
                <w:rFonts w:ascii="Calibri" w:eastAsia="Times New Roman" w:hAnsi="Calibri" w:cs="Calibri"/>
                <w:color w:val="000000"/>
                <w:sz w:val="20"/>
                <w:szCs w:val="20"/>
                <w:lang w:eastAsia="en-AU"/>
              </w:rPr>
              <w:t>↑</w:t>
            </w:r>
            <w:r w:rsidR="00A93878" w:rsidRPr="00B54A75">
              <w:rPr>
                <w:rFonts w:ascii="Calibri" w:eastAsia="Times New Roman" w:hAnsi="Calibri" w:cs="Calibri"/>
                <w:color w:val="000000"/>
                <w:sz w:val="20"/>
                <w:szCs w:val="20"/>
                <w:lang w:eastAsia="en-AU"/>
              </w:rPr>
              <w:t xml:space="preserve"> </w:t>
            </w:r>
            <w:proofErr w:type="spellStart"/>
            <w:r w:rsidR="00A93878" w:rsidRPr="00B54A75">
              <w:rPr>
                <w:rFonts w:ascii="Calibri" w:eastAsia="Times New Roman" w:hAnsi="Calibri" w:cs="Calibri"/>
                <w:color w:val="000000"/>
                <w:sz w:val="20"/>
                <w:szCs w:val="20"/>
                <w:lang w:eastAsia="en-AU"/>
              </w:rPr>
              <w:t>HCar</w:t>
            </w:r>
            <w:proofErr w:type="spellEnd"/>
            <w:r w:rsidRPr="00B54A75">
              <w:rPr>
                <w:rFonts w:ascii="Calibri" w:eastAsia="Times New Roman" w:hAnsi="Calibri" w:cs="Calibri"/>
                <w:color w:val="000000"/>
                <w:sz w:val="20"/>
                <w:szCs w:val="20"/>
                <w:lang w:eastAsia="en-AU"/>
              </w:rPr>
              <w:br/>
            </w:r>
            <w:r w:rsidRPr="00B54A75">
              <w:rPr>
                <w:rFonts w:ascii="Calibri" w:eastAsia="Times New Roman" w:hAnsi="Calibri" w:cs="Calibri"/>
                <w:color w:val="000000"/>
                <w:sz w:val="20"/>
                <w:szCs w:val="20"/>
                <w:u w:val="single"/>
                <w:lang w:eastAsia="en-AU"/>
              </w:rPr>
              <w:t>VIT-B</w:t>
            </w:r>
            <w:r w:rsidRPr="00B54A75">
              <w:rPr>
                <w:rFonts w:ascii="Calibri" w:eastAsia="Times New Roman" w:hAnsi="Calibri" w:cs="Calibri"/>
                <w:color w:val="000000"/>
                <w:sz w:val="20"/>
                <w:szCs w:val="20"/>
                <w:u w:val="single"/>
                <w:vertAlign w:val="subscript"/>
                <w:lang w:eastAsia="en-AU"/>
              </w:rPr>
              <w:t>12</w:t>
            </w:r>
            <w:r w:rsidRPr="00B54A75">
              <w:rPr>
                <w:rFonts w:ascii="Calibri" w:eastAsia="Times New Roman" w:hAnsi="Calibri" w:cs="Calibri"/>
                <w:color w:val="000000"/>
                <w:sz w:val="20"/>
                <w:szCs w:val="20"/>
                <w:lang w:eastAsia="en-AU"/>
              </w:rPr>
              <w:t xml:space="preserve"> or </w:t>
            </w:r>
            <w:r w:rsidRPr="00B54A75">
              <w:rPr>
                <w:rFonts w:ascii="Calibri" w:eastAsia="Times New Roman" w:hAnsi="Calibri" w:cs="Calibri"/>
                <w:color w:val="000000"/>
                <w:sz w:val="20"/>
                <w:szCs w:val="20"/>
                <w:u w:val="single"/>
                <w:lang w:eastAsia="en-AU"/>
              </w:rPr>
              <w:t>folate</w:t>
            </w:r>
            <w:r w:rsidRPr="00B54A75">
              <w:rPr>
                <w:rFonts w:ascii="Calibri" w:eastAsia="Times New Roman" w:hAnsi="Calibri" w:cs="Calibri"/>
                <w:color w:val="000000"/>
                <w:sz w:val="20"/>
                <w:szCs w:val="20"/>
                <w:lang w:eastAsia="en-AU"/>
              </w:rPr>
              <w:t xml:space="preserve"> were not associated with cerebral atrophy</w:t>
            </w:r>
          </w:p>
        </w:tc>
      </w:tr>
      <w:tr w:rsidR="008251F9" w:rsidRPr="00B54A75" w:rsidTr="00222F25">
        <w:trPr>
          <w:trHeight w:val="840"/>
        </w:trPr>
        <w:tc>
          <w:tcPr>
            <w:tcW w:w="1840" w:type="dxa"/>
            <w:tcBorders>
              <w:top w:val="nil"/>
              <w:left w:val="nil"/>
              <w:bottom w:val="nil"/>
              <w:right w:val="nil"/>
            </w:tcBorders>
            <w:shd w:val="clear" w:color="000000" w:fill="D9D9D9"/>
            <w:vAlign w:val="bottom"/>
            <w:hideMark/>
          </w:tcPr>
          <w:p w:rsidR="00112011" w:rsidRPr="00B54A75" w:rsidRDefault="00A85A6A"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Chee et al.</w:t>
            </w:r>
            <w:r w:rsidR="003114CA" w:rsidRPr="00B54A75">
              <w:rPr>
                <w:rFonts w:ascii="Calibri" w:eastAsia="Times New Roman" w:hAnsi="Calibri" w:cs="Calibri"/>
                <w:color w:val="000000"/>
                <w:sz w:val="20"/>
                <w:szCs w:val="20"/>
                <w:lang w:eastAsia="en-AU"/>
              </w:rPr>
              <w:fldChar w:fldCharType="begin" w:fldLock="1"/>
            </w:r>
            <w:r w:rsidR="00C73D5C">
              <w:rPr>
                <w:rFonts w:ascii="Calibri" w:eastAsia="Times New Roman" w:hAnsi="Calibri" w:cs="Calibri"/>
                <w:color w:val="000000"/>
                <w:sz w:val="20"/>
                <w:szCs w:val="20"/>
                <w:lang w:eastAsia="en-AU"/>
              </w:rPr>
              <w:instrText>ADDIN CSL_CITATION { "citationItems" : [ { "id" : "ITEM-1", "itemData" : { "DOI" : "10.1016/j.neuroimage.2009.01.036", "ISSN" : "1095-9572", "PMID" : "19457386", "abstract" : "We investigated the effect of age and health variables known to modulate cognitive aging on several measures of cognitive performance and brain volume in a cohort of healthy, non-demented persons of Chinese descent aged between 55 and 86 years. 248 subjects contributed combined neuropsychological, MR imaging, health and socio-demographic information. Speed of processing showed the largest age-related decline. Education and plasma homocysteine levels modulated age-related decline in cognitive performance. Total cerebral volume declined at an annual rate of 0.4%/yr. Gray and white matter volume loss was comparable in magnitude. Regionally, there was relatively greater volume loss in the lateral prefrontal cortex bilaterally, around the primary visual cortex as well as bilateral superior parietal cortices. Speed of processing showed significant positive correlation with gray matter volume in several frontal, parietal and midline occipital regions bilaterally. In spite of differences in diet, lifestyle and culture, these findings are broadly comparable to studies conducted in Caucasian populations and suggest generalizability of processes involved in age-related decline in cognition and brain volume.", "author" : [ { "dropping-particle" : "", "family" : "Chee", "given" : "Michael W L", "non-dropping-particle" : "", "parse-names" : false, "suffix" : "" }, { "dropping-particle" : "", "family" : "Chen", "given" : "Karren H M", "non-dropping-particle" : "", "parse-names" : false, "suffix" : "" }, { "dropping-particle" : "", "family" : "Zheng", "given" : "Hui", "non-dropping-particle" : "", "parse-names" : false, "suffix" : "" }, { "dropping-particle" : "", "family" : "Chan", "given" : "Karen P L", "non-dropping-particle" : "", "parse-names" : false, "suffix" : "" }, { "dropping-particle" : "", "family" : "Isaac", "given" : "Vivian", "non-dropping-particle" : "", "parse-names" : false, "suffix" : "" }, { "dropping-particle" : "", "family" : "Sim", "given" : "Sam K Y", "non-dropping-particle" : "", "parse-names" : false, "suffix" : "" }, { "dropping-particle" : "", "family" : "Chuah", "given" : "Lisa Y M", "non-dropping-particle" : "", "parse-names" : false, "suffix" : "" }, { "dropping-particle" : "", "family" : "Schuchinsky", "given" : "Maria", "non-dropping-particle" : "", "parse-names" : false, "suffix" : "" }, { "dropping-particle" : "", "family" : "Fischl", "given" : "Bruce", "non-dropping-particle" : "", "parse-names" : false, "suffix" : "" }, { "dropping-particle" : "", "family" : "Ng", "given" : "Tze Pin", "non-dropping-particle" : "", "parse-names" : false, "suffix" : "" } ], "container-title" : "NeuroImage", "id" : "ITEM-1", "issued" : { "date-parts" : [ [ "2009", "5", "15" ] ] }, "page" : "257-269", "publisher" : "Elsevier Inc.", "title" : "Cognitive function and brain structure correlations in healthy elderly East Asians", "type" : "article-journal", "volume" : "46" }, "uris" : [ "http://www.mendeley.com/documents/?uuid=731b34ef-9502-4837-bcdb-48c05a5fe584" ] } ], "mendeley" : { "formattedCitation" : "&lt;sup&gt;(13)&lt;/sup&gt;", "plainTextFormattedCitation" : "(13)", "previouslyFormattedCitation" : "&lt;sup&gt;(13)&lt;/sup&gt;" }, "properties" : { "noteIndex" : 0 }, "schema" : "https://github.com/citation-style-language/schema/raw/master/csl-citation.json" }</w:instrText>
            </w:r>
            <w:r w:rsidR="003114CA" w:rsidRPr="00B54A75">
              <w:rPr>
                <w:rFonts w:ascii="Calibri" w:eastAsia="Times New Roman" w:hAnsi="Calibri" w:cs="Calibri"/>
                <w:color w:val="000000"/>
                <w:sz w:val="20"/>
                <w:szCs w:val="20"/>
                <w:lang w:eastAsia="en-AU"/>
              </w:rPr>
              <w:fldChar w:fldCharType="separate"/>
            </w:r>
            <w:r w:rsidR="00B54A75" w:rsidRPr="00B54A75">
              <w:rPr>
                <w:rFonts w:ascii="Calibri" w:eastAsia="Times New Roman" w:hAnsi="Calibri" w:cs="Calibri"/>
                <w:noProof/>
                <w:color w:val="000000"/>
                <w:sz w:val="20"/>
                <w:szCs w:val="20"/>
                <w:vertAlign w:val="superscript"/>
                <w:lang w:eastAsia="en-AU"/>
              </w:rPr>
              <w:t>(13)</w:t>
            </w:r>
            <w:r w:rsidR="003114CA" w:rsidRPr="00B54A75">
              <w:rPr>
                <w:rFonts w:ascii="Calibri" w:eastAsia="Times New Roman" w:hAnsi="Calibri" w:cs="Calibri"/>
                <w:color w:val="000000"/>
                <w:sz w:val="20"/>
                <w:szCs w:val="20"/>
                <w:lang w:eastAsia="en-AU"/>
              </w:rPr>
              <w:fldChar w:fldCharType="end"/>
            </w:r>
          </w:p>
        </w:tc>
        <w:tc>
          <w:tcPr>
            <w:tcW w:w="1049"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proofErr w:type="spellStart"/>
            <w:r w:rsidRPr="00B54A75">
              <w:rPr>
                <w:rFonts w:ascii="Calibri" w:eastAsia="Times New Roman" w:hAnsi="Calibri" w:cs="Calibri"/>
                <w:color w:val="000000"/>
                <w:sz w:val="20"/>
                <w:szCs w:val="20"/>
                <w:lang w:eastAsia="en-AU"/>
              </w:rPr>
              <w:t>HcY</w:t>
            </w:r>
            <w:proofErr w:type="spellEnd"/>
          </w:p>
        </w:tc>
        <w:tc>
          <w:tcPr>
            <w:tcW w:w="1082" w:type="dxa"/>
            <w:tcBorders>
              <w:top w:val="nil"/>
              <w:left w:val="nil"/>
              <w:bottom w:val="nil"/>
              <w:right w:val="nil"/>
            </w:tcBorders>
            <w:shd w:val="clear" w:color="000000" w:fill="D9D9D9"/>
            <w:vAlign w:val="bottom"/>
            <w:hideMark/>
          </w:tcPr>
          <w:p w:rsidR="00112011" w:rsidRPr="00B54A75" w:rsidRDefault="002C1387" w:rsidP="002C1387">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H</w:t>
            </w:r>
          </w:p>
        </w:tc>
        <w:tc>
          <w:tcPr>
            <w:tcW w:w="1274"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248</w:t>
            </w:r>
          </w:p>
        </w:tc>
        <w:tc>
          <w:tcPr>
            <w:tcW w:w="1328"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≥55.0</w:t>
            </w:r>
          </w:p>
        </w:tc>
        <w:tc>
          <w:tcPr>
            <w:tcW w:w="1418"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65.80</w:t>
            </w:r>
          </w:p>
        </w:tc>
        <w:tc>
          <w:tcPr>
            <w:tcW w:w="1417"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6.53</w:t>
            </w:r>
          </w:p>
        </w:tc>
        <w:tc>
          <w:tcPr>
            <w:tcW w:w="5760"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b/>
                <w:bCs/>
                <w:iCs/>
                <w:color w:val="000000"/>
                <w:sz w:val="20"/>
                <w:szCs w:val="20"/>
                <w:lang w:eastAsia="en-AU"/>
              </w:rPr>
              <w:t>Cross sectional</w:t>
            </w:r>
            <w:r w:rsidRPr="00B54A75">
              <w:rPr>
                <w:rFonts w:ascii="Calibri" w:eastAsia="Times New Roman" w:hAnsi="Calibri" w:cs="Calibri"/>
                <w:b/>
                <w:bCs/>
                <w:color w:val="000000"/>
                <w:sz w:val="20"/>
                <w:szCs w:val="20"/>
                <w:lang w:eastAsia="en-AU"/>
              </w:rPr>
              <w:t xml:space="preserve"> (MRI)</w:t>
            </w:r>
            <w:r w:rsidRPr="00B54A75">
              <w:rPr>
                <w:rFonts w:ascii="Calibri" w:eastAsia="Times New Roman" w:hAnsi="Calibri" w:cs="Calibri"/>
                <w:color w:val="000000"/>
                <w:sz w:val="20"/>
                <w:szCs w:val="20"/>
                <w:lang w:eastAsia="en-AU"/>
              </w:rPr>
              <w:br/>
            </w:r>
            <w:r w:rsidRPr="00B54A75">
              <w:rPr>
                <w:rFonts w:ascii="Calibri" w:eastAsia="Times New Roman" w:hAnsi="Calibri" w:cs="Calibri"/>
                <w:color w:val="000000"/>
                <w:sz w:val="20"/>
                <w:szCs w:val="20"/>
                <w:u w:val="single"/>
                <w:lang w:eastAsia="en-AU"/>
              </w:rPr>
              <w:t xml:space="preserve">↑ </w:t>
            </w:r>
            <w:proofErr w:type="spellStart"/>
            <w:r w:rsidRPr="00B54A75">
              <w:rPr>
                <w:rFonts w:ascii="Calibri" w:eastAsia="Times New Roman" w:hAnsi="Calibri" w:cs="Calibri"/>
                <w:color w:val="000000"/>
                <w:sz w:val="20"/>
                <w:szCs w:val="20"/>
                <w:u w:val="single"/>
                <w:lang w:eastAsia="en-AU"/>
              </w:rPr>
              <w:t>HcY</w:t>
            </w:r>
            <w:proofErr w:type="spellEnd"/>
            <w:r w:rsidRPr="00B54A75">
              <w:rPr>
                <w:rFonts w:ascii="Calibri" w:eastAsia="Times New Roman" w:hAnsi="Calibri" w:cs="Calibri"/>
                <w:color w:val="000000"/>
                <w:sz w:val="20"/>
                <w:szCs w:val="20"/>
                <w:lang w:eastAsia="en-AU"/>
              </w:rPr>
              <w:t xml:space="preserve"> w</w:t>
            </w:r>
            <w:r w:rsidR="00AC73C6" w:rsidRPr="00B54A75">
              <w:rPr>
                <w:rFonts w:ascii="Calibri" w:eastAsia="Times New Roman" w:hAnsi="Calibri" w:cs="Calibri"/>
                <w:color w:val="000000"/>
                <w:sz w:val="20"/>
                <w:szCs w:val="20"/>
                <w:lang w:eastAsia="en-AU"/>
              </w:rPr>
              <w:t>as associated with:</w:t>
            </w:r>
            <w:r w:rsidR="00AC73C6" w:rsidRPr="00B54A75">
              <w:rPr>
                <w:rFonts w:ascii="Calibri" w:eastAsia="Times New Roman" w:hAnsi="Calibri" w:cs="Calibri"/>
                <w:color w:val="000000"/>
                <w:sz w:val="20"/>
                <w:szCs w:val="20"/>
                <w:lang w:eastAsia="en-AU"/>
              </w:rPr>
              <w:br/>
              <w:t xml:space="preserve">       </w:t>
            </w:r>
            <w:r w:rsidRPr="00B54A75">
              <w:rPr>
                <w:rFonts w:ascii="Calibri" w:eastAsia="Times New Roman" w:hAnsi="Calibri" w:cs="Calibri"/>
                <w:color w:val="000000"/>
                <w:sz w:val="20"/>
                <w:szCs w:val="20"/>
                <w:lang w:eastAsia="en-AU"/>
              </w:rPr>
              <w:t>↓ TC-</w:t>
            </w:r>
            <w:proofErr w:type="spellStart"/>
            <w:r w:rsidRPr="00B54A75">
              <w:rPr>
                <w:rFonts w:ascii="Calibri" w:eastAsia="Times New Roman" w:hAnsi="Calibri" w:cs="Calibri"/>
                <w:color w:val="000000"/>
                <w:sz w:val="20"/>
                <w:szCs w:val="20"/>
                <w:lang w:eastAsia="en-AU"/>
              </w:rPr>
              <w:t>WMv</w:t>
            </w:r>
            <w:proofErr w:type="spellEnd"/>
            <w:r w:rsidRPr="00B54A75">
              <w:rPr>
                <w:rFonts w:ascii="Calibri" w:eastAsia="Times New Roman" w:hAnsi="Calibri" w:cs="Calibri"/>
                <w:color w:val="000000"/>
                <w:sz w:val="20"/>
                <w:szCs w:val="20"/>
                <w:lang w:eastAsia="en-AU"/>
              </w:rPr>
              <w:t xml:space="preserve"> </w:t>
            </w:r>
          </w:p>
        </w:tc>
      </w:tr>
      <w:tr w:rsidR="009321E8" w:rsidRPr="00B54A75" w:rsidTr="00222F25">
        <w:trPr>
          <w:trHeight w:val="1350"/>
        </w:trPr>
        <w:tc>
          <w:tcPr>
            <w:tcW w:w="1840" w:type="dxa"/>
            <w:tcBorders>
              <w:top w:val="nil"/>
              <w:left w:val="nil"/>
              <w:bottom w:val="nil"/>
              <w:right w:val="nil"/>
            </w:tcBorders>
            <w:shd w:val="clear" w:color="auto" w:fill="auto"/>
            <w:vAlign w:val="bottom"/>
            <w:hideMark/>
          </w:tcPr>
          <w:p w:rsidR="00112011" w:rsidRPr="00B54A75" w:rsidRDefault="00A85A6A" w:rsidP="009321E8">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de Lau et al.</w:t>
            </w:r>
            <w:r w:rsidR="003114CA" w:rsidRPr="00B54A75">
              <w:rPr>
                <w:rFonts w:ascii="Calibri" w:eastAsia="Times New Roman" w:hAnsi="Calibri" w:cs="Calibri"/>
                <w:color w:val="000000"/>
                <w:sz w:val="20"/>
                <w:szCs w:val="20"/>
                <w:lang w:eastAsia="en-AU"/>
              </w:rPr>
              <w:fldChar w:fldCharType="begin" w:fldLock="1"/>
            </w:r>
            <w:r w:rsidR="00C73D5C">
              <w:rPr>
                <w:rFonts w:ascii="Calibri" w:eastAsia="Times New Roman" w:hAnsi="Calibri" w:cs="Calibri"/>
                <w:color w:val="000000"/>
                <w:sz w:val="20"/>
                <w:szCs w:val="20"/>
                <w:lang w:eastAsia="en-AU"/>
              </w:rPr>
              <w:instrText>ADDIN CSL_CITATION { "citationItems" : [ { "id" : "ITEM-1", "itemData" : { "DOI" : "10.1136/jnnp.2008.149286", "ISSN" : "1468-330X", "PMID" : "18977824", "abstract" : "BACKGROUND AND OBJECTIVE: Elevated homocysteine has been associated with a higher prevalence of cerebral white-matter lesions and infarcts, and worse cognitive performance. This raises the question whether factors involved in homocysteine metabolism, such as vitamin B(12), are also related to these outcomes. This study examined the association of several markers of vitamin B(12) status with cerebral white-matter lesions, infarcts and cognition. METHODS: The study evaluated the association of plasma concentrations of vitamin B(12), methylmalonic acid, holotranscobalamin and transcobalamin saturation with cerebral white-matter lesions and infarcts at baseline and cognition at baseline and during follow-up among 1019 non-demented elderly participants of the population-based Rotterdam Scan Study. Analyses were adjusted for several potential confounders, including homocysteine and folate concentration. RESULTS: Poorer vitamin B(12) status was significantly associated with greater severity of white-matter lesions, in particular periventricular white-matter lesions, in a concentration-related manner. Adjustment for common vascular risk factors (including blood pressure, smoking, diabetes and intima media thickness) did not alter the associations. Adjustment for homocysteine and folate modestly weakened the associations. No association was observed for any of the studied markers of vitamin B(12) status with presence of brain infarcts and baseline cognition or cognitive decline during follow-up. CONCLUSIONS: These results indicate that vitamin B(12) status in the normal range is associated with severity of white-matter lesions, especially periventricular lesions. Given the absence of an association with cerebral infarcts, it is hypothesised that this association is explained by effects on myelin integrity in the brain rather than through vascular mechanisms.", "author" : [ { "dropping-particle" : "", "family" : "Lau", "given" : "L M L", "non-dropping-particle" : "de", "parse-names" : false, "suffix" : "" }, { "dropping-particle" : "", "family" : "Smith", "given" : "A D", "non-dropping-particle" : "", "parse-names" : false, "suffix" : "" }, { "dropping-particle" : "", "family" : "Refsum", "given" : "H", "non-dropping-particle" : "", "parse-names" : false, "suffix" : "" }, { "dropping-particle" : "", "family" : "Johnston", "given" : "C", "non-dropping-particle" : "", "parse-names" : false, "suffix" : "" }, { "dropping-particle" : "", "family" : "Breteler", "given" : "M M B", "non-dropping-particle" : "", "parse-names" : false, "suffix" : "" } ], "container-title" : "Journal of Neurology, Neurosurgery, &amp; Psychiatry", "id" : "ITEM-1", "issued" : { "date-parts" : [ [ "2009", "2" ] ] }, "page" : "149-157", "title" : "Plasma vitamin B12 status and cerebral white-matter lesions", "type" : "article-journal", "volume" : "80" }, "uris" : [ "http://www.mendeley.com/documents/?uuid=cfa08281-9e0e-42be-a930-f1cb7d079ce7" ] } ], "mendeley" : { "formattedCitation" : "&lt;sup&gt;(14)&lt;/sup&gt;", "plainTextFormattedCitation" : "(14)", "previouslyFormattedCitation" : "&lt;sup&gt;(14)&lt;/sup&gt;" }, "properties" : { "noteIndex" : 0 }, "schema" : "https://github.com/citation-style-language/schema/raw/master/csl-citation.json" }</w:instrText>
            </w:r>
            <w:r w:rsidR="003114CA" w:rsidRPr="00B54A75">
              <w:rPr>
                <w:rFonts w:ascii="Calibri" w:eastAsia="Times New Roman" w:hAnsi="Calibri" w:cs="Calibri"/>
                <w:color w:val="000000"/>
                <w:sz w:val="20"/>
                <w:szCs w:val="20"/>
                <w:lang w:eastAsia="en-AU"/>
              </w:rPr>
              <w:fldChar w:fldCharType="separate"/>
            </w:r>
            <w:r w:rsidR="00B54A75" w:rsidRPr="00B54A75">
              <w:rPr>
                <w:rFonts w:ascii="Calibri" w:eastAsia="Times New Roman" w:hAnsi="Calibri" w:cs="Calibri"/>
                <w:noProof/>
                <w:color w:val="000000"/>
                <w:sz w:val="20"/>
                <w:szCs w:val="20"/>
                <w:vertAlign w:val="superscript"/>
                <w:lang w:eastAsia="en-AU"/>
              </w:rPr>
              <w:t>(14)</w:t>
            </w:r>
            <w:r w:rsidR="003114CA" w:rsidRPr="00B54A75">
              <w:rPr>
                <w:rFonts w:ascii="Calibri" w:eastAsia="Times New Roman" w:hAnsi="Calibri" w:cs="Calibri"/>
                <w:color w:val="000000"/>
                <w:sz w:val="20"/>
                <w:szCs w:val="20"/>
                <w:lang w:eastAsia="en-AU"/>
              </w:rPr>
              <w:fldChar w:fldCharType="end"/>
            </w:r>
          </w:p>
        </w:tc>
        <w:tc>
          <w:tcPr>
            <w:tcW w:w="1049"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VIT-B</w:t>
            </w:r>
            <w:r w:rsidRPr="00B54A75">
              <w:rPr>
                <w:rFonts w:ascii="Calibri" w:eastAsia="Times New Roman" w:hAnsi="Calibri" w:cs="Calibri"/>
                <w:color w:val="000000"/>
                <w:sz w:val="20"/>
                <w:szCs w:val="20"/>
                <w:vertAlign w:val="subscript"/>
                <w:lang w:eastAsia="en-AU"/>
              </w:rPr>
              <w:t>12</w:t>
            </w:r>
            <w:r w:rsidRPr="00B54A75">
              <w:rPr>
                <w:rFonts w:ascii="Calibri" w:eastAsia="Times New Roman" w:hAnsi="Calibri" w:cs="Calibri"/>
                <w:color w:val="000000"/>
                <w:sz w:val="20"/>
                <w:szCs w:val="20"/>
                <w:lang w:eastAsia="en-AU"/>
              </w:rPr>
              <w:t xml:space="preserve">, </w:t>
            </w:r>
            <w:proofErr w:type="spellStart"/>
            <w:r w:rsidRPr="00B54A75">
              <w:rPr>
                <w:rFonts w:ascii="Calibri" w:eastAsia="Times New Roman" w:hAnsi="Calibri" w:cs="Calibri"/>
                <w:color w:val="000000"/>
                <w:sz w:val="20"/>
                <w:szCs w:val="20"/>
                <w:lang w:eastAsia="en-AU"/>
              </w:rPr>
              <w:t>HoloTC</w:t>
            </w:r>
            <w:proofErr w:type="spellEnd"/>
            <w:r w:rsidRPr="00B54A75">
              <w:rPr>
                <w:rFonts w:ascii="Calibri" w:eastAsia="Times New Roman" w:hAnsi="Calibri" w:cs="Calibri"/>
                <w:color w:val="000000"/>
                <w:sz w:val="20"/>
                <w:szCs w:val="20"/>
                <w:lang w:eastAsia="en-AU"/>
              </w:rPr>
              <w:t>, TC</w:t>
            </w:r>
            <w:r w:rsidR="00083999" w:rsidRPr="00B54A75">
              <w:rPr>
                <w:rFonts w:ascii="Calibri" w:eastAsia="Times New Roman" w:hAnsi="Calibri" w:cs="Calibri"/>
                <w:color w:val="000000"/>
                <w:sz w:val="20"/>
                <w:szCs w:val="20"/>
                <w:lang w:eastAsia="en-AU"/>
              </w:rPr>
              <w:t>s</w:t>
            </w:r>
            <w:r w:rsidRPr="00B54A75">
              <w:rPr>
                <w:rFonts w:ascii="Calibri" w:eastAsia="Times New Roman" w:hAnsi="Calibri" w:cs="Calibri"/>
                <w:color w:val="000000"/>
                <w:sz w:val="20"/>
                <w:szCs w:val="20"/>
                <w:lang w:eastAsia="en-AU"/>
              </w:rPr>
              <w:t xml:space="preserve"> &amp; MMA</w:t>
            </w:r>
          </w:p>
        </w:tc>
        <w:tc>
          <w:tcPr>
            <w:tcW w:w="1082"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DF</w:t>
            </w:r>
          </w:p>
        </w:tc>
        <w:tc>
          <w:tcPr>
            <w:tcW w:w="1274"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1,019</w:t>
            </w:r>
          </w:p>
        </w:tc>
        <w:tc>
          <w:tcPr>
            <w:tcW w:w="1328"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60.0 - 90.0</w:t>
            </w:r>
          </w:p>
        </w:tc>
        <w:tc>
          <w:tcPr>
            <w:tcW w:w="1418"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72.20</w:t>
            </w:r>
          </w:p>
        </w:tc>
        <w:tc>
          <w:tcPr>
            <w:tcW w:w="1417"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7.40</w:t>
            </w:r>
          </w:p>
        </w:tc>
        <w:tc>
          <w:tcPr>
            <w:tcW w:w="5760" w:type="dxa"/>
            <w:tcBorders>
              <w:top w:val="nil"/>
              <w:left w:val="nil"/>
              <w:bottom w:val="nil"/>
              <w:right w:val="nil"/>
            </w:tcBorders>
            <w:shd w:val="clear" w:color="auto" w:fill="auto"/>
            <w:vAlign w:val="bottom"/>
            <w:hideMark/>
          </w:tcPr>
          <w:p w:rsidR="00112011" w:rsidRPr="00B54A75" w:rsidRDefault="00112011" w:rsidP="00083999">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b/>
                <w:bCs/>
                <w:iCs/>
                <w:color w:val="000000"/>
                <w:sz w:val="20"/>
                <w:szCs w:val="20"/>
                <w:lang w:eastAsia="en-AU"/>
              </w:rPr>
              <w:t>Cross sectional</w:t>
            </w:r>
            <w:r w:rsidRPr="00B54A75">
              <w:rPr>
                <w:rFonts w:ascii="Calibri" w:eastAsia="Times New Roman" w:hAnsi="Calibri" w:cs="Calibri"/>
                <w:b/>
                <w:bCs/>
                <w:color w:val="000000"/>
                <w:sz w:val="20"/>
                <w:szCs w:val="20"/>
                <w:lang w:eastAsia="en-AU"/>
              </w:rPr>
              <w:t xml:space="preserve"> (MRI)</w:t>
            </w:r>
            <w:r w:rsidRPr="00B54A75">
              <w:rPr>
                <w:rFonts w:ascii="Calibri" w:eastAsia="Times New Roman" w:hAnsi="Calibri" w:cs="Calibri"/>
                <w:color w:val="000000"/>
                <w:sz w:val="20"/>
                <w:szCs w:val="20"/>
                <w:lang w:eastAsia="en-AU"/>
              </w:rPr>
              <w:br/>
            </w:r>
            <w:r w:rsidRPr="00B54A75">
              <w:rPr>
                <w:rFonts w:ascii="Calibri" w:eastAsia="Times New Roman" w:hAnsi="Calibri" w:cs="Calibri"/>
                <w:color w:val="000000"/>
                <w:sz w:val="20"/>
                <w:szCs w:val="20"/>
                <w:u w:val="single"/>
                <w:lang w:eastAsia="en-AU"/>
              </w:rPr>
              <w:t>↓ VIT-B</w:t>
            </w:r>
            <w:r w:rsidRPr="00B54A75">
              <w:rPr>
                <w:rFonts w:ascii="Calibri" w:eastAsia="Times New Roman" w:hAnsi="Calibri" w:cs="Calibri"/>
                <w:color w:val="000000"/>
                <w:sz w:val="20"/>
                <w:szCs w:val="20"/>
                <w:u w:val="single"/>
                <w:vertAlign w:val="subscript"/>
                <w:lang w:eastAsia="en-AU"/>
              </w:rPr>
              <w:t>12</w:t>
            </w:r>
            <w:r w:rsidRPr="00B54A75">
              <w:rPr>
                <w:rFonts w:ascii="Calibri" w:eastAsia="Times New Roman" w:hAnsi="Calibri" w:cs="Calibri"/>
                <w:color w:val="000000"/>
                <w:sz w:val="20"/>
                <w:szCs w:val="20"/>
                <w:lang w:eastAsia="en-AU"/>
              </w:rPr>
              <w:t xml:space="preserve"> &amp; </w:t>
            </w:r>
            <w:r w:rsidRPr="00B54A75">
              <w:rPr>
                <w:rFonts w:ascii="Calibri" w:eastAsia="Times New Roman" w:hAnsi="Calibri" w:cs="Calibri"/>
                <w:color w:val="000000"/>
                <w:sz w:val="20"/>
                <w:szCs w:val="20"/>
                <w:u w:val="single"/>
                <w:lang w:eastAsia="en-AU"/>
              </w:rPr>
              <w:t>↑ MMA</w:t>
            </w:r>
            <w:r w:rsidRPr="00B54A75">
              <w:rPr>
                <w:rFonts w:ascii="Calibri" w:eastAsia="Times New Roman" w:hAnsi="Calibri" w:cs="Calibri"/>
                <w:color w:val="000000"/>
                <w:sz w:val="20"/>
                <w:szCs w:val="20"/>
                <w:lang w:eastAsia="en-AU"/>
              </w:rPr>
              <w:t xml:space="preserve"> w</w:t>
            </w:r>
            <w:r w:rsidR="00AC73C6" w:rsidRPr="00B54A75">
              <w:rPr>
                <w:rFonts w:ascii="Calibri" w:eastAsia="Times New Roman" w:hAnsi="Calibri" w:cs="Calibri"/>
                <w:color w:val="000000"/>
                <w:sz w:val="20"/>
                <w:szCs w:val="20"/>
                <w:lang w:eastAsia="en-AU"/>
              </w:rPr>
              <w:t>as associated with:</w:t>
            </w:r>
            <w:r w:rsidR="00AC73C6" w:rsidRPr="00B54A75">
              <w:rPr>
                <w:rFonts w:ascii="Calibri" w:eastAsia="Times New Roman" w:hAnsi="Calibri" w:cs="Calibri"/>
                <w:color w:val="000000"/>
                <w:sz w:val="20"/>
                <w:szCs w:val="20"/>
                <w:lang w:eastAsia="en-AU"/>
              </w:rPr>
              <w:br/>
              <w:t xml:space="preserve">       </w:t>
            </w:r>
            <w:r w:rsidRPr="00B54A75">
              <w:rPr>
                <w:rFonts w:ascii="Calibri" w:eastAsia="Times New Roman" w:hAnsi="Calibri" w:cs="Calibri"/>
                <w:color w:val="000000"/>
                <w:sz w:val="20"/>
                <w:szCs w:val="20"/>
                <w:lang w:eastAsia="en-AU"/>
              </w:rPr>
              <w:t xml:space="preserve">↑Severity of </w:t>
            </w:r>
            <w:proofErr w:type="spellStart"/>
            <w:r w:rsidRPr="00B54A75">
              <w:rPr>
                <w:rFonts w:ascii="Calibri" w:eastAsia="Times New Roman" w:hAnsi="Calibri" w:cs="Calibri"/>
                <w:color w:val="000000"/>
                <w:sz w:val="20"/>
                <w:szCs w:val="20"/>
                <w:lang w:eastAsia="en-AU"/>
              </w:rPr>
              <w:t>pvWML</w:t>
            </w:r>
            <w:proofErr w:type="spellEnd"/>
            <w:r w:rsidRPr="00B54A75">
              <w:rPr>
                <w:rFonts w:ascii="Calibri" w:eastAsia="Times New Roman" w:hAnsi="Calibri" w:cs="Calibri"/>
                <w:color w:val="000000"/>
                <w:sz w:val="20"/>
                <w:szCs w:val="20"/>
                <w:lang w:eastAsia="en-AU"/>
              </w:rPr>
              <w:br/>
            </w:r>
            <w:r w:rsidRPr="00B54A75">
              <w:rPr>
                <w:rFonts w:ascii="Calibri" w:eastAsia="Times New Roman" w:hAnsi="Calibri" w:cs="Calibri"/>
                <w:color w:val="000000"/>
                <w:sz w:val="20"/>
                <w:szCs w:val="20"/>
                <w:u w:val="single"/>
                <w:lang w:eastAsia="en-AU"/>
              </w:rPr>
              <w:t xml:space="preserve">↓ </w:t>
            </w:r>
            <w:proofErr w:type="spellStart"/>
            <w:r w:rsidRPr="00B54A75">
              <w:rPr>
                <w:rFonts w:ascii="Calibri" w:eastAsia="Times New Roman" w:hAnsi="Calibri" w:cs="Calibri"/>
                <w:color w:val="000000"/>
                <w:sz w:val="20"/>
                <w:szCs w:val="20"/>
                <w:u w:val="single"/>
                <w:lang w:eastAsia="en-AU"/>
              </w:rPr>
              <w:t>HoloTC</w:t>
            </w:r>
            <w:proofErr w:type="spellEnd"/>
            <w:r w:rsidRPr="00B54A75">
              <w:rPr>
                <w:rFonts w:ascii="Calibri" w:eastAsia="Times New Roman" w:hAnsi="Calibri" w:cs="Calibri"/>
                <w:color w:val="000000"/>
                <w:sz w:val="20"/>
                <w:szCs w:val="20"/>
                <w:lang w:eastAsia="en-AU"/>
              </w:rPr>
              <w:t xml:space="preserve"> &amp; </w:t>
            </w:r>
            <w:r w:rsidR="00083999" w:rsidRPr="00B54A75">
              <w:rPr>
                <w:rFonts w:ascii="Calibri" w:eastAsia="Times New Roman" w:hAnsi="Calibri" w:cs="Calibri"/>
                <w:color w:val="000000"/>
                <w:sz w:val="20"/>
                <w:szCs w:val="20"/>
                <w:u w:val="single"/>
                <w:lang w:eastAsia="en-AU"/>
              </w:rPr>
              <w:t>↓ TCs</w:t>
            </w:r>
            <w:r w:rsidR="00083999" w:rsidRPr="00B54A75">
              <w:rPr>
                <w:rFonts w:ascii="Calibri" w:eastAsia="Times New Roman" w:hAnsi="Calibri" w:cs="Calibri"/>
                <w:color w:val="000000"/>
                <w:sz w:val="20"/>
                <w:szCs w:val="20"/>
                <w:lang w:eastAsia="en-AU"/>
              </w:rPr>
              <w:t xml:space="preserve"> </w:t>
            </w:r>
            <w:r w:rsidRPr="00B54A75">
              <w:rPr>
                <w:rFonts w:ascii="Calibri" w:eastAsia="Times New Roman" w:hAnsi="Calibri" w:cs="Calibri"/>
                <w:color w:val="000000"/>
                <w:sz w:val="20"/>
                <w:szCs w:val="20"/>
                <w:lang w:eastAsia="en-AU"/>
              </w:rPr>
              <w:t>w</w:t>
            </w:r>
            <w:r w:rsidR="00AC73C6" w:rsidRPr="00B54A75">
              <w:rPr>
                <w:rFonts w:ascii="Calibri" w:eastAsia="Times New Roman" w:hAnsi="Calibri" w:cs="Calibri"/>
                <w:color w:val="000000"/>
                <w:sz w:val="20"/>
                <w:szCs w:val="20"/>
                <w:lang w:eastAsia="en-AU"/>
              </w:rPr>
              <w:t>as associated with:</w:t>
            </w:r>
            <w:r w:rsidR="00AC73C6" w:rsidRPr="00B54A75">
              <w:rPr>
                <w:rFonts w:ascii="Calibri" w:eastAsia="Times New Roman" w:hAnsi="Calibri" w:cs="Calibri"/>
                <w:color w:val="000000"/>
                <w:sz w:val="20"/>
                <w:szCs w:val="20"/>
                <w:lang w:eastAsia="en-AU"/>
              </w:rPr>
              <w:br/>
              <w:t xml:space="preserve">       </w:t>
            </w:r>
            <w:r w:rsidRPr="00B54A75">
              <w:rPr>
                <w:rFonts w:ascii="Calibri" w:eastAsia="Times New Roman" w:hAnsi="Calibri" w:cs="Calibri"/>
                <w:color w:val="000000"/>
                <w:sz w:val="20"/>
                <w:szCs w:val="20"/>
                <w:lang w:eastAsia="en-AU"/>
              </w:rPr>
              <w:t xml:space="preserve">↑ Severity of </w:t>
            </w:r>
            <w:proofErr w:type="spellStart"/>
            <w:r w:rsidRPr="00B54A75">
              <w:rPr>
                <w:rFonts w:ascii="Calibri" w:eastAsia="Times New Roman" w:hAnsi="Calibri" w:cs="Calibri"/>
                <w:color w:val="000000"/>
                <w:sz w:val="20"/>
                <w:szCs w:val="20"/>
                <w:lang w:eastAsia="en-AU"/>
              </w:rPr>
              <w:t>pvWML</w:t>
            </w:r>
            <w:proofErr w:type="spellEnd"/>
            <w:r w:rsidRPr="00B54A75">
              <w:rPr>
                <w:rFonts w:ascii="Calibri" w:eastAsia="Times New Roman" w:hAnsi="Calibri" w:cs="Calibri"/>
                <w:color w:val="000000"/>
                <w:sz w:val="20"/>
                <w:szCs w:val="20"/>
                <w:lang w:eastAsia="en-AU"/>
              </w:rPr>
              <w:t xml:space="preserve"> &amp; </w:t>
            </w:r>
            <w:proofErr w:type="spellStart"/>
            <w:r w:rsidRPr="00B54A75">
              <w:rPr>
                <w:rFonts w:ascii="Calibri" w:eastAsia="Times New Roman" w:hAnsi="Calibri" w:cs="Calibri"/>
                <w:color w:val="000000"/>
                <w:sz w:val="20"/>
                <w:szCs w:val="20"/>
                <w:lang w:eastAsia="en-AU"/>
              </w:rPr>
              <w:t>scWML</w:t>
            </w:r>
            <w:proofErr w:type="spellEnd"/>
            <w:r w:rsidRPr="00B54A75">
              <w:rPr>
                <w:rFonts w:ascii="Calibri" w:eastAsia="Times New Roman" w:hAnsi="Calibri" w:cs="Calibri"/>
                <w:color w:val="000000"/>
                <w:sz w:val="20"/>
                <w:szCs w:val="20"/>
                <w:lang w:eastAsia="en-AU"/>
              </w:rPr>
              <w:t xml:space="preserve"> </w:t>
            </w:r>
          </w:p>
        </w:tc>
      </w:tr>
      <w:tr w:rsidR="008251F9" w:rsidRPr="00B54A75" w:rsidTr="00222F25">
        <w:trPr>
          <w:trHeight w:val="2100"/>
        </w:trPr>
        <w:tc>
          <w:tcPr>
            <w:tcW w:w="1840" w:type="dxa"/>
            <w:tcBorders>
              <w:top w:val="nil"/>
              <w:left w:val="nil"/>
              <w:bottom w:val="nil"/>
              <w:right w:val="nil"/>
            </w:tcBorders>
            <w:shd w:val="clear" w:color="000000" w:fill="D9D9D9"/>
            <w:vAlign w:val="bottom"/>
            <w:hideMark/>
          </w:tcPr>
          <w:p w:rsidR="00112011" w:rsidRPr="00B54A75" w:rsidRDefault="00A85A6A"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Erickson et al.</w:t>
            </w:r>
            <w:r w:rsidR="003114CA" w:rsidRPr="00B54A75">
              <w:rPr>
                <w:rFonts w:ascii="Calibri" w:eastAsia="Times New Roman" w:hAnsi="Calibri" w:cs="Calibri"/>
                <w:color w:val="000000"/>
                <w:sz w:val="20"/>
                <w:szCs w:val="20"/>
                <w:lang w:eastAsia="en-AU"/>
              </w:rPr>
              <w:fldChar w:fldCharType="begin" w:fldLock="1"/>
            </w:r>
            <w:r w:rsidR="00C73D5C">
              <w:rPr>
                <w:rFonts w:ascii="Calibri" w:eastAsia="Times New Roman" w:hAnsi="Calibri" w:cs="Calibri"/>
                <w:color w:val="000000"/>
                <w:sz w:val="20"/>
                <w:szCs w:val="20"/>
                <w:lang w:eastAsia="en-AU"/>
              </w:rPr>
              <w:instrText>ADDIN CSL_CITATION { "citationItems" : [ { "id" : "ITEM-1", "itemData" : { "DOI" : "10.1016/j.brainres.2008.01.030", "ISSN" : "0006-8993", "PMID" : "18281020", "abstract" : "Previous studies have reported that high concentrations of homocysteine and lower concentrations of vitamins B6, B12, and folate increase the risk for cognitive decline and pathology in aging populations. In this cross-sectional study, high resolution magnetic resonance imaging (MRI) scans and a 3-day food diary were collected on 32 community-dwelling adults between the ages of 59 and 79. We examined the relation between vitamins B6, B12, and folate intake on cortical volume using an optimized voxel-based morphometry (VBM) method and global gray and white matter volume after correcting for age, sex, body mass index, calorie intake, and education. All participants met or surpassed the recommended daily intake for these vitamins. In the VBM analysis, we found that adults with greater vitamin B6 intake had greater gray matter volume along the medial wall, anterior cingulate cortex, medial parietal cortex, middle temporal gyrus, and superior frontal gyrus, whereas people with greater B12 intake had greater volume in the left and right superior parietal sulcus. These effects were driven by vitamin supplementation and were negated when only examining vitamin intake from diet. Folate had no effect on brain volume. Furthermore, there was no relationship between vitamins B6, B12, or folate intake on global brain volume measures, indicating that VBM methods are more sensitive for detecting localized differences in gray matter volume than global measures. These results are discussed in relation to a growing literature on vitamin intake on age-related neurocognitive deterioration.", "author" : [ { "dropping-particle" : "", "family" : "Erickson", "given" : "Kirk I", "non-dropping-particle" : "", "parse-names" : false, "suffix" : "" }, { "dropping-particle" : "", "family" : "Suever", "given" : "Barbara L", "non-dropping-particle" : "", "parse-names" : false, "suffix" : "" }, { "dropping-particle" : "", "family" : "Prakash", "given" : "Ruchika Shaurya", "non-dropping-particle" : "", "parse-names" : false, "suffix" : "" }, { "dropping-particle" : "", "family" : "Colcombe", "given" : "Stanley J", "non-dropping-particle" : "", "parse-names" : false, "suffix" : "" }, { "dropping-particle" : "", "family" : "McAuley", "given" : "Edward", "non-dropping-particle" : "", "parse-names" : false, "suffix" : "" }, { "dropping-particle" : "", "family" : "Kramer", "given" : "Arthur F", "non-dropping-particle" : "", "parse-names" : false, "suffix" : "" } ], "container-title" : "Brain research", "id" : "ITEM-1", "issued" : { "date-parts" : [ [ "2008", "3", "14" ] ] }, "page" : "20-26", "title" : "Greater intake of vitamins B6 and B12 spares gray matter in healthy elderly: a voxel-based morphometry study", "type" : "article-journal", "volume" : "1199" }, "uris" : [ "http://www.mendeley.com/documents/?uuid=a0e9b98c-d7e5-41a5-95c8-1f7e8fe4aa33" ] } ], "mendeley" : { "formattedCitation" : "&lt;sup&gt;(15)&lt;/sup&gt;", "plainTextFormattedCitation" : "(15)", "previouslyFormattedCitation" : "&lt;sup&gt;(15)&lt;/sup&gt;" }, "properties" : { "noteIndex" : 0 }, "schema" : "https://github.com/citation-style-language/schema/raw/master/csl-citation.json" }</w:instrText>
            </w:r>
            <w:r w:rsidR="003114CA" w:rsidRPr="00B54A75">
              <w:rPr>
                <w:rFonts w:ascii="Calibri" w:eastAsia="Times New Roman" w:hAnsi="Calibri" w:cs="Calibri"/>
                <w:color w:val="000000"/>
                <w:sz w:val="20"/>
                <w:szCs w:val="20"/>
                <w:lang w:eastAsia="en-AU"/>
              </w:rPr>
              <w:fldChar w:fldCharType="separate"/>
            </w:r>
            <w:r w:rsidR="00B54A75" w:rsidRPr="00B54A75">
              <w:rPr>
                <w:rFonts w:ascii="Calibri" w:eastAsia="Times New Roman" w:hAnsi="Calibri" w:cs="Calibri"/>
                <w:noProof/>
                <w:color w:val="000000"/>
                <w:sz w:val="20"/>
                <w:szCs w:val="20"/>
                <w:vertAlign w:val="superscript"/>
                <w:lang w:eastAsia="en-AU"/>
              </w:rPr>
              <w:t>(15)</w:t>
            </w:r>
            <w:r w:rsidR="003114CA" w:rsidRPr="00B54A75">
              <w:rPr>
                <w:rFonts w:ascii="Calibri" w:eastAsia="Times New Roman" w:hAnsi="Calibri" w:cs="Calibri"/>
                <w:color w:val="000000"/>
                <w:sz w:val="20"/>
                <w:szCs w:val="20"/>
                <w:lang w:eastAsia="en-AU"/>
              </w:rPr>
              <w:fldChar w:fldCharType="end"/>
            </w:r>
          </w:p>
        </w:tc>
        <w:tc>
          <w:tcPr>
            <w:tcW w:w="1049"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VIT-B</w:t>
            </w:r>
            <w:r w:rsidRPr="00B54A75">
              <w:rPr>
                <w:rFonts w:ascii="Calibri" w:eastAsia="Times New Roman" w:hAnsi="Calibri" w:cs="Calibri"/>
                <w:color w:val="000000"/>
                <w:sz w:val="20"/>
                <w:szCs w:val="20"/>
                <w:vertAlign w:val="subscript"/>
                <w:lang w:eastAsia="en-AU"/>
              </w:rPr>
              <w:t>6</w:t>
            </w:r>
            <w:r w:rsidRPr="00B54A75">
              <w:rPr>
                <w:rFonts w:ascii="Calibri" w:eastAsia="Times New Roman" w:hAnsi="Calibri" w:cs="Calibri"/>
                <w:color w:val="000000"/>
                <w:sz w:val="20"/>
                <w:szCs w:val="20"/>
                <w:lang w:eastAsia="en-AU"/>
              </w:rPr>
              <w:t xml:space="preserve"> &amp; VIT-B</w:t>
            </w:r>
            <w:r w:rsidRPr="00B54A75">
              <w:rPr>
                <w:rFonts w:ascii="Calibri" w:eastAsia="Times New Roman" w:hAnsi="Calibri" w:cs="Calibri"/>
                <w:color w:val="000000"/>
                <w:sz w:val="20"/>
                <w:szCs w:val="20"/>
                <w:vertAlign w:val="subscript"/>
                <w:lang w:eastAsia="en-AU"/>
              </w:rPr>
              <w:t>12</w:t>
            </w:r>
            <w:r w:rsidRPr="00B54A75">
              <w:rPr>
                <w:rFonts w:ascii="Calibri" w:eastAsia="Times New Roman" w:hAnsi="Calibri" w:cs="Calibri"/>
                <w:color w:val="000000"/>
                <w:sz w:val="20"/>
                <w:szCs w:val="20"/>
                <w:lang w:eastAsia="en-AU"/>
              </w:rPr>
              <w:t xml:space="preserve"> (3DFD)</w:t>
            </w:r>
          </w:p>
        </w:tc>
        <w:tc>
          <w:tcPr>
            <w:tcW w:w="1082"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H</w:t>
            </w:r>
          </w:p>
        </w:tc>
        <w:tc>
          <w:tcPr>
            <w:tcW w:w="1274"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32</w:t>
            </w:r>
          </w:p>
        </w:tc>
        <w:tc>
          <w:tcPr>
            <w:tcW w:w="1328"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59.0 - 79.0</w:t>
            </w:r>
          </w:p>
        </w:tc>
        <w:tc>
          <w:tcPr>
            <w:tcW w:w="1418"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68.0</w:t>
            </w:r>
          </w:p>
        </w:tc>
        <w:tc>
          <w:tcPr>
            <w:tcW w:w="1417"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6.0</w:t>
            </w:r>
          </w:p>
        </w:tc>
        <w:tc>
          <w:tcPr>
            <w:tcW w:w="5760"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b/>
                <w:bCs/>
                <w:iCs/>
                <w:color w:val="000000"/>
                <w:sz w:val="20"/>
                <w:szCs w:val="20"/>
                <w:lang w:eastAsia="en-AU"/>
              </w:rPr>
              <w:t>Cross sectional (MRI)</w:t>
            </w:r>
            <w:r w:rsidRPr="00B54A75">
              <w:rPr>
                <w:rFonts w:ascii="Calibri" w:eastAsia="Times New Roman" w:hAnsi="Calibri" w:cs="Calibri"/>
                <w:color w:val="000000"/>
                <w:sz w:val="20"/>
                <w:szCs w:val="20"/>
                <w:lang w:eastAsia="en-AU"/>
              </w:rPr>
              <w:br/>
            </w:r>
            <w:r w:rsidRPr="00B54A75">
              <w:rPr>
                <w:rFonts w:ascii="Calibri" w:eastAsia="Times New Roman" w:hAnsi="Calibri" w:cs="Calibri"/>
                <w:color w:val="000000"/>
                <w:sz w:val="20"/>
                <w:szCs w:val="20"/>
                <w:u w:val="single"/>
                <w:lang w:eastAsia="en-AU"/>
              </w:rPr>
              <w:t>↑ Estimated VIT-B6</w:t>
            </w:r>
            <w:r w:rsidRPr="00B54A75">
              <w:rPr>
                <w:rFonts w:ascii="Calibri" w:eastAsia="Times New Roman" w:hAnsi="Calibri" w:cs="Calibri"/>
                <w:color w:val="000000"/>
                <w:sz w:val="20"/>
                <w:szCs w:val="20"/>
                <w:lang w:eastAsia="en-AU"/>
              </w:rPr>
              <w:t xml:space="preserve"> intake</w:t>
            </w:r>
            <w:r w:rsidR="00AC73C6" w:rsidRPr="00B54A75">
              <w:rPr>
                <w:rFonts w:ascii="Calibri" w:eastAsia="Times New Roman" w:hAnsi="Calibri" w:cs="Calibri"/>
                <w:color w:val="000000"/>
                <w:sz w:val="20"/>
                <w:szCs w:val="20"/>
                <w:lang w:eastAsia="en-AU"/>
              </w:rPr>
              <w:t xml:space="preserve"> was associated with:</w:t>
            </w:r>
            <w:r w:rsidR="00AC73C6" w:rsidRPr="00B54A75">
              <w:rPr>
                <w:rFonts w:ascii="Calibri" w:eastAsia="Times New Roman" w:hAnsi="Calibri" w:cs="Calibri"/>
                <w:color w:val="000000"/>
                <w:sz w:val="20"/>
                <w:szCs w:val="20"/>
                <w:lang w:eastAsia="en-AU"/>
              </w:rPr>
              <w:br/>
              <w:t xml:space="preserve">       </w:t>
            </w:r>
            <w:r w:rsidRPr="00B54A75">
              <w:rPr>
                <w:rFonts w:ascii="Calibri" w:eastAsia="Times New Roman" w:hAnsi="Calibri" w:cs="Calibri"/>
                <w:color w:val="000000"/>
                <w:sz w:val="20"/>
                <w:szCs w:val="20"/>
                <w:lang w:eastAsia="en-AU"/>
              </w:rPr>
              <w:t>↑</w:t>
            </w:r>
            <w:proofErr w:type="spellStart"/>
            <w:r w:rsidRPr="00B54A75">
              <w:rPr>
                <w:rFonts w:ascii="Calibri" w:eastAsia="Times New Roman" w:hAnsi="Calibri" w:cs="Calibri"/>
                <w:color w:val="000000"/>
                <w:sz w:val="20"/>
                <w:szCs w:val="20"/>
                <w:lang w:eastAsia="en-AU"/>
              </w:rPr>
              <w:t>GMv</w:t>
            </w:r>
            <w:proofErr w:type="spellEnd"/>
            <w:r w:rsidRPr="00B54A75">
              <w:rPr>
                <w:rFonts w:ascii="Calibri" w:eastAsia="Times New Roman" w:hAnsi="Calibri" w:cs="Calibri"/>
                <w:color w:val="000000"/>
                <w:sz w:val="20"/>
                <w:szCs w:val="20"/>
                <w:lang w:eastAsia="en-AU"/>
              </w:rPr>
              <w:t xml:space="preserve"> within SFC, SMA, PL, M</w:t>
            </w:r>
            <w:r w:rsidR="00AC73C6" w:rsidRPr="00B54A75">
              <w:rPr>
                <w:rFonts w:ascii="Calibri" w:eastAsia="Times New Roman" w:hAnsi="Calibri" w:cs="Calibri"/>
                <w:color w:val="000000"/>
                <w:sz w:val="20"/>
                <w:szCs w:val="20"/>
                <w:lang w:eastAsia="en-AU"/>
              </w:rPr>
              <w:t xml:space="preserve">PC, MTC, </w:t>
            </w:r>
            <w:proofErr w:type="spellStart"/>
            <w:r w:rsidR="00AC73C6" w:rsidRPr="00B54A75">
              <w:rPr>
                <w:rFonts w:ascii="Calibri" w:eastAsia="Times New Roman" w:hAnsi="Calibri" w:cs="Calibri"/>
                <w:color w:val="000000"/>
                <w:sz w:val="20"/>
                <w:szCs w:val="20"/>
                <w:lang w:eastAsia="en-AU"/>
              </w:rPr>
              <w:t>aCingC</w:t>
            </w:r>
            <w:proofErr w:type="spellEnd"/>
            <w:r w:rsidR="00AC73C6" w:rsidRPr="00B54A75">
              <w:rPr>
                <w:rFonts w:ascii="Calibri" w:eastAsia="Times New Roman" w:hAnsi="Calibri" w:cs="Calibri"/>
                <w:color w:val="000000"/>
                <w:sz w:val="20"/>
                <w:szCs w:val="20"/>
                <w:lang w:eastAsia="en-AU"/>
              </w:rPr>
              <w:t>, &amp;</w:t>
            </w:r>
            <w:r w:rsidR="00AC73C6" w:rsidRPr="00B54A75">
              <w:rPr>
                <w:rFonts w:ascii="Calibri" w:eastAsia="Times New Roman" w:hAnsi="Calibri" w:cs="Calibri"/>
                <w:color w:val="000000"/>
                <w:sz w:val="20"/>
                <w:szCs w:val="20"/>
                <w:lang w:eastAsia="en-AU"/>
              </w:rPr>
              <w:br/>
              <w:t xml:space="preserve">           </w:t>
            </w:r>
            <w:proofErr w:type="spellStart"/>
            <w:r w:rsidRPr="00B54A75">
              <w:rPr>
                <w:rFonts w:ascii="Calibri" w:eastAsia="Times New Roman" w:hAnsi="Calibri" w:cs="Calibri"/>
                <w:color w:val="000000"/>
                <w:sz w:val="20"/>
                <w:szCs w:val="20"/>
                <w:lang w:eastAsia="en-AU"/>
              </w:rPr>
              <w:t>poCingC</w:t>
            </w:r>
            <w:proofErr w:type="spellEnd"/>
            <w:r w:rsidRPr="00B54A75">
              <w:rPr>
                <w:rFonts w:ascii="Calibri" w:eastAsia="Times New Roman" w:hAnsi="Calibri" w:cs="Calibri"/>
                <w:color w:val="000000"/>
                <w:sz w:val="20"/>
                <w:szCs w:val="20"/>
                <w:lang w:eastAsia="en-AU"/>
              </w:rPr>
              <w:t xml:space="preserve">  </w:t>
            </w:r>
            <w:r w:rsidRPr="00B54A75">
              <w:rPr>
                <w:rFonts w:ascii="Calibri" w:eastAsia="Times New Roman" w:hAnsi="Calibri" w:cs="Calibri"/>
                <w:color w:val="000000"/>
                <w:sz w:val="20"/>
                <w:szCs w:val="20"/>
                <w:lang w:eastAsia="en-AU"/>
              </w:rPr>
              <w:br/>
            </w:r>
            <w:r w:rsidRPr="00B54A75">
              <w:rPr>
                <w:rFonts w:ascii="Calibri" w:eastAsia="Times New Roman" w:hAnsi="Calibri" w:cs="Calibri"/>
                <w:color w:val="000000"/>
                <w:sz w:val="20"/>
                <w:szCs w:val="20"/>
                <w:u w:val="single"/>
                <w:lang w:eastAsia="en-AU"/>
              </w:rPr>
              <w:t>↑ Estimated VIT-B</w:t>
            </w:r>
            <w:r w:rsidRPr="00B54A75">
              <w:rPr>
                <w:rFonts w:ascii="Calibri" w:eastAsia="Times New Roman" w:hAnsi="Calibri" w:cs="Calibri"/>
                <w:color w:val="000000"/>
                <w:sz w:val="20"/>
                <w:szCs w:val="20"/>
                <w:u w:val="single"/>
                <w:vertAlign w:val="subscript"/>
                <w:lang w:eastAsia="en-AU"/>
              </w:rPr>
              <w:t>12</w:t>
            </w:r>
            <w:r w:rsidRPr="00B54A75">
              <w:rPr>
                <w:rFonts w:ascii="Calibri" w:eastAsia="Times New Roman" w:hAnsi="Calibri" w:cs="Calibri"/>
                <w:color w:val="000000"/>
                <w:sz w:val="20"/>
                <w:szCs w:val="20"/>
                <w:u w:val="single"/>
                <w:lang w:eastAsia="en-AU"/>
              </w:rPr>
              <w:t xml:space="preserve"> </w:t>
            </w:r>
            <w:r w:rsidRPr="00B54A75">
              <w:rPr>
                <w:rFonts w:ascii="Calibri" w:eastAsia="Times New Roman" w:hAnsi="Calibri" w:cs="Calibri"/>
                <w:color w:val="000000"/>
                <w:sz w:val="20"/>
                <w:szCs w:val="20"/>
                <w:lang w:eastAsia="en-AU"/>
              </w:rPr>
              <w:t>intake was associat</w:t>
            </w:r>
            <w:r w:rsidR="00AC73C6" w:rsidRPr="00B54A75">
              <w:rPr>
                <w:rFonts w:ascii="Calibri" w:eastAsia="Times New Roman" w:hAnsi="Calibri" w:cs="Calibri"/>
                <w:color w:val="000000"/>
                <w:sz w:val="20"/>
                <w:szCs w:val="20"/>
                <w:lang w:eastAsia="en-AU"/>
              </w:rPr>
              <w:t>ed with:</w:t>
            </w:r>
            <w:r w:rsidR="00AC73C6" w:rsidRPr="00B54A75">
              <w:rPr>
                <w:rFonts w:ascii="Calibri" w:eastAsia="Times New Roman" w:hAnsi="Calibri" w:cs="Calibri"/>
                <w:color w:val="000000"/>
                <w:sz w:val="20"/>
                <w:szCs w:val="20"/>
                <w:lang w:eastAsia="en-AU"/>
              </w:rPr>
              <w:br/>
              <w:t xml:space="preserve">       </w:t>
            </w:r>
            <w:r w:rsidRPr="00B54A75">
              <w:rPr>
                <w:rFonts w:ascii="Calibri" w:eastAsia="Times New Roman" w:hAnsi="Calibri" w:cs="Calibri"/>
                <w:color w:val="000000"/>
                <w:sz w:val="20"/>
                <w:szCs w:val="20"/>
                <w:lang w:eastAsia="en-AU"/>
              </w:rPr>
              <w:t>↑</w:t>
            </w:r>
            <w:proofErr w:type="spellStart"/>
            <w:r w:rsidRPr="00B54A75">
              <w:rPr>
                <w:rFonts w:ascii="Calibri" w:eastAsia="Times New Roman" w:hAnsi="Calibri" w:cs="Calibri"/>
                <w:color w:val="000000"/>
                <w:sz w:val="20"/>
                <w:szCs w:val="20"/>
                <w:lang w:eastAsia="en-AU"/>
              </w:rPr>
              <w:t>GMv</w:t>
            </w:r>
            <w:proofErr w:type="spellEnd"/>
            <w:r w:rsidRPr="00B54A75">
              <w:rPr>
                <w:rFonts w:ascii="Calibri" w:eastAsia="Times New Roman" w:hAnsi="Calibri" w:cs="Calibri"/>
                <w:color w:val="000000"/>
                <w:sz w:val="20"/>
                <w:szCs w:val="20"/>
                <w:lang w:eastAsia="en-AU"/>
              </w:rPr>
              <w:t xml:space="preserve"> within posterior PL </w:t>
            </w:r>
            <w:r w:rsidRPr="00B54A75">
              <w:rPr>
                <w:rFonts w:ascii="Calibri" w:eastAsia="Times New Roman" w:hAnsi="Calibri" w:cs="Calibri"/>
                <w:color w:val="000000"/>
                <w:sz w:val="20"/>
                <w:szCs w:val="20"/>
                <w:lang w:eastAsia="en-AU"/>
              </w:rPr>
              <w:br/>
              <w:t xml:space="preserve">All associations were significant when only considering intake from supplementation, not diet  </w:t>
            </w:r>
          </w:p>
        </w:tc>
      </w:tr>
      <w:tr w:rsidR="009321E8" w:rsidRPr="00B54A75" w:rsidTr="00222F25">
        <w:trPr>
          <w:trHeight w:val="1650"/>
        </w:trPr>
        <w:tc>
          <w:tcPr>
            <w:tcW w:w="1840" w:type="dxa"/>
            <w:tcBorders>
              <w:top w:val="nil"/>
              <w:left w:val="nil"/>
              <w:bottom w:val="nil"/>
              <w:right w:val="nil"/>
            </w:tcBorders>
            <w:shd w:val="clear" w:color="auto" w:fill="auto"/>
            <w:vAlign w:val="bottom"/>
            <w:hideMark/>
          </w:tcPr>
          <w:p w:rsidR="00112011" w:rsidRPr="00B54A75" w:rsidRDefault="00A85A6A"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Seshadri et al.</w:t>
            </w:r>
            <w:r w:rsidR="003114CA" w:rsidRPr="00B54A75">
              <w:rPr>
                <w:rFonts w:ascii="Calibri" w:eastAsia="Times New Roman" w:hAnsi="Calibri" w:cs="Calibri"/>
                <w:color w:val="000000"/>
                <w:sz w:val="20"/>
                <w:szCs w:val="20"/>
                <w:lang w:eastAsia="en-AU"/>
              </w:rPr>
              <w:fldChar w:fldCharType="begin" w:fldLock="1"/>
            </w:r>
            <w:r w:rsidR="00C73D5C">
              <w:rPr>
                <w:rFonts w:ascii="Calibri" w:eastAsia="Times New Roman" w:hAnsi="Calibri" w:cs="Calibri"/>
                <w:color w:val="000000"/>
                <w:sz w:val="20"/>
                <w:szCs w:val="20"/>
                <w:lang w:eastAsia="en-AU"/>
              </w:rPr>
              <w:instrText>ADDIN CSL_CITATION { "citationItems" : [ { "id" : "ITEM-1", "itemData" : { "author" : [ { "dropping-particle" : "", "family" : "Seshadri", "given" : "S.", "non-dropping-particle" : "", "parse-names" : false, "suffix" : "" }, { "dropping-particle" : "", "family" : "Wolf", "given" : "P.A.", "non-dropping-particle" : "", "parse-names" : false, "suffix" : "" }, { "dropping-particle" : "", "family" : "Beiser", "given" : "A.S.", "non-dropping-particle" : "", "parse-names" : false, "suffix" : "" }, { "dropping-particle" : "", "family" : "Selhub", "given" : "J.", "non-dropping-particle" : "", "parse-names" : false, "suffix" : "" }, { "dropping-particle" : "", "family" : "Au", "given" : "R.", "non-dropping-particle" : "", "parse-names" : false, "suffix" : "" }, { "dropping-particle" : "", "family" : "Jacques", "given" : "P.F.", "non-dropping-particle" : "", "parse-names" : false, "suffix" : "" }, { "dropping-particle" : "", "family" : "Yoshita", "given" : "M.", "non-dropping-particle" : "", "parse-names" : false, "suffix" : "" }, { "dropping-particle" : "", "family" : "Rosenberg", "given" : "I.H.", "non-dropping-particle" : "", "parse-names" : false, "suffix" : "" }, { "dropping-particle" : "", "family" : "D'Agostino", "given" : "R.B.", "non-dropping-particle" : "", "parse-names" : false, "suffix" : "" }, { "dropping-particle" : "", "family" : "DeCarli", "given" : "C.", "non-dropping-particle" : "", "parse-names" : false, "suffix" : "" } ], "container-title" : "Archives of Neurology", "id" : "ITEM-1", "issued" : { "date-parts" : [ [ "2008" ] ] }, "page" : "642-649", "title" : "Association of Plasma Total Homocysteine Levels With Subclinical Brain Injury", "type" : "article-journal", "volume" : "65" }, "uris" : [ "http://www.mendeley.com/documents/?uuid=718a8ab3-eda3-48a8-a569-0d38578d5259" ] } ], "mendeley" : { "formattedCitation" : "&lt;sup&gt;(16)&lt;/sup&gt;", "plainTextFormattedCitation" : "(16)", "previouslyFormattedCitation" : "&lt;sup&gt;(16)&lt;/sup&gt;" }, "properties" : { "noteIndex" : 0 }, "schema" : "https://github.com/citation-style-language/schema/raw/master/csl-citation.json" }</w:instrText>
            </w:r>
            <w:r w:rsidR="003114CA" w:rsidRPr="00B54A75">
              <w:rPr>
                <w:rFonts w:ascii="Calibri" w:eastAsia="Times New Roman" w:hAnsi="Calibri" w:cs="Calibri"/>
                <w:color w:val="000000"/>
                <w:sz w:val="20"/>
                <w:szCs w:val="20"/>
                <w:lang w:eastAsia="en-AU"/>
              </w:rPr>
              <w:fldChar w:fldCharType="separate"/>
            </w:r>
            <w:r w:rsidR="00B54A75" w:rsidRPr="00B54A75">
              <w:rPr>
                <w:rFonts w:ascii="Calibri" w:eastAsia="Times New Roman" w:hAnsi="Calibri" w:cs="Calibri"/>
                <w:noProof/>
                <w:color w:val="000000"/>
                <w:sz w:val="20"/>
                <w:szCs w:val="20"/>
                <w:vertAlign w:val="superscript"/>
                <w:lang w:eastAsia="en-AU"/>
              </w:rPr>
              <w:t>(16)</w:t>
            </w:r>
            <w:r w:rsidR="003114CA" w:rsidRPr="00B54A75">
              <w:rPr>
                <w:rFonts w:ascii="Calibri" w:eastAsia="Times New Roman" w:hAnsi="Calibri" w:cs="Calibri"/>
                <w:color w:val="000000"/>
                <w:sz w:val="20"/>
                <w:szCs w:val="20"/>
                <w:lang w:eastAsia="en-AU"/>
              </w:rPr>
              <w:fldChar w:fldCharType="end"/>
            </w:r>
          </w:p>
        </w:tc>
        <w:tc>
          <w:tcPr>
            <w:tcW w:w="1049"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proofErr w:type="spellStart"/>
            <w:r w:rsidRPr="00B54A75">
              <w:rPr>
                <w:rFonts w:ascii="Calibri" w:eastAsia="Times New Roman" w:hAnsi="Calibri" w:cs="Calibri"/>
                <w:color w:val="000000"/>
                <w:sz w:val="20"/>
                <w:szCs w:val="20"/>
                <w:lang w:eastAsia="en-AU"/>
              </w:rPr>
              <w:t>HcY</w:t>
            </w:r>
            <w:proofErr w:type="spellEnd"/>
          </w:p>
        </w:tc>
        <w:tc>
          <w:tcPr>
            <w:tcW w:w="1082"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DF</w:t>
            </w:r>
          </w:p>
        </w:tc>
        <w:tc>
          <w:tcPr>
            <w:tcW w:w="1274"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1,965</w:t>
            </w:r>
          </w:p>
        </w:tc>
        <w:tc>
          <w:tcPr>
            <w:tcW w:w="1328"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26.0 - 81.0</w:t>
            </w:r>
          </w:p>
        </w:tc>
        <w:tc>
          <w:tcPr>
            <w:tcW w:w="1418"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54.0</w:t>
            </w:r>
          </w:p>
        </w:tc>
        <w:tc>
          <w:tcPr>
            <w:tcW w:w="1417"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10.0</w:t>
            </w:r>
          </w:p>
        </w:tc>
        <w:tc>
          <w:tcPr>
            <w:tcW w:w="5760"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b/>
                <w:bCs/>
                <w:iCs/>
                <w:color w:val="000000"/>
                <w:sz w:val="20"/>
                <w:szCs w:val="20"/>
                <w:lang w:eastAsia="en-AU"/>
              </w:rPr>
              <w:t xml:space="preserve">Cross sectional </w:t>
            </w:r>
            <w:r w:rsidRPr="00B54A75">
              <w:rPr>
                <w:rFonts w:ascii="Calibri" w:eastAsia="Times New Roman" w:hAnsi="Calibri" w:cs="Calibri"/>
                <w:b/>
                <w:bCs/>
                <w:color w:val="000000"/>
                <w:sz w:val="20"/>
                <w:szCs w:val="20"/>
                <w:lang w:eastAsia="en-AU"/>
              </w:rPr>
              <w:t>(MRI)</w:t>
            </w:r>
            <w:r w:rsidRPr="00B54A75">
              <w:rPr>
                <w:rFonts w:ascii="Calibri" w:eastAsia="Times New Roman" w:hAnsi="Calibri" w:cs="Calibri"/>
                <w:color w:val="000000"/>
                <w:sz w:val="20"/>
                <w:szCs w:val="20"/>
                <w:lang w:eastAsia="en-AU"/>
              </w:rPr>
              <w:br/>
            </w:r>
            <w:r w:rsidRPr="00B54A75">
              <w:rPr>
                <w:rFonts w:ascii="Calibri" w:eastAsia="Times New Roman" w:hAnsi="Calibri" w:cs="Calibri"/>
                <w:color w:val="000000"/>
                <w:sz w:val="20"/>
                <w:szCs w:val="20"/>
                <w:u w:val="single"/>
                <w:lang w:eastAsia="en-AU"/>
              </w:rPr>
              <w:t xml:space="preserve">↑ </w:t>
            </w:r>
            <w:proofErr w:type="spellStart"/>
            <w:r w:rsidRPr="00B54A75">
              <w:rPr>
                <w:rFonts w:ascii="Calibri" w:eastAsia="Times New Roman" w:hAnsi="Calibri" w:cs="Calibri"/>
                <w:color w:val="000000"/>
                <w:sz w:val="20"/>
                <w:szCs w:val="20"/>
                <w:u w:val="single"/>
                <w:lang w:eastAsia="en-AU"/>
              </w:rPr>
              <w:t>HcY</w:t>
            </w:r>
            <w:proofErr w:type="spellEnd"/>
            <w:r w:rsidRPr="00B54A75">
              <w:rPr>
                <w:rFonts w:ascii="Calibri" w:eastAsia="Times New Roman" w:hAnsi="Calibri" w:cs="Calibri"/>
                <w:color w:val="000000"/>
                <w:sz w:val="20"/>
                <w:szCs w:val="20"/>
                <w:lang w:eastAsia="en-AU"/>
              </w:rPr>
              <w:t xml:space="preserve"> was associated with:</w:t>
            </w:r>
            <w:r w:rsidRPr="00B54A75">
              <w:rPr>
                <w:rFonts w:ascii="Calibri" w:eastAsia="Times New Roman" w:hAnsi="Calibri" w:cs="Calibri"/>
                <w:color w:val="000000"/>
                <w:sz w:val="20"/>
                <w:szCs w:val="20"/>
                <w:lang w:eastAsia="en-AU"/>
              </w:rPr>
              <w:br/>
              <w:t xml:space="preserve">       ↓ </w:t>
            </w:r>
            <w:proofErr w:type="spellStart"/>
            <w:r w:rsidRPr="00B54A75">
              <w:rPr>
                <w:rFonts w:ascii="Calibri" w:eastAsia="Times New Roman" w:hAnsi="Calibri" w:cs="Calibri"/>
                <w:color w:val="000000"/>
                <w:sz w:val="20"/>
                <w:szCs w:val="20"/>
                <w:lang w:eastAsia="en-AU"/>
              </w:rPr>
              <w:t>TCv</w:t>
            </w:r>
            <w:proofErr w:type="spellEnd"/>
            <w:r w:rsidRPr="00B54A75">
              <w:rPr>
                <w:rFonts w:ascii="Calibri" w:eastAsia="Times New Roman" w:hAnsi="Calibri" w:cs="Calibri"/>
                <w:color w:val="000000"/>
                <w:sz w:val="20"/>
                <w:szCs w:val="20"/>
                <w:lang w:eastAsia="en-AU"/>
              </w:rPr>
              <w:t xml:space="preserve">, particularly FL &amp; TL volumes  </w:t>
            </w:r>
            <w:r w:rsidR="00AC73C6" w:rsidRPr="00B54A75">
              <w:rPr>
                <w:rFonts w:ascii="Calibri" w:eastAsia="Times New Roman" w:hAnsi="Calibri" w:cs="Calibri"/>
                <w:iCs/>
                <w:color w:val="000000"/>
                <w:sz w:val="20"/>
                <w:szCs w:val="20"/>
                <w:lang w:eastAsia="en-AU"/>
              </w:rPr>
              <w:t xml:space="preserve">   </w:t>
            </w:r>
            <w:r w:rsidR="00AC73C6" w:rsidRPr="00B54A75">
              <w:rPr>
                <w:rFonts w:ascii="Calibri" w:eastAsia="Times New Roman" w:hAnsi="Calibri" w:cs="Calibri"/>
                <w:iCs/>
                <w:color w:val="000000"/>
                <w:sz w:val="20"/>
                <w:szCs w:val="20"/>
                <w:lang w:eastAsia="en-AU"/>
              </w:rPr>
              <w:br/>
              <w:t xml:space="preserve">       </w:t>
            </w:r>
            <w:r w:rsidRPr="00B54A75">
              <w:rPr>
                <w:rFonts w:ascii="Calibri" w:eastAsia="Times New Roman" w:hAnsi="Calibri" w:cs="Calibri"/>
                <w:color w:val="000000"/>
                <w:sz w:val="20"/>
                <w:szCs w:val="20"/>
                <w:lang w:eastAsia="en-AU"/>
              </w:rPr>
              <w:t>↑ Risk &amp; prevalence of SBI</w:t>
            </w:r>
            <w:r w:rsidRPr="00B54A75">
              <w:rPr>
                <w:rFonts w:ascii="Calibri" w:eastAsia="Times New Roman" w:hAnsi="Calibri" w:cs="Calibri"/>
                <w:color w:val="000000"/>
                <w:sz w:val="20"/>
                <w:szCs w:val="20"/>
                <w:lang w:eastAsia="en-AU"/>
              </w:rPr>
              <w:br/>
            </w:r>
            <w:r w:rsidRPr="00B54A75">
              <w:rPr>
                <w:rFonts w:ascii="Calibri" w:eastAsia="Times New Roman" w:hAnsi="Calibri" w:cs="Calibri"/>
                <w:color w:val="000000"/>
                <w:sz w:val="20"/>
                <w:szCs w:val="20"/>
                <w:lang w:eastAsia="en-AU"/>
              </w:rPr>
              <w:br/>
              <w:t xml:space="preserve">Strongest associations were observed in adults aged ≥55              </w:t>
            </w:r>
          </w:p>
        </w:tc>
      </w:tr>
      <w:tr w:rsidR="008251F9" w:rsidRPr="00B54A75" w:rsidTr="00222F25">
        <w:trPr>
          <w:trHeight w:val="1800"/>
        </w:trPr>
        <w:tc>
          <w:tcPr>
            <w:tcW w:w="1840" w:type="dxa"/>
            <w:tcBorders>
              <w:top w:val="nil"/>
              <w:left w:val="nil"/>
              <w:bottom w:val="nil"/>
              <w:right w:val="nil"/>
            </w:tcBorders>
            <w:shd w:val="clear" w:color="000000" w:fill="D9D9D9"/>
            <w:vAlign w:val="bottom"/>
            <w:hideMark/>
          </w:tcPr>
          <w:p w:rsidR="00112011" w:rsidRPr="00B54A75" w:rsidRDefault="00A85A6A" w:rsidP="009321E8">
            <w:pPr>
              <w:spacing w:after="0" w:line="240" w:lineRule="auto"/>
              <w:rPr>
                <w:rFonts w:ascii="Calibri" w:eastAsia="Times New Roman" w:hAnsi="Calibri" w:cs="Calibri"/>
                <w:color w:val="000000"/>
                <w:sz w:val="20"/>
                <w:szCs w:val="20"/>
                <w:lang w:eastAsia="en-AU"/>
              </w:rPr>
            </w:pPr>
            <w:proofErr w:type="spellStart"/>
            <w:r w:rsidRPr="00B54A75">
              <w:rPr>
                <w:rFonts w:ascii="Calibri" w:eastAsia="Times New Roman" w:hAnsi="Calibri" w:cs="Calibri"/>
                <w:color w:val="000000"/>
                <w:sz w:val="20"/>
                <w:szCs w:val="20"/>
                <w:lang w:eastAsia="en-AU"/>
              </w:rPr>
              <w:lastRenderedPageBreak/>
              <w:t>Vogiatzoglou</w:t>
            </w:r>
            <w:proofErr w:type="spellEnd"/>
            <w:r w:rsidRPr="00B54A75">
              <w:rPr>
                <w:rFonts w:ascii="Calibri" w:eastAsia="Times New Roman" w:hAnsi="Calibri" w:cs="Calibri"/>
                <w:color w:val="000000"/>
                <w:sz w:val="20"/>
                <w:szCs w:val="20"/>
                <w:lang w:eastAsia="en-AU"/>
              </w:rPr>
              <w:t xml:space="preserve"> et al.</w:t>
            </w:r>
            <w:r w:rsidR="003114CA" w:rsidRPr="00B54A75">
              <w:rPr>
                <w:rFonts w:ascii="Calibri" w:eastAsia="Times New Roman" w:hAnsi="Calibri" w:cs="Calibri"/>
                <w:color w:val="000000"/>
                <w:sz w:val="20"/>
                <w:szCs w:val="20"/>
                <w:lang w:eastAsia="en-AU"/>
              </w:rPr>
              <w:fldChar w:fldCharType="begin" w:fldLock="1"/>
            </w:r>
            <w:r w:rsidR="00C73D5C">
              <w:rPr>
                <w:rFonts w:ascii="Calibri" w:eastAsia="Times New Roman" w:hAnsi="Calibri" w:cs="Calibri"/>
                <w:color w:val="000000"/>
                <w:sz w:val="20"/>
                <w:szCs w:val="20"/>
                <w:lang w:eastAsia="en-AU"/>
              </w:rPr>
              <w:instrText>ADDIN CSL_CITATION { "citationItems" : [ { "id" : "ITEM-1", "itemData" : { "author" : [ { "dropping-particle" : "", "family" : "Vogiatzoglou", "given" : "A", "non-dropping-particle" : "", "parse-names" : false, "suffix" : "" }, { "dropping-particle" : "", "family" : "Smith", "given" : "S M", "non-dropping-particle" : "", "parse-names" : false, "suffix" : "" }, { "dropping-particle" : "", "family" : "Bradley", "given" : "K M", "non-dropping-particle" : "", "parse-names" : false, "suffix" : "" } ], "container-title" : "Neurology", "id" : "ITEM-1", "issued" : { "date-parts" : [ [ "2008" ] ] }, "page" : "826-832", "title" : "Vitamin B12 status and rate of brain volume loss in community-dwelling elderly", "type" : "article-journal", "volume" : "71" }, "uris" : [ "http://www.mendeley.com/documents/?uuid=14ce28c4-45a1-4707-80f7-69a765a9497e" ] } ], "mendeley" : { "formattedCitation" : "&lt;sup&gt;(17)&lt;/sup&gt;", "plainTextFormattedCitation" : "(17)", "previouslyFormattedCitation" : "&lt;sup&gt;(17)&lt;/sup&gt;" }, "properties" : { "noteIndex" : 0 }, "schema" : "https://github.com/citation-style-language/schema/raw/master/csl-citation.json" }</w:instrText>
            </w:r>
            <w:r w:rsidR="003114CA" w:rsidRPr="00B54A75">
              <w:rPr>
                <w:rFonts w:ascii="Calibri" w:eastAsia="Times New Roman" w:hAnsi="Calibri" w:cs="Calibri"/>
                <w:color w:val="000000"/>
                <w:sz w:val="20"/>
                <w:szCs w:val="20"/>
                <w:lang w:eastAsia="en-AU"/>
              </w:rPr>
              <w:fldChar w:fldCharType="separate"/>
            </w:r>
            <w:r w:rsidR="00B54A75" w:rsidRPr="00B54A75">
              <w:rPr>
                <w:rFonts w:ascii="Calibri" w:eastAsia="Times New Roman" w:hAnsi="Calibri" w:cs="Calibri"/>
                <w:noProof/>
                <w:color w:val="000000"/>
                <w:sz w:val="20"/>
                <w:szCs w:val="20"/>
                <w:vertAlign w:val="superscript"/>
                <w:lang w:eastAsia="en-AU"/>
              </w:rPr>
              <w:t>(17)</w:t>
            </w:r>
            <w:r w:rsidR="003114CA" w:rsidRPr="00B54A75">
              <w:rPr>
                <w:rFonts w:ascii="Calibri" w:eastAsia="Times New Roman" w:hAnsi="Calibri" w:cs="Calibri"/>
                <w:color w:val="000000"/>
                <w:sz w:val="20"/>
                <w:szCs w:val="20"/>
                <w:lang w:eastAsia="en-AU"/>
              </w:rPr>
              <w:fldChar w:fldCharType="end"/>
            </w:r>
          </w:p>
        </w:tc>
        <w:tc>
          <w:tcPr>
            <w:tcW w:w="1049"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VIT-B</w:t>
            </w:r>
            <w:r w:rsidRPr="00B54A75">
              <w:rPr>
                <w:rFonts w:ascii="Calibri" w:eastAsia="Times New Roman" w:hAnsi="Calibri" w:cs="Calibri"/>
                <w:color w:val="000000"/>
                <w:sz w:val="20"/>
                <w:szCs w:val="20"/>
                <w:vertAlign w:val="subscript"/>
                <w:lang w:eastAsia="en-AU"/>
              </w:rPr>
              <w:t>12</w:t>
            </w:r>
            <w:r w:rsidRPr="00B54A75">
              <w:rPr>
                <w:rFonts w:ascii="Calibri" w:eastAsia="Times New Roman" w:hAnsi="Calibri" w:cs="Calibri"/>
                <w:color w:val="000000"/>
                <w:sz w:val="20"/>
                <w:szCs w:val="20"/>
                <w:lang w:eastAsia="en-AU"/>
              </w:rPr>
              <w:t xml:space="preserve">, </w:t>
            </w:r>
            <w:proofErr w:type="spellStart"/>
            <w:r w:rsidRPr="00B54A75">
              <w:rPr>
                <w:rFonts w:ascii="Calibri" w:eastAsia="Times New Roman" w:hAnsi="Calibri" w:cs="Calibri"/>
                <w:color w:val="000000"/>
                <w:sz w:val="20"/>
                <w:szCs w:val="20"/>
                <w:lang w:eastAsia="en-AU"/>
              </w:rPr>
              <w:t>HoloTC</w:t>
            </w:r>
            <w:proofErr w:type="spellEnd"/>
            <w:r w:rsidRPr="00B54A75">
              <w:rPr>
                <w:rFonts w:ascii="Calibri" w:eastAsia="Times New Roman" w:hAnsi="Calibri" w:cs="Calibri"/>
                <w:color w:val="000000"/>
                <w:sz w:val="20"/>
                <w:szCs w:val="20"/>
                <w:lang w:eastAsia="en-AU"/>
              </w:rPr>
              <w:t>, TC</w:t>
            </w:r>
            <w:r w:rsidR="00083999" w:rsidRPr="00B54A75">
              <w:rPr>
                <w:rFonts w:ascii="Calibri" w:eastAsia="Times New Roman" w:hAnsi="Calibri" w:cs="Calibri"/>
                <w:color w:val="000000"/>
                <w:sz w:val="20"/>
                <w:szCs w:val="20"/>
                <w:lang w:eastAsia="en-AU"/>
              </w:rPr>
              <w:t>s</w:t>
            </w:r>
            <w:r w:rsidRPr="00B54A75">
              <w:rPr>
                <w:rFonts w:ascii="Calibri" w:eastAsia="Times New Roman" w:hAnsi="Calibri" w:cs="Calibri"/>
                <w:color w:val="000000"/>
                <w:sz w:val="20"/>
                <w:szCs w:val="20"/>
                <w:lang w:eastAsia="en-AU"/>
              </w:rPr>
              <w:t xml:space="preserve">, MMA &amp; </w:t>
            </w:r>
            <w:proofErr w:type="spellStart"/>
            <w:r w:rsidRPr="00B54A75">
              <w:rPr>
                <w:rFonts w:ascii="Calibri" w:eastAsia="Times New Roman" w:hAnsi="Calibri" w:cs="Calibri"/>
                <w:color w:val="000000"/>
                <w:sz w:val="20"/>
                <w:szCs w:val="20"/>
                <w:lang w:eastAsia="en-AU"/>
              </w:rPr>
              <w:t>HcY</w:t>
            </w:r>
            <w:proofErr w:type="spellEnd"/>
          </w:p>
        </w:tc>
        <w:tc>
          <w:tcPr>
            <w:tcW w:w="1082"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H</w:t>
            </w:r>
          </w:p>
        </w:tc>
        <w:tc>
          <w:tcPr>
            <w:tcW w:w="1274"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107</w:t>
            </w:r>
          </w:p>
        </w:tc>
        <w:tc>
          <w:tcPr>
            <w:tcW w:w="1328"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≥60.0</w:t>
            </w:r>
          </w:p>
        </w:tc>
        <w:tc>
          <w:tcPr>
            <w:tcW w:w="1418"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73.20</w:t>
            </w:r>
          </w:p>
        </w:tc>
        <w:tc>
          <w:tcPr>
            <w:tcW w:w="1417"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NR</w:t>
            </w:r>
          </w:p>
        </w:tc>
        <w:tc>
          <w:tcPr>
            <w:tcW w:w="5760"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b/>
                <w:bCs/>
                <w:iCs/>
                <w:color w:val="000000"/>
                <w:sz w:val="20"/>
                <w:szCs w:val="20"/>
                <w:lang w:eastAsia="en-AU"/>
              </w:rPr>
              <w:t>Longitudinal (MRI; 5 year)</w:t>
            </w:r>
            <w:r w:rsidRPr="00B54A75">
              <w:rPr>
                <w:rFonts w:ascii="Calibri" w:eastAsia="Times New Roman" w:hAnsi="Calibri" w:cs="Calibri"/>
                <w:color w:val="000000"/>
                <w:sz w:val="20"/>
                <w:szCs w:val="20"/>
                <w:lang w:eastAsia="en-AU"/>
              </w:rPr>
              <w:br/>
            </w:r>
            <w:r w:rsidRPr="00B54A75">
              <w:rPr>
                <w:rFonts w:ascii="Calibri" w:eastAsia="Times New Roman" w:hAnsi="Calibri" w:cs="Calibri"/>
                <w:color w:val="000000"/>
                <w:sz w:val="20"/>
                <w:szCs w:val="20"/>
                <w:u w:val="single"/>
                <w:lang w:eastAsia="en-AU"/>
              </w:rPr>
              <w:t>↑ VIT-B</w:t>
            </w:r>
            <w:r w:rsidRPr="00B54A75">
              <w:rPr>
                <w:rFonts w:ascii="Calibri" w:eastAsia="Times New Roman" w:hAnsi="Calibri" w:cs="Calibri"/>
                <w:color w:val="000000"/>
                <w:sz w:val="20"/>
                <w:szCs w:val="20"/>
                <w:u w:val="single"/>
                <w:vertAlign w:val="subscript"/>
                <w:lang w:eastAsia="en-AU"/>
              </w:rPr>
              <w:t>12</w:t>
            </w:r>
            <w:r w:rsidRPr="00B54A75">
              <w:rPr>
                <w:rFonts w:ascii="Calibri" w:eastAsia="Times New Roman" w:hAnsi="Calibri" w:cs="Calibri"/>
                <w:color w:val="000000"/>
                <w:sz w:val="20"/>
                <w:szCs w:val="20"/>
                <w:lang w:eastAsia="en-AU"/>
              </w:rPr>
              <w:t xml:space="preserve"> &amp; </w:t>
            </w:r>
            <w:r w:rsidRPr="00B54A75">
              <w:rPr>
                <w:rFonts w:ascii="Calibri" w:eastAsia="Times New Roman" w:hAnsi="Calibri" w:cs="Calibri"/>
                <w:color w:val="000000"/>
                <w:sz w:val="20"/>
                <w:szCs w:val="20"/>
                <w:u w:val="single"/>
                <w:lang w:eastAsia="en-AU"/>
              </w:rPr>
              <w:t xml:space="preserve">↑ </w:t>
            </w:r>
            <w:proofErr w:type="spellStart"/>
            <w:r w:rsidRPr="00B54A75">
              <w:rPr>
                <w:rFonts w:ascii="Calibri" w:eastAsia="Times New Roman" w:hAnsi="Calibri" w:cs="Calibri"/>
                <w:color w:val="000000"/>
                <w:sz w:val="20"/>
                <w:szCs w:val="20"/>
                <w:u w:val="single"/>
                <w:lang w:eastAsia="en-AU"/>
              </w:rPr>
              <w:t>HoloTC</w:t>
            </w:r>
            <w:proofErr w:type="spellEnd"/>
            <w:r w:rsidR="00AC73C6" w:rsidRPr="00B54A75">
              <w:rPr>
                <w:rFonts w:ascii="Calibri" w:eastAsia="Times New Roman" w:hAnsi="Calibri" w:cs="Calibri"/>
                <w:color w:val="000000"/>
                <w:sz w:val="20"/>
                <w:szCs w:val="20"/>
                <w:lang w:eastAsia="en-AU"/>
              </w:rPr>
              <w:t xml:space="preserve"> was associated with:</w:t>
            </w:r>
            <w:r w:rsidR="00AC73C6" w:rsidRPr="00B54A75">
              <w:rPr>
                <w:rFonts w:ascii="Calibri" w:eastAsia="Times New Roman" w:hAnsi="Calibri" w:cs="Calibri"/>
                <w:color w:val="000000"/>
                <w:sz w:val="20"/>
                <w:szCs w:val="20"/>
                <w:lang w:eastAsia="en-AU"/>
              </w:rPr>
              <w:br/>
              <w:t xml:space="preserve">         </w:t>
            </w:r>
            <w:r w:rsidRPr="00B54A75">
              <w:rPr>
                <w:rFonts w:ascii="Calibri" w:eastAsia="Times New Roman" w:hAnsi="Calibri" w:cs="Calibri"/>
                <w:color w:val="000000"/>
                <w:sz w:val="20"/>
                <w:szCs w:val="20"/>
                <w:lang w:eastAsia="en-AU"/>
              </w:rPr>
              <w:t xml:space="preserve">↓ </w:t>
            </w:r>
            <w:proofErr w:type="spellStart"/>
            <w:r w:rsidRPr="00B54A75">
              <w:rPr>
                <w:rFonts w:ascii="Calibri" w:eastAsia="Times New Roman" w:hAnsi="Calibri" w:cs="Calibri"/>
                <w:color w:val="000000"/>
                <w:sz w:val="20"/>
                <w:szCs w:val="20"/>
                <w:lang w:eastAsia="en-AU"/>
              </w:rPr>
              <w:t>TCar</w:t>
            </w:r>
            <w:proofErr w:type="spellEnd"/>
            <w:r w:rsidRPr="00B54A75">
              <w:rPr>
                <w:rFonts w:ascii="Calibri" w:eastAsia="Times New Roman" w:hAnsi="Calibri" w:cs="Calibri"/>
                <w:color w:val="000000"/>
                <w:sz w:val="20"/>
                <w:szCs w:val="20"/>
                <w:lang w:eastAsia="en-AU"/>
              </w:rPr>
              <w:br/>
            </w:r>
            <w:r w:rsidRPr="00B54A75">
              <w:rPr>
                <w:rFonts w:ascii="Calibri" w:eastAsia="Times New Roman" w:hAnsi="Calibri" w:cs="Calibri"/>
                <w:color w:val="000000"/>
                <w:sz w:val="20"/>
                <w:szCs w:val="20"/>
                <w:u w:val="single"/>
                <w:lang w:eastAsia="en-AU"/>
              </w:rPr>
              <w:t>↑ TC</w:t>
            </w:r>
            <w:r w:rsidR="00083999" w:rsidRPr="00B54A75">
              <w:rPr>
                <w:rFonts w:ascii="Calibri" w:eastAsia="Times New Roman" w:hAnsi="Calibri" w:cs="Calibri"/>
                <w:color w:val="000000"/>
                <w:sz w:val="20"/>
                <w:szCs w:val="20"/>
                <w:u w:val="single"/>
                <w:lang w:eastAsia="en-AU"/>
              </w:rPr>
              <w:t>s</w:t>
            </w:r>
            <w:r w:rsidRPr="00B54A75">
              <w:rPr>
                <w:rFonts w:ascii="Calibri" w:eastAsia="Times New Roman" w:hAnsi="Calibri" w:cs="Calibri"/>
                <w:color w:val="000000"/>
                <w:sz w:val="20"/>
                <w:szCs w:val="20"/>
                <w:u w:val="single"/>
                <w:lang w:eastAsia="en-AU"/>
              </w:rPr>
              <w:t xml:space="preserve"> </w:t>
            </w:r>
            <w:r w:rsidR="00AC73C6" w:rsidRPr="00B54A75">
              <w:rPr>
                <w:rFonts w:ascii="Calibri" w:eastAsia="Times New Roman" w:hAnsi="Calibri" w:cs="Calibri"/>
                <w:color w:val="000000"/>
                <w:sz w:val="20"/>
                <w:szCs w:val="20"/>
                <w:lang w:eastAsia="en-AU"/>
              </w:rPr>
              <w:t>was associated with:</w:t>
            </w:r>
            <w:r w:rsidR="00AC73C6" w:rsidRPr="00B54A75">
              <w:rPr>
                <w:rFonts w:ascii="Calibri" w:eastAsia="Times New Roman" w:hAnsi="Calibri" w:cs="Calibri"/>
                <w:color w:val="000000"/>
                <w:sz w:val="20"/>
                <w:szCs w:val="20"/>
                <w:lang w:eastAsia="en-AU"/>
              </w:rPr>
              <w:br/>
              <w:t xml:space="preserve">         </w:t>
            </w:r>
            <w:r w:rsidRPr="00B54A75">
              <w:rPr>
                <w:rFonts w:ascii="Calibri" w:eastAsia="Times New Roman" w:hAnsi="Calibri" w:cs="Calibri"/>
                <w:color w:val="000000"/>
                <w:sz w:val="20"/>
                <w:szCs w:val="20"/>
                <w:lang w:eastAsia="en-AU"/>
              </w:rPr>
              <w:t xml:space="preserve">↓ </w:t>
            </w:r>
            <w:proofErr w:type="spellStart"/>
            <w:r w:rsidRPr="00B54A75">
              <w:rPr>
                <w:rFonts w:ascii="Calibri" w:eastAsia="Times New Roman" w:hAnsi="Calibri" w:cs="Calibri"/>
                <w:color w:val="000000"/>
                <w:sz w:val="20"/>
                <w:szCs w:val="20"/>
                <w:lang w:eastAsia="en-AU"/>
              </w:rPr>
              <w:t>TCar</w:t>
            </w:r>
            <w:proofErr w:type="spellEnd"/>
            <w:r w:rsidRPr="00B54A75">
              <w:rPr>
                <w:rFonts w:ascii="Calibri" w:eastAsia="Times New Roman" w:hAnsi="Calibri" w:cs="Calibri"/>
                <w:color w:val="000000"/>
                <w:sz w:val="20"/>
                <w:szCs w:val="20"/>
                <w:lang w:eastAsia="en-AU"/>
              </w:rPr>
              <w:t xml:space="preserve"> (unadjusted analysis only)</w:t>
            </w:r>
            <w:r w:rsidRPr="00B54A75">
              <w:rPr>
                <w:rFonts w:ascii="Calibri" w:eastAsia="Times New Roman" w:hAnsi="Calibri" w:cs="Calibri"/>
                <w:color w:val="000000"/>
                <w:sz w:val="20"/>
                <w:szCs w:val="20"/>
                <w:lang w:eastAsia="en-AU"/>
              </w:rPr>
              <w:br/>
            </w:r>
            <w:r w:rsidRPr="00B54A75">
              <w:rPr>
                <w:rFonts w:ascii="Calibri" w:eastAsia="Times New Roman" w:hAnsi="Calibri" w:cs="Calibri"/>
                <w:color w:val="000000"/>
                <w:sz w:val="20"/>
                <w:szCs w:val="20"/>
                <w:u w:val="single"/>
                <w:lang w:eastAsia="en-AU"/>
              </w:rPr>
              <w:t xml:space="preserve">↑ </w:t>
            </w:r>
            <w:proofErr w:type="gramStart"/>
            <w:r w:rsidRPr="00B54A75">
              <w:rPr>
                <w:rFonts w:ascii="Calibri" w:eastAsia="Times New Roman" w:hAnsi="Calibri" w:cs="Calibri"/>
                <w:color w:val="000000"/>
                <w:sz w:val="20"/>
                <w:szCs w:val="20"/>
                <w:u w:val="single"/>
                <w:lang w:eastAsia="en-AU"/>
              </w:rPr>
              <w:t>MMA</w:t>
            </w:r>
            <w:r w:rsidRPr="00B54A75">
              <w:rPr>
                <w:rFonts w:ascii="Calibri" w:eastAsia="Times New Roman" w:hAnsi="Calibri" w:cs="Calibri"/>
                <w:color w:val="000000"/>
                <w:sz w:val="20"/>
                <w:szCs w:val="20"/>
                <w:lang w:eastAsia="en-AU"/>
              </w:rPr>
              <w:t xml:space="preserve">  &amp;</w:t>
            </w:r>
            <w:proofErr w:type="gramEnd"/>
            <w:r w:rsidRPr="00B54A75">
              <w:rPr>
                <w:rFonts w:ascii="Calibri" w:eastAsia="Times New Roman" w:hAnsi="Calibri" w:cs="Calibri"/>
                <w:color w:val="000000"/>
                <w:sz w:val="20"/>
                <w:szCs w:val="20"/>
                <w:lang w:eastAsia="en-AU"/>
              </w:rPr>
              <w:t xml:space="preserve"> </w:t>
            </w:r>
            <w:r w:rsidRPr="00B54A75">
              <w:rPr>
                <w:rFonts w:ascii="Calibri" w:eastAsia="Times New Roman" w:hAnsi="Calibri" w:cs="Calibri"/>
                <w:color w:val="000000"/>
                <w:sz w:val="20"/>
                <w:szCs w:val="20"/>
                <w:u w:val="single"/>
                <w:lang w:eastAsia="en-AU"/>
              </w:rPr>
              <w:t xml:space="preserve">↑ </w:t>
            </w:r>
            <w:proofErr w:type="spellStart"/>
            <w:r w:rsidRPr="00B54A75">
              <w:rPr>
                <w:rFonts w:ascii="Calibri" w:eastAsia="Times New Roman" w:hAnsi="Calibri" w:cs="Calibri"/>
                <w:color w:val="000000"/>
                <w:sz w:val="20"/>
                <w:szCs w:val="20"/>
                <w:u w:val="single"/>
                <w:lang w:eastAsia="en-AU"/>
              </w:rPr>
              <w:t>HcY</w:t>
            </w:r>
            <w:proofErr w:type="spellEnd"/>
            <w:r w:rsidR="00AC73C6" w:rsidRPr="00B54A75">
              <w:rPr>
                <w:rFonts w:ascii="Calibri" w:eastAsia="Times New Roman" w:hAnsi="Calibri" w:cs="Calibri"/>
                <w:color w:val="000000"/>
                <w:sz w:val="20"/>
                <w:szCs w:val="20"/>
                <w:lang w:eastAsia="en-AU"/>
              </w:rPr>
              <w:t xml:space="preserve"> was associated with:</w:t>
            </w:r>
            <w:r w:rsidR="00AC73C6" w:rsidRPr="00B54A75">
              <w:rPr>
                <w:rFonts w:ascii="Calibri" w:eastAsia="Times New Roman" w:hAnsi="Calibri" w:cs="Calibri"/>
                <w:color w:val="000000"/>
                <w:sz w:val="20"/>
                <w:szCs w:val="20"/>
                <w:lang w:eastAsia="en-AU"/>
              </w:rPr>
              <w:br/>
              <w:t xml:space="preserve">        </w:t>
            </w:r>
            <w:r w:rsidRPr="00B54A75">
              <w:rPr>
                <w:rFonts w:ascii="Calibri" w:eastAsia="Times New Roman" w:hAnsi="Calibri" w:cs="Calibri"/>
                <w:color w:val="000000"/>
                <w:sz w:val="20"/>
                <w:szCs w:val="20"/>
                <w:lang w:eastAsia="en-AU"/>
              </w:rPr>
              <w:t xml:space="preserve"> ↑ </w:t>
            </w:r>
            <w:proofErr w:type="spellStart"/>
            <w:r w:rsidRPr="00B54A75">
              <w:rPr>
                <w:rFonts w:ascii="Calibri" w:eastAsia="Times New Roman" w:hAnsi="Calibri" w:cs="Calibri"/>
                <w:color w:val="000000"/>
                <w:sz w:val="20"/>
                <w:szCs w:val="20"/>
                <w:lang w:eastAsia="en-AU"/>
              </w:rPr>
              <w:t>TCar</w:t>
            </w:r>
            <w:proofErr w:type="spellEnd"/>
            <w:r w:rsidRPr="00B54A75">
              <w:rPr>
                <w:rFonts w:ascii="Calibri" w:eastAsia="Times New Roman" w:hAnsi="Calibri" w:cs="Calibri"/>
                <w:color w:val="000000"/>
                <w:sz w:val="20"/>
                <w:szCs w:val="20"/>
                <w:lang w:eastAsia="en-AU"/>
              </w:rPr>
              <w:t xml:space="preserve"> (unadjusted analysis only) </w:t>
            </w:r>
          </w:p>
        </w:tc>
      </w:tr>
      <w:tr w:rsidR="009321E8" w:rsidRPr="00B54A75" w:rsidTr="00222F25">
        <w:trPr>
          <w:trHeight w:val="825"/>
        </w:trPr>
        <w:tc>
          <w:tcPr>
            <w:tcW w:w="1840" w:type="dxa"/>
            <w:tcBorders>
              <w:top w:val="nil"/>
              <w:left w:val="nil"/>
              <w:bottom w:val="nil"/>
              <w:right w:val="nil"/>
            </w:tcBorders>
            <w:shd w:val="clear" w:color="auto" w:fill="auto"/>
            <w:vAlign w:val="bottom"/>
            <w:hideMark/>
          </w:tcPr>
          <w:p w:rsidR="00112011" w:rsidRPr="00B54A75" w:rsidRDefault="00A85A6A"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Sachdev et al.</w:t>
            </w:r>
            <w:r w:rsidR="003114CA" w:rsidRPr="00B54A75">
              <w:rPr>
                <w:rFonts w:ascii="Calibri" w:eastAsia="Times New Roman" w:hAnsi="Calibri" w:cs="Calibri"/>
                <w:color w:val="000000"/>
                <w:sz w:val="20"/>
                <w:szCs w:val="20"/>
                <w:lang w:eastAsia="en-AU"/>
              </w:rPr>
              <w:fldChar w:fldCharType="begin" w:fldLock="1"/>
            </w:r>
            <w:r w:rsidR="00C73D5C">
              <w:rPr>
                <w:rFonts w:ascii="Calibri" w:eastAsia="Times New Roman" w:hAnsi="Calibri" w:cs="Calibri"/>
                <w:color w:val="000000"/>
                <w:sz w:val="20"/>
                <w:szCs w:val="20"/>
                <w:lang w:eastAsia="en-AU"/>
              </w:rPr>
              <w:instrText>ADDIN CSL_CITATION { "citationItems" : [ { "id" : "ITEM-1", "itemData" : { "author" : [ { "dropping-particle" : "", "family" : "Sachdev", "given" : "P.", "non-dropping-particle" : "", "parse-names" : false, "suffix" : "" }, { "dropping-particle" : "", "family" : "Parslow", "given" : "R.", "non-dropping-particle" : "", "parse-names" : false, "suffix" : "" }, { "dropping-particle" : "", "family" : "Salonikas", "given" : "C.", "non-dropping-particle" : "", "parse-names" : false, "suffix" : "" }, { "dropping-particle" : "", "family" : "Lux", "given" : "O.", "non-dropping-particle" : "", "parse-names" : false, "suffix" : "" }, { "dropping-particle" : "", "family" : "Wen", "given" : "W.", "non-dropping-particle" : "", "parse-names" : false, "suffix" : "" }, { "dropping-particle" : "", "family" : "Kumar", "given" : "R.", "non-dropping-particle" : "", "parse-names" : false, "suffix" : "" }, { "dropping-particle" : "", "family" : "Naidoo", "given" : "D.", "non-dropping-particle" : "", "parse-names" : false, "suffix" : "" }, { "dropping-particle" : "", "family" : "Christensen", "given" : "H.", "non-dropping-particle" : "", "parse-names" : false, "suffix" : "" }, { "dropping-particle" : "", "family" : "Jorm", "given" : "A.", "non-dropping-particle" : "", "parse-names" : false, "suffix" : "" } ], "container-title" : "Archives of Neurology", "id" : "ITEM-1", "issued" : { "date-parts" : [ [ "2004" ] ] }, "page" : "1369-1376", "title" : "Homocysteine and the brain in midadult life: Evidence for an increased risk of leukoaraiosis in men", "type" : "article-journal", "volume" : "61" }, "uris" : [ "http://www.mendeley.com/documents/?uuid=cc417656-11c1-4148-b568-b8dcd31e8e7d" ] } ], "mendeley" : { "formattedCitation" : "&lt;sup&gt;(18)&lt;/sup&gt;", "plainTextFormattedCitation" : "(18)", "previouslyFormattedCitation" : "&lt;sup&gt;(18)&lt;/sup&gt;" }, "properties" : { "noteIndex" : 0 }, "schema" : "https://github.com/citation-style-language/schema/raw/master/csl-citation.json" }</w:instrText>
            </w:r>
            <w:r w:rsidR="003114CA" w:rsidRPr="00B54A75">
              <w:rPr>
                <w:rFonts w:ascii="Calibri" w:eastAsia="Times New Roman" w:hAnsi="Calibri" w:cs="Calibri"/>
                <w:color w:val="000000"/>
                <w:sz w:val="20"/>
                <w:szCs w:val="20"/>
                <w:lang w:eastAsia="en-AU"/>
              </w:rPr>
              <w:fldChar w:fldCharType="separate"/>
            </w:r>
            <w:r w:rsidR="00B54A75" w:rsidRPr="00B54A75">
              <w:rPr>
                <w:rFonts w:ascii="Calibri" w:eastAsia="Times New Roman" w:hAnsi="Calibri" w:cs="Calibri"/>
                <w:noProof/>
                <w:color w:val="000000"/>
                <w:sz w:val="20"/>
                <w:szCs w:val="20"/>
                <w:vertAlign w:val="superscript"/>
                <w:lang w:eastAsia="en-AU"/>
              </w:rPr>
              <w:t>(18)</w:t>
            </w:r>
            <w:r w:rsidR="003114CA" w:rsidRPr="00B54A75">
              <w:rPr>
                <w:rFonts w:ascii="Calibri" w:eastAsia="Times New Roman" w:hAnsi="Calibri" w:cs="Calibri"/>
                <w:color w:val="000000"/>
                <w:sz w:val="20"/>
                <w:szCs w:val="20"/>
                <w:lang w:eastAsia="en-AU"/>
              </w:rPr>
              <w:fldChar w:fldCharType="end"/>
            </w:r>
          </w:p>
        </w:tc>
        <w:tc>
          <w:tcPr>
            <w:tcW w:w="1049"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proofErr w:type="spellStart"/>
            <w:r w:rsidRPr="00B54A75">
              <w:rPr>
                <w:rFonts w:ascii="Calibri" w:eastAsia="Times New Roman" w:hAnsi="Calibri" w:cs="Calibri"/>
                <w:color w:val="000000"/>
                <w:sz w:val="20"/>
                <w:szCs w:val="20"/>
                <w:lang w:eastAsia="en-AU"/>
              </w:rPr>
              <w:t>HcY</w:t>
            </w:r>
            <w:proofErr w:type="spellEnd"/>
          </w:p>
        </w:tc>
        <w:tc>
          <w:tcPr>
            <w:tcW w:w="1082" w:type="dxa"/>
            <w:tcBorders>
              <w:top w:val="nil"/>
              <w:left w:val="nil"/>
              <w:bottom w:val="nil"/>
              <w:right w:val="nil"/>
            </w:tcBorders>
            <w:shd w:val="clear" w:color="auto" w:fill="auto"/>
            <w:vAlign w:val="bottom"/>
            <w:hideMark/>
          </w:tcPr>
          <w:p w:rsidR="00112011" w:rsidRPr="00070EC0" w:rsidRDefault="002C1387" w:rsidP="00112011">
            <w:pPr>
              <w:spacing w:after="0" w:line="240" w:lineRule="auto"/>
              <w:rPr>
                <w:rFonts w:ascii="Calibri" w:eastAsia="Times New Roman" w:hAnsi="Calibri" w:cs="Calibri"/>
                <w:color w:val="000000"/>
                <w:sz w:val="20"/>
                <w:szCs w:val="20"/>
                <w:lang w:eastAsia="en-AU"/>
              </w:rPr>
            </w:pPr>
            <w:r w:rsidRPr="00070EC0">
              <w:rPr>
                <w:rFonts w:ascii="Calibri" w:eastAsia="Times New Roman" w:hAnsi="Calibri" w:cs="Calibri"/>
                <w:color w:val="000000"/>
                <w:sz w:val="20"/>
                <w:szCs w:val="20"/>
                <w:lang w:eastAsia="en-AU"/>
              </w:rPr>
              <w:t>DF</w:t>
            </w:r>
            <w:r w:rsidR="00070EC0" w:rsidRPr="00070EC0">
              <w:rPr>
                <w:rFonts w:cstheme="minorHAnsi"/>
              </w:rPr>
              <w:t>§</w:t>
            </w:r>
          </w:p>
        </w:tc>
        <w:tc>
          <w:tcPr>
            <w:tcW w:w="1274"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385</w:t>
            </w:r>
          </w:p>
        </w:tc>
        <w:tc>
          <w:tcPr>
            <w:tcW w:w="1328"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NR</w:t>
            </w:r>
          </w:p>
        </w:tc>
        <w:tc>
          <w:tcPr>
            <w:tcW w:w="1418"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62.64 (M)</w:t>
            </w:r>
            <w:r w:rsidRPr="00B54A75">
              <w:rPr>
                <w:rFonts w:ascii="Calibri" w:eastAsia="Times New Roman" w:hAnsi="Calibri" w:cs="Calibri"/>
                <w:color w:val="000000"/>
                <w:sz w:val="20"/>
                <w:szCs w:val="20"/>
                <w:lang w:eastAsia="en-AU"/>
              </w:rPr>
              <w:br/>
              <w:t>62.59 (F)</w:t>
            </w:r>
          </w:p>
        </w:tc>
        <w:tc>
          <w:tcPr>
            <w:tcW w:w="1417"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1.43 (M)</w:t>
            </w:r>
            <w:r w:rsidRPr="00B54A75">
              <w:rPr>
                <w:rFonts w:ascii="Calibri" w:eastAsia="Times New Roman" w:hAnsi="Calibri" w:cs="Calibri"/>
                <w:color w:val="000000"/>
                <w:sz w:val="20"/>
                <w:szCs w:val="20"/>
                <w:lang w:eastAsia="en-AU"/>
              </w:rPr>
              <w:br/>
              <w:t>1.45 (F)</w:t>
            </w:r>
          </w:p>
        </w:tc>
        <w:tc>
          <w:tcPr>
            <w:tcW w:w="5760"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b/>
                <w:bCs/>
                <w:color w:val="000000"/>
                <w:sz w:val="20"/>
                <w:szCs w:val="20"/>
                <w:lang w:eastAsia="en-AU"/>
              </w:rPr>
            </w:pPr>
            <w:r w:rsidRPr="00B54A75">
              <w:rPr>
                <w:rFonts w:ascii="Calibri" w:eastAsia="Times New Roman" w:hAnsi="Calibri" w:cs="Calibri"/>
                <w:b/>
                <w:bCs/>
                <w:iCs/>
                <w:color w:val="000000"/>
                <w:sz w:val="20"/>
                <w:szCs w:val="20"/>
                <w:lang w:eastAsia="en-AU"/>
              </w:rPr>
              <w:t xml:space="preserve">Cross sectional </w:t>
            </w:r>
            <w:r w:rsidRPr="00B54A75">
              <w:rPr>
                <w:rFonts w:ascii="Calibri" w:eastAsia="Times New Roman" w:hAnsi="Calibri" w:cs="Calibri"/>
                <w:b/>
                <w:bCs/>
                <w:color w:val="000000"/>
                <w:sz w:val="20"/>
                <w:szCs w:val="20"/>
                <w:lang w:eastAsia="en-AU"/>
              </w:rPr>
              <w:t>(MRI)</w:t>
            </w:r>
            <w:r w:rsidRPr="00B54A75">
              <w:rPr>
                <w:rFonts w:ascii="Calibri" w:eastAsia="Times New Roman" w:hAnsi="Calibri" w:cs="Calibri"/>
                <w:b/>
                <w:bCs/>
                <w:color w:val="000000"/>
                <w:sz w:val="20"/>
                <w:szCs w:val="20"/>
                <w:lang w:eastAsia="en-AU"/>
              </w:rPr>
              <w:br/>
            </w:r>
            <w:r w:rsidRPr="00B54A75">
              <w:rPr>
                <w:rFonts w:ascii="Calibri" w:eastAsia="Times New Roman" w:hAnsi="Calibri" w:cs="Calibri"/>
                <w:color w:val="000000"/>
                <w:sz w:val="20"/>
                <w:szCs w:val="20"/>
                <w:u w:val="single"/>
                <w:lang w:eastAsia="en-AU"/>
              </w:rPr>
              <w:t xml:space="preserve">↑ </w:t>
            </w:r>
            <w:proofErr w:type="spellStart"/>
            <w:r w:rsidRPr="00B54A75">
              <w:rPr>
                <w:rFonts w:ascii="Calibri" w:eastAsia="Times New Roman" w:hAnsi="Calibri" w:cs="Calibri"/>
                <w:color w:val="000000"/>
                <w:sz w:val="20"/>
                <w:szCs w:val="20"/>
                <w:u w:val="single"/>
                <w:lang w:eastAsia="en-AU"/>
              </w:rPr>
              <w:t>HcY</w:t>
            </w:r>
            <w:proofErr w:type="spellEnd"/>
            <w:r w:rsidR="00AC73C6" w:rsidRPr="00B54A75">
              <w:rPr>
                <w:rFonts w:ascii="Calibri" w:eastAsia="Times New Roman" w:hAnsi="Calibri" w:cs="Calibri"/>
                <w:color w:val="000000"/>
                <w:sz w:val="20"/>
                <w:szCs w:val="20"/>
                <w:lang w:eastAsia="en-AU"/>
              </w:rPr>
              <w:t xml:space="preserve"> associated with:</w:t>
            </w:r>
            <w:r w:rsidR="00AC73C6" w:rsidRPr="00B54A75">
              <w:rPr>
                <w:rFonts w:ascii="Calibri" w:eastAsia="Times New Roman" w:hAnsi="Calibri" w:cs="Calibri"/>
                <w:color w:val="000000"/>
                <w:sz w:val="20"/>
                <w:szCs w:val="20"/>
                <w:lang w:eastAsia="en-AU"/>
              </w:rPr>
              <w:br/>
              <w:t xml:space="preserve">         </w:t>
            </w:r>
            <w:r w:rsidRPr="00B54A75">
              <w:rPr>
                <w:rFonts w:ascii="Calibri" w:eastAsia="Times New Roman" w:hAnsi="Calibri" w:cs="Calibri"/>
                <w:color w:val="000000"/>
                <w:sz w:val="20"/>
                <w:szCs w:val="20"/>
                <w:lang w:eastAsia="en-AU"/>
              </w:rPr>
              <w:t xml:space="preserve">↑ Deep </w:t>
            </w:r>
            <w:proofErr w:type="spellStart"/>
            <w:r w:rsidRPr="00B54A75">
              <w:rPr>
                <w:rFonts w:ascii="Calibri" w:eastAsia="Times New Roman" w:hAnsi="Calibri" w:cs="Calibri"/>
                <w:color w:val="000000"/>
                <w:sz w:val="20"/>
                <w:szCs w:val="20"/>
                <w:lang w:eastAsia="en-AU"/>
              </w:rPr>
              <w:t>WMHv</w:t>
            </w:r>
            <w:proofErr w:type="spellEnd"/>
          </w:p>
        </w:tc>
      </w:tr>
      <w:tr w:rsidR="008251F9" w:rsidRPr="00B54A75" w:rsidTr="00222F25">
        <w:trPr>
          <w:trHeight w:val="1095"/>
        </w:trPr>
        <w:tc>
          <w:tcPr>
            <w:tcW w:w="1840" w:type="dxa"/>
            <w:tcBorders>
              <w:top w:val="nil"/>
              <w:left w:val="nil"/>
              <w:bottom w:val="nil"/>
              <w:right w:val="nil"/>
            </w:tcBorders>
            <w:shd w:val="clear" w:color="000000" w:fill="D9D9D9"/>
            <w:vAlign w:val="bottom"/>
            <w:hideMark/>
          </w:tcPr>
          <w:p w:rsidR="00112011" w:rsidRPr="00B54A75" w:rsidRDefault="00A85A6A"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 xml:space="preserve">den </w:t>
            </w:r>
            <w:proofErr w:type="spellStart"/>
            <w:r w:rsidRPr="00B54A75">
              <w:rPr>
                <w:rFonts w:ascii="Calibri" w:eastAsia="Times New Roman" w:hAnsi="Calibri" w:cs="Calibri"/>
                <w:color w:val="000000"/>
                <w:sz w:val="20"/>
                <w:szCs w:val="20"/>
                <w:lang w:eastAsia="en-AU"/>
              </w:rPr>
              <w:t>Heijer</w:t>
            </w:r>
            <w:proofErr w:type="spellEnd"/>
            <w:r w:rsidRPr="00B54A75">
              <w:rPr>
                <w:rFonts w:ascii="Calibri" w:eastAsia="Times New Roman" w:hAnsi="Calibri" w:cs="Calibri"/>
                <w:color w:val="000000"/>
                <w:sz w:val="20"/>
                <w:szCs w:val="20"/>
                <w:lang w:eastAsia="en-AU"/>
              </w:rPr>
              <w:t xml:space="preserve"> et al.</w:t>
            </w:r>
            <w:r w:rsidR="003114CA" w:rsidRPr="00B54A75">
              <w:rPr>
                <w:rFonts w:ascii="Calibri" w:eastAsia="Times New Roman" w:hAnsi="Calibri" w:cs="Calibri"/>
                <w:color w:val="000000"/>
                <w:sz w:val="20"/>
                <w:szCs w:val="20"/>
                <w:lang w:eastAsia="en-AU"/>
              </w:rPr>
              <w:fldChar w:fldCharType="begin" w:fldLock="1"/>
            </w:r>
            <w:r w:rsidR="00C73D5C">
              <w:rPr>
                <w:rFonts w:ascii="Calibri" w:eastAsia="Times New Roman" w:hAnsi="Calibri" w:cs="Calibri"/>
                <w:color w:val="000000"/>
                <w:sz w:val="20"/>
                <w:szCs w:val="20"/>
                <w:lang w:eastAsia="en-AU"/>
              </w:rPr>
              <w:instrText>ADDIN CSL_CITATION { "citationItems" : [ { "id" : "ITEM-1", "itemData" : { "DOI" : "10.1093/brain/awg006", "ISSN" : "14602156", "author" : [ { "dropping-particle" : "", "family" : "Heijer", "given" : "T.", "non-dropping-particle" : "den", "parse-names" : false, "suffix" : "" }, { "dropping-particle" : "", "family" : "Vermeer", "given" : "S.E.", "non-dropping-particle" : "", "parse-names" : false, "suffix" : "" }, { "dropping-particle" : "", "family" : "Clarke", "given" : "R.", "non-dropping-particle" : "", "parse-names" : false, "suffix" : "" }, { "dropping-particle" : "", "family" : "Oudkerk", "given" : "M.", "non-dropping-particle" : "", "parse-names" : false, "suffix" : "" }, { "dropping-particle" : "", "family" : "Koudstaal", "given" : "P.J.", "non-dropping-particle" : "", "parse-names" : false, "suffix" : "" }, { "dropping-particle" : "", "family" : "Hofman", "given" : "A.", "non-dropping-particle" : "", "parse-names" : false, "suffix" : "" }, { "dropping-particle" : "", "family" : "Breteler", "given" : "M.M.B.", "non-dropping-particle" : "", "parse-names" : false, "suffix" : "" } ], "container-title" : "Brain", "id" : "ITEM-1", "issued" : { "date-parts" : [ [ "2003", "1", "1" ] ] }, "page" : "170-175", "title" : "Homocysteine and brain atrophy on MRI of non-demented elderly", "type" : "article-journal", "volume" : "126" }, "uris" : [ "http://www.mendeley.com/documents/?uuid=f22a57e0-0694-479b-9d4e-a84e5a742ffe" ] } ], "mendeley" : { "formattedCitation" : "&lt;sup&gt;(19)&lt;/sup&gt;", "plainTextFormattedCitation" : "(19)", "previouslyFormattedCitation" : "&lt;sup&gt;(19)&lt;/sup&gt;" }, "properties" : { "noteIndex" : 0 }, "schema" : "https://github.com/citation-style-language/schema/raw/master/csl-citation.json" }</w:instrText>
            </w:r>
            <w:r w:rsidR="003114CA" w:rsidRPr="00B54A75">
              <w:rPr>
                <w:rFonts w:ascii="Calibri" w:eastAsia="Times New Roman" w:hAnsi="Calibri" w:cs="Calibri"/>
                <w:color w:val="000000"/>
                <w:sz w:val="20"/>
                <w:szCs w:val="20"/>
                <w:lang w:eastAsia="en-AU"/>
              </w:rPr>
              <w:fldChar w:fldCharType="separate"/>
            </w:r>
            <w:r w:rsidR="00B54A75" w:rsidRPr="00B54A75">
              <w:rPr>
                <w:rFonts w:ascii="Calibri" w:eastAsia="Times New Roman" w:hAnsi="Calibri" w:cs="Calibri"/>
                <w:noProof/>
                <w:color w:val="000000"/>
                <w:sz w:val="20"/>
                <w:szCs w:val="20"/>
                <w:vertAlign w:val="superscript"/>
                <w:lang w:eastAsia="en-AU"/>
              </w:rPr>
              <w:t>(19)</w:t>
            </w:r>
            <w:r w:rsidR="003114CA" w:rsidRPr="00B54A75">
              <w:rPr>
                <w:rFonts w:ascii="Calibri" w:eastAsia="Times New Roman" w:hAnsi="Calibri" w:cs="Calibri"/>
                <w:color w:val="000000"/>
                <w:sz w:val="20"/>
                <w:szCs w:val="20"/>
                <w:lang w:eastAsia="en-AU"/>
              </w:rPr>
              <w:fldChar w:fldCharType="end"/>
            </w:r>
          </w:p>
        </w:tc>
        <w:tc>
          <w:tcPr>
            <w:tcW w:w="1049"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proofErr w:type="spellStart"/>
            <w:r w:rsidRPr="00B54A75">
              <w:rPr>
                <w:rFonts w:ascii="Calibri" w:eastAsia="Times New Roman" w:hAnsi="Calibri" w:cs="Calibri"/>
                <w:color w:val="000000"/>
                <w:sz w:val="20"/>
                <w:szCs w:val="20"/>
                <w:lang w:eastAsia="en-AU"/>
              </w:rPr>
              <w:t>HcY</w:t>
            </w:r>
            <w:proofErr w:type="spellEnd"/>
          </w:p>
        </w:tc>
        <w:tc>
          <w:tcPr>
            <w:tcW w:w="1082"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DF</w:t>
            </w:r>
          </w:p>
        </w:tc>
        <w:tc>
          <w:tcPr>
            <w:tcW w:w="1274"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1,031</w:t>
            </w:r>
          </w:p>
        </w:tc>
        <w:tc>
          <w:tcPr>
            <w:tcW w:w="1328"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60.0 - 90.0</w:t>
            </w:r>
          </w:p>
        </w:tc>
        <w:tc>
          <w:tcPr>
            <w:tcW w:w="1418"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72.0</w:t>
            </w:r>
          </w:p>
        </w:tc>
        <w:tc>
          <w:tcPr>
            <w:tcW w:w="1417"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7.0</w:t>
            </w:r>
          </w:p>
        </w:tc>
        <w:tc>
          <w:tcPr>
            <w:tcW w:w="5760"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b/>
                <w:bCs/>
                <w:iCs/>
                <w:color w:val="000000"/>
                <w:sz w:val="20"/>
                <w:szCs w:val="20"/>
                <w:lang w:eastAsia="en-AU"/>
              </w:rPr>
              <w:t>Cross sectional</w:t>
            </w:r>
            <w:r w:rsidRPr="00B54A75">
              <w:rPr>
                <w:rFonts w:ascii="Calibri" w:eastAsia="Times New Roman" w:hAnsi="Calibri" w:cs="Calibri"/>
                <w:b/>
                <w:bCs/>
                <w:color w:val="000000"/>
                <w:sz w:val="20"/>
                <w:szCs w:val="20"/>
                <w:lang w:eastAsia="en-AU"/>
              </w:rPr>
              <w:t xml:space="preserve"> (MRI)</w:t>
            </w:r>
            <w:r w:rsidRPr="00B54A75">
              <w:rPr>
                <w:rFonts w:ascii="Calibri" w:eastAsia="Times New Roman" w:hAnsi="Calibri" w:cs="Calibri"/>
                <w:color w:val="000000"/>
                <w:sz w:val="20"/>
                <w:szCs w:val="20"/>
                <w:lang w:eastAsia="en-AU"/>
              </w:rPr>
              <w:br/>
            </w:r>
            <w:r w:rsidRPr="00B54A75">
              <w:rPr>
                <w:rFonts w:ascii="Calibri" w:eastAsia="Times New Roman" w:hAnsi="Calibri" w:cs="Calibri"/>
                <w:color w:val="000000"/>
                <w:sz w:val="20"/>
                <w:szCs w:val="20"/>
                <w:u w:val="single"/>
                <w:lang w:eastAsia="en-AU"/>
              </w:rPr>
              <w:t xml:space="preserve">↑ </w:t>
            </w:r>
            <w:proofErr w:type="spellStart"/>
            <w:r w:rsidRPr="00B54A75">
              <w:rPr>
                <w:rFonts w:ascii="Calibri" w:eastAsia="Times New Roman" w:hAnsi="Calibri" w:cs="Calibri"/>
                <w:color w:val="000000"/>
                <w:sz w:val="20"/>
                <w:szCs w:val="20"/>
                <w:u w:val="single"/>
                <w:lang w:eastAsia="en-AU"/>
              </w:rPr>
              <w:t>HcY</w:t>
            </w:r>
            <w:proofErr w:type="spellEnd"/>
            <w:r w:rsidRPr="00B54A75">
              <w:rPr>
                <w:rFonts w:ascii="Calibri" w:eastAsia="Times New Roman" w:hAnsi="Calibri" w:cs="Calibri"/>
                <w:color w:val="000000"/>
                <w:sz w:val="20"/>
                <w:szCs w:val="20"/>
                <w:lang w:eastAsia="en-AU"/>
              </w:rPr>
              <w:t xml:space="preserve"> was associated with:</w:t>
            </w:r>
            <w:r w:rsidRPr="00B54A75">
              <w:rPr>
                <w:rFonts w:ascii="Calibri" w:eastAsia="Times New Roman" w:hAnsi="Calibri" w:cs="Calibri"/>
                <w:color w:val="000000"/>
                <w:sz w:val="20"/>
                <w:szCs w:val="20"/>
                <w:lang w:eastAsia="en-AU"/>
              </w:rPr>
              <w:br/>
              <w:t xml:space="preserve">      </w:t>
            </w:r>
            <w:r w:rsidR="00AC73C6" w:rsidRPr="00B54A75">
              <w:rPr>
                <w:rFonts w:ascii="Calibri" w:eastAsia="Times New Roman" w:hAnsi="Calibri" w:cs="Calibri"/>
                <w:color w:val="000000"/>
                <w:sz w:val="20"/>
                <w:szCs w:val="20"/>
                <w:lang w:eastAsia="en-AU"/>
              </w:rPr>
              <w:t xml:space="preserve">   ↑ Cortical atrophy</w:t>
            </w:r>
            <w:r w:rsidR="00AC73C6" w:rsidRPr="00B54A75">
              <w:rPr>
                <w:rFonts w:ascii="Calibri" w:eastAsia="Times New Roman" w:hAnsi="Calibri" w:cs="Calibri"/>
                <w:color w:val="000000"/>
                <w:sz w:val="20"/>
                <w:szCs w:val="20"/>
                <w:lang w:eastAsia="en-AU"/>
              </w:rPr>
              <w:br/>
              <w:t xml:space="preserve">        </w:t>
            </w:r>
            <w:r w:rsidRPr="00B54A75">
              <w:rPr>
                <w:rFonts w:ascii="Calibri" w:eastAsia="Times New Roman" w:hAnsi="Calibri" w:cs="Calibri"/>
                <w:color w:val="000000"/>
                <w:sz w:val="20"/>
                <w:szCs w:val="20"/>
                <w:lang w:eastAsia="en-AU"/>
              </w:rPr>
              <w:t xml:space="preserve"> ↓ </w:t>
            </w:r>
            <w:proofErr w:type="spellStart"/>
            <w:r w:rsidRPr="00B54A75">
              <w:rPr>
                <w:rFonts w:ascii="Calibri" w:eastAsia="Times New Roman" w:hAnsi="Calibri" w:cs="Calibri"/>
                <w:color w:val="000000"/>
                <w:sz w:val="20"/>
                <w:szCs w:val="20"/>
                <w:lang w:eastAsia="en-AU"/>
              </w:rPr>
              <w:t>HCv</w:t>
            </w:r>
            <w:proofErr w:type="spellEnd"/>
            <w:r w:rsidRPr="00B54A75">
              <w:rPr>
                <w:rFonts w:ascii="Calibri" w:eastAsia="Times New Roman" w:hAnsi="Calibri" w:cs="Calibri"/>
                <w:color w:val="000000"/>
                <w:sz w:val="20"/>
                <w:szCs w:val="20"/>
                <w:lang w:eastAsia="en-AU"/>
              </w:rPr>
              <w:t xml:space="preserve"> </w:t>
            </w:r>
          </w:p>
        </w:tc>
      </w:tr>
      <w:tr w:rsidR="009321E8" w:rsidRPr="00B54A75" w:rsidTr="00222F25">
        <w:trPr>
          <w:trHeight w:val="810"/>
        </w:trPr>
        <w:tc>
          <w:tcPr>
            <w:tcW w:w="1840" w:type="dxa"/>
            <w:tcBorders>
              <w:top w:val="nil"/>
              <w:left w:val="nil"/>
              <w:bottom w:val="nil"/>
              <w:right w:val="nil"/>
            </w:tcBorders>
            <w:shd w:val="clear" w:color="auto" w:fill="auto"/>
            <w:vAlign w:val="bottom"/>
            <w:hideMark/>
          </w:tcPr>
          <w:p w:rsidR="00112011" w:rsidRPr="00B54A75" w:rsidRDefault="00A85A6A" w:rsidP="001E46D5">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Whalley et al.</w:t>
            </w:r>
            <w:r w:rsidR="003114CA" w:rsidRPr="00B54A75">
              <w:rPr>
                <w:rFonts w:ascii="Calibri" w:eastAsia="Times New Roman" w:hAnsi="Calibri" w:cs="Calibri"/>
                <w:color w:val="000000"/>
                <w:sz w:val="20"/>
                <w:szCs w:val="20"/>
                <w:lang w:eastAsia="en-AU"/>
              </w:rPr>
              <w:fldChar w:fldCharType="begin" w:fldLock="1"/>
            </w:r>
            <w:r w:rsidR="00C73D5C">
              <w:rPr>
                <w:rFonts w:ascii="Calibri" w:eastAsia="Times New Roman" w:hAnsi="Calibri" w:cs="Calibri"/>
                <w:color w:val="000000"/>
                <w:sz w:val="20"/>
                <w:szCs w:val="20"/>
                <w:lang w:eastAsia="en-AU"/>
              </w:rPr>
              <w:instrText>ADDIN CSL_CITATION { "citationItems" : [ { "id" : "ITEM-1", "itemData" : { "DOI" : "10.1016/S0304-3940(02)01452-0", "ISSN" : "03043940", "author" : [ { "dropping-particle" : "", "family" : "Whalley", "given" : "L.J.", "non-dropping-particle" : "", "parse-names" : false, "suffix" : "" }, { "dropping-particle" : "", "family" : "Staff", "given" : "R.T.", "non-dropping-particle" : "", "parse-names" : false, "suffix" : "" }, { "dropping-particle" : "", "family" : "Murray", "given" : "A.D.", "non-dropping-particle" : "", "parse-names" : false, "suffix" : "" }, { "dropping-particle" : "", "family" : "Duthie", "given" : "S.J.", "non-dropping-particle" : "", "parse-names" : false, "suffix" : "" }, { "dropping-particle" : "", "family" : "Collins", "given" : "A.R.", "non-dropping-particle" : "", "parse-names" : false, "suffix" : "" }, { "dropping-particle" : "", "family" : "Lemmon", "given" : "H.a.", "non-dropping-particle" : "", "parse-names" : false, "suffix" : "" }, { "dropping-particle" : "", "family" : "Starr", "given" : "J.M.", "non-dropping-particle" : "", "parse-names" : false, "suffix" : "" }, { "dropping-particle" : "", "family" : "Deary", "given" : "I.J.", "non-dropping-particle" : "", "parse-names" : false, "suffix" : "" } ], "container-title" : "Neuroscience Letters", "id" : "ITEM-1", "issued" : { "date-parts" : [ [ "2003", "5" ] ] }, "page" : "173-176", "title" : "Plasma vitamin C, cholesterol and homocysteine are associated with grey matter volume determined by MRI in non-demented old people", "type" : "article-journal", "volume" : "341" }, "uris" : [ "http://www.mendeley.com/documents/?uuid=8b27d344-f7e5-4b20-98bb-aa37df8cf244" ] } ], "mendeley" : { "formattedCitation" : "&lt;sup&gt;(20)&lt;/sup&gt;", "plainTextFormattedCitation" : "(20)", "previouslyFormattedCitation" : "&lt;sup&gt;(20)&lt;/sup&gt;" }, "properties" : { "noteIndex" : 0 }, "schema" : "https://github.com/citation-style-language/schema/raw/master/csl-citation.json" }</w:instrText>
            </w:r>
            <w:r w:rsidR="003114CA" w:rsidRPr="00B54A75">
              <w:rPr>
                <w:rFonts w:ascii="Calibri" w:eastAsia="Times New Roman" w:hAnsi="Calibri" w:cs="Calibri"/>
                <w:color w:val="000000"/>
                <w:sz w:val="20"/>
                <w:szCs w:val="20"/>
                <w:lang w:eastAsia="en-AU"/>
              </w:rPr>
              <w:fldChar w:fldCharType="separate"/>
            </w:r>
            <w:r w:rsidR="00B54A75" w:rsidRPr="00B54A75">
              <w:rPr>
                <w:rFonts w:ascii="Calibri" w:eastAsia="Times New Roman" w:hAnsi="Calibri" w:cs="Calibri"/>
                <w:noProof/>
                <w:color w:val="000000"/>
                <w:sz w:val="20"/>
                <w:szCs w:val="20"/>
                <w:vertAlign w:val="superscript"/>
                <w:lang w:eastAsia="en-AU"/>
              </w:rPr>
              <w:t>(20)</w:t>
            </w:r>
            <w:r w:rsidR="003114CA" w:rsidRPr="00B54A75">
              <w:rPr>
                <w:rFonts w:ascii="Calibri" w:eastAsia="Times New Roman" w:hAnsi="Calibri" w:cs="Calibri"/>
                <w:color w:val="000000"/>
                <w:sz w:val="20"/>
                <w:szCs w:val="20"/>
                <w:lang w:eastAsia="en-AU"/>
              </w:rPr>
              <w:fldChar w:fldCharType="end"/>
            </w:r>
          </w:p>
        </w:tc>
        <w:tc>
          <w:tcPr>
            <w:tcW w:w="1049"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proofErr w:type="spellStart"/>
            <w:r w:rsidRPr="00B54A75">
              <w:rPr>
                <w:rFonts w:ascii="Calibri" w:eastAsia="Times New Roman" w:hAnsi="Calibri" w:cs="Calibri"/>
                <w:color w:val="000000"/>
                <w:sz w:val="20"/>
                <w:szCs w:val="20"/>
                <w:lang w:eastAsia="en-AU"/>
              </w:rPr>
              <w:t>HcY</w:t>
            </w:r>
            <w:proofErr w:type="spellEnd"/>
          </w:p>
        </w:tc>
        <w:tc>
          <w:tcPr>
            <w:tcW w:w="1082"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DF</w:t>
            </w:r>
          </w:p>
        </w:tc>
        <w:tc>
          <w:tcPr>
            <w:tcW w:w="1274"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82</w:t>
            </w:r>
          </w:p>
        </w:tc>
        <w:tc>
          <w:tcPr>
            <w:tcW w:w="1328"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77.70 -78.90</w:t>
            </w:r>
          </w:p>
        </w:tc>
        <w:tc>
          <w:tcPr>
            <w:tcW w:w="1418"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78.50</w:t>
            </w:r>
          </w:p>
        </w:tc>
        <w:tc>
          <w:tcPr>
            <w:tcW w:w="1417"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NR</w:t>
            </w:r>
          </w:p>
        </w:tc>
        <w:tc>
          <w:tcPr>
            <w:tcW w:w="5760"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b/>
                <w:bCs/>
                <w:iCs/>
                <w:color w:val="000000"/>
                <w:sz w:val="20"/>
                <w:szCs w:val="20"/>
                <w:lang w:eastAsia="en-AU"/>
              </w:rPr>
              <w:t>Cross sectional</w:t>
            </w:r>
            <w:r w:rsidRPr="00B54A75">
              <w:rPr>
                <w:rFonts w:ascii="Calibri" w:eastAsia="Times New Roman" w:hAnsi="Calibri" w:cs="Calibri"/>
                <w:b/>
                <w:bCs/>
                <w:color w:val="000000"/>
                <w:sz w:val="20"/>
                <w:szCs w:val="20"/>
                <w:lang w:eastAsia="en-AU"/>
              </w:rPr>
              <w:t xml:space="preserve"> (MRI)</w:t>
            </w:r>
            <w:r w:rsidRPr="00B54A75">
              <w:rPr>
                <w:rFonts w:ascii="Calibri" w:eastAsia="Times New Roman" w:hAnsi="Calibri" w:cs="Calibri"/>
                <w:color w:val="000000"/>
                <w:sz w:val="20"/>
                <w:szCs w:val="20"/>
                <w:lang w:eastAsia="en-AU"/>
              </w:rPr>
              <w:br/>
            </w:r>
            <w:r w:rsidRPr="00B54A75">
              <w:rPr>
                <w:rFonts w:ascii="Calibri" w:eastAsia="Times New Roman" w:hAnsi="Calibri" w:cs="Calibri"/>
                <w:color w:val="000000"/>
                <w:sz w:val="20"/>
                <w:szCs w:val="20"/>
                <w:u w:val="single"/>
                <w:lang w:eastAsia="en-AU"/>
              </w:rPr>
              <w:t xml:space="preserve">↑ </w:t>
            </w:r>
            <w:proofErr w:type="spellStart"/>
            <w:r w:rsidRPr="00B54A75">
              <w:rPr>
                <w:rFonts w:ascii="Calibri" w:eastAsia="Times New Roman" w:hAnsi="Calibri" w:cs="Calibri"/>
                <w:color w:val="000000"/>
                <w:sz w:val="20"/>
                <w:szCs w:val="20"/>
                <w:u w:val="single"/>
                <w:lang w:eastAsia="en-AU"/>
              </w:rPr>
              <w:t>HcY</w:t>
            </w:r>
            <w:proofErr w:type="spellEnd"/>
            <w:r w:rsidRPr="00B54A75">
              <w:rPr>
                <w:rFonts w:ascii="Calibri" w:eastAsia="Times New Roman" w:hAnsi="Calibri" w:cs="Calibri"/>
                <w:color w:val="000000"/>
                <w:sz w:val="20"/>
                <w:szCs w:val="20"/>
                <w:lang w:eastAsia="en-AU"/>
              </w:rPr>
              <w:t xml:space="preserve"> </w:t>
            </w:r>
            <w:r w:rsidR="00AC73C6" w:rsidRPr="00B54A75">
              <w:rPr>
                <w:rFonts w:ascii="Calibri" w:eastAsia="Times New Roman" w:hAnsi="Calibri" w:cs="Calibri"/>
                <w:color w:val="000000"/>
                <w:sz w:val="20"/>
                <w:szCs w:val="20"/>
                <w:lang w:eastAsia="en-AU"/>
              </w:rPr>
              <w:t>was associated with:</w:t>
            </w:r>
            <w:r w:rsidR="00AC73C6" w:rsidRPr="00B54A75">
              <w:rPr>
                <w:rFonts w:ascii="Calibri" w:eastAsia="Times New Roman" w:hAnsi="Calibri" w:cs="Calibri"/>
                <w:color w:val="000000"/>
                <w:sz w:val="20"/>
                <w:szCs w:val="20"/>
                <w:lang w:eastAsia="en-AU"/>
              </w:rPr>
              <w:br/>
              <w:t xml:space="preserve">         </w:t>
            </w:r>
            <w:r w:rsidRPr="00B54A75">
              <w:rPr>
                <w:rFonts w:ascii="Calibri" w:eastAsia="Times New Roman" w:hAnsi="Calibri" w:cs="Calibri"/>
                <w:color w:val="000000"/>
                <w:sz w:val="20"/>
                <w:szCs w:val="20"/>
                <w:lang w:eastAsia="en-AU"/>
              </w:rPr>
              <w:t>↓ TC-</w:t>
            </w:r>
            <w:proofErr w:type="spellStart"/>
            <w:r w:rsidRPr="00B54A75">
              <w:rPr>
                <w:rFonts w:ascii="Calibri" w:eastAsia="Times New Roman" w:hAnsi="Calibri" w:cs="Calibri"/>
                <w:color w:val="000000"/>
                <w:sz w:val="20"/>
                <w:szCs w:val="20"/>
                <w:lang w:eastAsia="en-AU"/>
              </w:rPr>
              <w:t>GMv</w:t>
            </w:r>
            <w:proofErr w:type="spellEnd"/>
            <w:r w:rsidRPr="00B54A75">
              <w:rPr>
                <w:rFonts w:ascii="Calibri" w:eastAsia="Times New Roman" w:hAnsi="Calibri" w:cs="Calibri"/>
                <w:color w:val="000000"/>
                <w:sz w:val="20"/>
                <w:szCs w:val="20"/>
                <w:lang w:eastAsia="en-AU"/>
              </w:rPr>
              <w:t xml:space="preserve"> </w:t>
            </w:r>
          </w:p>
        </w:tc>
      </w:tr>
      <w:tr w:rsidR="008251F9" w:rsidRPr="00B54A75" w:rsidTr="00222F25">
        <w:trPr>
          <w:trHeight w:val="945"/>
        </w:trPr>
        <w:tc>
          <w:tcPr>
            <w:tcW w:w="1840" w:type="dxa"/>
            <w:tcBorders>
              <w:top w:val="nil"/>
              <w:left w:val="nil"/>
              <w:bottom w:val="nil"/>
              <w:right w:val="nil"/>
            </w:tcBorders>
            <w:shd w:val="clear" w:color="000000" w:fill="D9D9D9"/>
            <w:vAlign w:val="bottom"/>
            <w:hideMark/>
          </w:tcPr>
          <w:p w:rsidR="00112011" w:rsidRPr="00B54A75" w:rsidRDefault="00A85A6A" w:rsidP="001E46D5">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Sachdev et al.</w:t>
            </w:r>
            <w:r w:rsidR="003114CA" w:rsidRPr="00B54A75">
              <w:rPr>
                <w:rFonts w:ascii="Calibri" w:eastAsia="Times New Roman" w:hAnsi="Calibri" w:cs="Calibri"/>
                <w:color w:val="000000"/>
                <w:sz w:val="20"/>
                <w:szCs w:val="20"/>
                <w:lang w:eastAsia="en-AU"/>
              </w:rPr>
              <w:fldChar w:fldCharType="begin" w:fldLock="1"/>
            </w:r>
            <w:r w:rsidR="00C73D5C">
              <w:rPr>
                <w:rFonts w:ascii="Calibri" w:eastAsia="Times New Roman" w:hAnsi="Calibri" w:cs="Calibri"/>
                <w:color w:val="000000"/>
                <w:sz w:val="20"/>
                <w:szCs w:val="20"/>
                <w:lang w:eastAsia="en-AU"/>
              </w:rPr>
              <w:instrText>ADDIN CSL_CITATION { "citationItems" : [ { "id" : "ITEM-1", "itemData" : { "author" : [ { "dropping-particle" : "", "family" : "Sachdev", "given" : "P.S.", "non-dropping-particle" : "", "parse-names" : false, "suffix" : "" }, { "dropping-particle" : "", "family" : "Valenzuela", "given" : "M.", "non-dropping-particle" : "", "parse-names" : false, "suffix" : "" }, { "dropping-particle" : "", "family" : "Wang", "given" : "X.L.", "non-dropping-particle" : "", "parse-names" : false, "suffix" : "" }, { "dropping-particle" : "", "family" : "Looi", "given" : "J.C.L.", "non-dropping-particle" : "", "parse-names" : false, "suffix" : "" }, { "dropping-particle" : "", "family" : "Brodaty", "given" : "H.", "non-dropping-particle" : "", "parse-names" : false, "suffix" : "" } ], "container-title" : "Neurology", "id" : "ITEM-1", "issued" : { "date-parts" : [ [ "2002" ] ] }, "page" : "1539-1541", "title" : "Relationship between plasma homocysteine levels and brain atrophy in healthy elderly individuals", "type" : "article-journal", "volume" : "58" }, "uris" : [ "http://www.mendeley.com/documents/?uuid=7215869c-4a92-4aa4-954d-f32e56fa7268" ] } ], "mendeley" : { "formattedCitation" : "&lt;sup&gt;(21)&lt;/sup&gt;", "plainTextFormattedCitation" : "(21)", "previouslyFormattedCitation" : "&lt;sup&gt;(21)&lt;/sup&gt;" }, "properties" : { "noteIndex" : 0 }, "schema" : "https://github.com/citation-style-language/schema/raw/master/csl-citation.json" }</w:instrText>
            </w:r>
            <w:r w:rsidR="003114CA" w:rsidRPr="00B54A75">
              <w:rPr>
                <w:rFonts w:ascii="Calibri" w:eastAsia="Times New Roman" w:hAnsi="Calibri" w:cs="Calibri"/>
                <w:color w:val="000000"/>
                <w:sz w:val="20"/>
                <w:szCs w:val="20"/>
                <w:lang w:eastAsia="en-AU"/>
              </w:rPr>
              <w:fldChar w:fldCharType="separate"/>
            </w:r>
            <w:r w:rsidR="00B54A75" w:rsidRPr="00B54A75">
              <w:rPr>
                <w:rFonts w:ascii="Calibri" w:eastAsia="Times New Roman" w:hAnsi="Calibri" w:cs="Calibri"/>
                <w:noProof/>
                <w:color w:val="000000"/>
                <w:sz w:val="20"/>
                <w:szCs w:val="20"/>
                <w:vertAlign w:val="superscript"/>
                <w:lang w:eastAsia="en-AU"/>
              </w:rPr>
              <w:t>(21)</w:t>
            </w:r>
            <w:r w:rsidR="003114CA" w:rsidRPr="00B54A75">
              <w:rPr>
                <w:rFonts w:ascii="Calibri" w:eastAsia="Times New Roman" w:hAnsi="Calibri" w:cs="Calibri"/>
                <w:color w:val="000000"/>
                <w:sz w:val="20"/>
                <w:szCs w:val="20"/>
                <w:lang w:eastAsia="en-AU"/>
              </w:rPr>
              <w:fldChar w:fldCharType="end"/>
            </w:r>
          </w:p>
        </w:tc>
        <w:tc>
          <w:tcPr>
            <w:tcW w:w="1049"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proofErr w:type="spellStart"/>
            <w:r w:rsidRPr="00B54A75">
              <w:rPr>
                <w:rFonts w:ascii="Calibri" w:eastAsia="Times New Roman" w:hAnsi="Calibri" w:cs="Calibri"/>
                <w:color w:val="000000"/>
                <w:sz w:val="20"/>
                <w:szCs w:val="20"/>
                <w:lang w:eastAsia="en-AU"/>
              </w:rPr>
              <w:t>HcY</w:t>
            </w:r>
            <w:proofErr w:type="spellEnd"/>
          </w:p>
        </w:tc>
        <w:tc>
          <w:tcPr>
            <w:tcW w:w="1082"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H</w:t>
            </w:r>
          </w:p>
        </w:tc>
        <w:tc>
          <w:tcPr>
            <w:tcW w:w="1274"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36</w:t>
            </w:r>
          </w:p>
        </w:tc>
        <w:tc>
          <w:tcPr>
            <w:tcW w:w="1328"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59.0 - 85.0</w:t>
            </w:r>
          </w:p>
        </w:tc>
        <w:tc>
          <w:tcPr>
            <w:tcW w:w="1418"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71.60</w:t>
            </w:r>
          </w:p>
        </w:tc>
        <w:tc>
          <w:tcPr>
            <w:tcW w:w="1417"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NR</w:t>
            </w:r>
          </w:p>
        </w:tc>
        <w:tc>
          <w:tcPr>
            <w:tcW w:w="5760"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b/>
                <w:bCs/>
                <w:iCs/>
                <w:color w:val="000000"/>
                <w:sz w:val="20"/>
                <w:szCs w:val="20"/>
                <w:lang w:eastAsia="en-AU"/>
              </w:rPr>
              <w:t>Cross sectional</w:t>
            </w:r>
            <w:r w:rsidRPr="00B54A75">
              <w:rPr>
                <w:rFonts w:ascii="Calibri" w:eastAsia="Times New Roman" w:hAnsi="Calibri" w:cs="Calibri"/>
                <w:b/>
                <w:bCs/>
                <w:color w:val="000000"/>
                <w:sz w:val="20"/>
                <w:szCs w:val="20"/>
                <w:lang w:eastAsia="en-AU"/>
              </w:rPr>
              <w:t xml:space="preserve"> (MRI)</w:t>
            </w:r>
            <w:r w:rsidRPr="00B54A75">
              <w:rPr>
                <w:rFonts w:ascii="Calibri" w:eastAsia="Times New Roman" w:hAnsi="Calibri" w:cs="Calibri"/>
                <w:color w:val="000000"/>
                <w:sz w:val="20"/>
                <w:szCs w:val="20"/>
                <w:lang w:eastAsia="en-AU"/>
              </w:rPr>
              <w:br/>
            </w:r>
            <w:r w:rsidRPr="00B54A75">
              <w:rPr>
                <w:rFonts w:ascii="Calibri" w:eastAsia="Times New Roman" w:hAnsi="Calibri" w:cs="Calibri"/>
                <w:color w:val="000000"/>
                <w:sz w:val="20"/>
                <w:szCs w:val="20"/>
                <w:u w:val="single"/>
                <w:lang w:eastAsia="en-AU"/>
              </w:rPr>
              <w:t xml:space="preserve">↑ </w:t>
            </w:r>
            <w:proofErr w:type="spellStart"/>
            <w:r w:rsidRPr="00B54A75">
              <w:rPr>
                <w:rFonts w:ascii="Calibri" w:eastAsia="Times New Roman" w:hAnsi="Calibri" w:cs="Calibri"/>
                <w:color w:val="000000"/>
                <w:sz w:val="20"/>
                <w:szCs w:val="20"/>
                <w:u w:val="single"/>
                <w:lang w:eastAsia="en-AU"/>
              </w:rPr>
              <w:t>HcY</w:t>
            </w:r>
            <w:proofErr w:type="spellEnd"/>
            <w:r w:rsidRPr="00B54A75">
              <w:rPr>
                <w:rFonts w:ascii="Calibri" w:eastAsia="Times New Roman" w:hAnsi="Calibri" w:cs="Calibri"/>
                <w:color w:val="000000"/>
                <w:sz w:val="20"/>
                <w:szCs w:val="20"/>
                <w:lang w:eastAsia="en-AU"/>
              </w:rPr>
              <w:t xml:space="preserve"> </w:t>
            </w:r>
            <w:r w:rsidR="00AC73C6" w:rsidRPr="00B54A75">
              <w:rPr>
                <w:rFonts w:ascii="Calibri" w:eastAsia="Times New Roman" w:hAnsi="Calibri" w:cs="Calibri"/>
                <w:color w:val="000000"/>
                <w:sz w:val="20"/>
                <w:szCs w:val="20"/>
                <w:lang w:eastAsia="en-AU"/>
              </w:rPr>
              <w:t>was associated with:</w:t>
            </w:r>
            <w:r w:rsidR="00AC73C6" w:rsidRPr="00B54A75">
              <w:rPr>
                <w:rFonts w:ascii="Calibri" w:eastAsia="Times New Roman" w:hAnsi="Calibri" w:cs="Calibri"/>
                <w:color w:val="000000"/>
                <w:sz w:val="20"/>
                <w:szCs w:val="20"/>
                <w:lang w:eastAsia="en-AU"/>
              </w:rPr>
              <w:br/>
              <w:t xml:space="preserve">         </w:t>
            </w:r>
            <w:r w:rsidRPr="00B54A75">
              <w:rPr>
                <w:rFonts w:ascii="Calibri" w:eastAsia="Times New Roman" w:hAnsi="Calibri" w:cs="Calibri"/>
                <w:color w:val="000000"/>
                <w:sz w:val="20"/>
                <w:szCs w:val="20"/>
                <w:lang w:eastAsia="en-AU"/>
              </w:rPr>
              <w:t xml:space="preserve">↑ </w:t>
            </w:r>
            <w:proofErr w:type="spellStart"/>
            <w:r w:rsidRPr="00B54A75">
              <w:rPr>
                <w:rFonts w:ascii="Calibri" w:eastAsia="Times New Roman" w:hAnsi="Calibri" w:cs="Calibri"/>
                <w:color w:val="000000"/>
                <w:sz w:val="20"/>
                <w:szCs w:val="20"/>
                <w:lang w:eastAsia="en-AU"/>
              </w:rPr>
              <w:t>Ventricle:brain</w:t>
            </w:r>
            <w:proofErr w:type="spellEnd"/>
            <w:r w:rsidRPr="00B54A75">
              <w:rPr>
                <w:rFonts w:ascii="Calibri" w:eastAsia="Times New Roman" w:hAnsi="Calibri" w:cs="Calibri"/>
                <w:color w:val="000000"/>
                <w:sz w:val="20"/>
                <w:szCs w:val="20"/>
                <w:lang w:eastAsia="en-AU"/>
              </w:rPr>
              <w:t xml:space="preserve"> ratio </w:t>
            </w:r>
          </w:p>
        </w:tc>
      </w:tr>
      <w:tr w:rsidR="009321E8" w:rsidRPr="00B54A75" w:rsidTr="00222F25">
        <w:trPr>
          <w:trHeight w:val="1170"/>
        </w:trPr>
        <w:tc>
          <w:tcPr>
            <w:tcW w:w="1840" w:type="dxa"/>
            <w:tcBorders>
              <w:top w:val="nil"/>
              <w:left w:val="nil"/>
              <w:bottom w:val="nil"/>
              <w:right w:val="nil"/>
            </w:tcBorders>
            <w:shd w:val="clear" w:color="auto" w:fill="auto"/>
            <w:vAlign w:val="bottom"/>
            <w:hideMark/>
          </w:tcPr>
          <w:p w:rsidR="00112011" w:rsidRPr="00B54A75" w:rsidRDefault="00A85A6A"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Vermeer et al.</w:t>
            </w:r>
            <w:r w:rsidR="00AC50B4" w:rsidRPr="00B54A75">
              <w:rPr>
                <w:rFonts w:ascii="Calibri" w:eastAsia="Times New Roman" w:hAnsi="Calibri" w:cs="Calibri"/>
                <w:color w:val="000000"/>
                <w:sz w:val="20"/>
                <w:szCs w:val="20"/>
                <w:lang w:eastAsia="en-AU"/>
              </w:rPr>
              <w:fldChar w:fldCharType="begin" w:fldLock="1"/>
            </w:r>
            <w:r w:rsidR="00C73D5C">
              <w:rPr>
                <w:rFonts w:ascii="Calibri" w:eastAsia="Times New Roman" w:hAnsi="Calibri" w:cs="Calibri"/>
                <w:color w:val="000000"/>
                <w:sz w:val="20"/>
                <w:szCs w:val="20"/>
                <w:lang w:eastAsia="en-AU"/>
              </w:rPr>
              <w:instrText>ADDIN CSL_CITATION { "citationItems" : [ { "id" : "ITEM-1", "itemData" : { "DOI" : "10.1002/ana.10111", "ISSN" : "0364-5134", "PMID" : "11891822", "abstract" : "Silent brain infarcts and white matter lesions are frequently seen on magnetic resonance imaging in healthy elderly people and both are associated with an increased risk of stroke and dementia. Plasma total homocysteine may be a potentially modifiable risk factor for stroke and dementia. We examined whether elevated total homocysteine levels are associated with silent brain infarcts and white matter lesions. The Rotterdam Scan Study is a population-based study of 1,077 people aged 60 to 90 years who had cerebral magnetic resonance imaging. The cross-sectional relation of total homocysteine with silent infarcts and white matter lesions was analyzed with adjustment for cardiovascular risk factors. The mean plasma total homocysteine level was 11.5 micromol/l (standard deviation 4.1). The risk of silent brain infarcts increased with increasing total homocysteine levels (odds ratio 1.24/standard deviation increase, 95% confidence interval 1.06-1.45). The severity of periventricular white matter lesions and extent of subcortical white matter lesions were also significantly associated with total homocysteine levels, even after excluding those with silent brain infarcts. The overall risk of having either a silent brain infarct or severe white matter lesions was strongly associated with total homocysteine levels (odds ratio 1.35/standard deviation increase, 95% confidence interval 1.16-1.58). We concluded that total homocysteine levels are associated with silent brain infarcts and white matter lesions independent of each other and of other cardiovascular risk factors.", "author" : [ { "dropping-particle" : "", "family" : "Vermeer", "given" : "Sarah E", "non-dropping-particle" : "", "parse-names" : false, "suffix" : "" }, { "dropping-particle" : "", "family" : "Dijk", "given" : "Ewoud J", "non-dropping-particle" : "van", "parse-names" : false, "suffix" : "" }, { "dropping-particle" : "", "family" : "Koudstaal", "given" : "Peter J", "non-dropping-particle" : "", "parse-names" : false, "suffix" : "" }, { "dropping-particle" : "", "family" : "Oudkerk", "given" : "Matthijs", "non-dropping-particle" : "", "parse-names" : false, "suffix" : "" }, { "dropping-particle" : "", "family" : "Hofman", "given" : "Albert", "non-dropping-particle" : "", "parse-names" : false, "suffix" : "" }, { "dropping-particle" : "", "family" : "Clarke", "given" : "Robert", "non-dropping-particle" : "", "parse-names" : false, "suffix" : "" }, { "dropping-particle" : "", "family" : "Breteler", "given" : "Monique M B", "non-dropping-particle" : "", "parse-names" : false, "suffix" : "" } ], "container-title" : "Annals of neurology", "id" : "ITEM-1", "issued" : { "date-parts" : [ [ "2002", "3" ] ] }, "page" : "285-289", "title" : "Homocysteine, silent brain infarcts, and white matter lesions: The Rotterdam Scan Study", "type" : "article-journal", "volume" : "51" }, "uris" : [ "http://www.mendeley.com/documents/?uuid=7dfd8bd0-e47f-4089-a09f-7bd77ad5d958" ] } ], "mendeley" : { "formattedCitation" : "&lt;sup&gt;(22)&lt;/sup&gt;", "plainTextFormattedCitation" : "(22)", "previouslyFormattedCitation" : "&lt;sup&gt;(22)&lt;/sup&gt;" }, "properties" : { "noteIndex" : 0 }, "schema" : "https://github.com/citation-style-language/schema/raw/master/csl-citation.json" }</w:instrText>
            </w:r>
            <w:r w:rsidR="00AC50B4" w:rsidRPr="00B54A75">
              <w:rPr>
                <w:rFonts w:ascii="Calibri" w:eastAsia="Times New Roman" w:hAnsi="Calibri" w:cs="Calibri"/>
                <w:color w:val="000000"/>
                <w:sz w:val="20"/>
                <w:szCs w:val="20"/>
                <w:lang w:eastAsia="en-AU"/>
              </w:rPr>
              <w:fldChar w:fldCharType="separate"/>
            </w:r>
            <w:r w:rsidR="00B54A75" w:rsidRPr="00B54A75">
              <w:rPr>
                <w:rFonts w:ascii="Calibri" w:eastAsia="Times New Roman" w:hAnsi="Calibri" w:cs="Calibri"/>
                <w:noProof/>
                <w:color w:val="000000"/>
                <w:sz w:val="20"/>
                <w:szCs w:val="20"/>
                <w:vertAlign w:val="superscript"/>
                <w:lang w:eastAsia="en-AU"/>
              </w:rPr>
              <w:t>(22)</w:t>
            </w:r>
            <w:r w:rsidR="00AC50B4" w:rsidRPr="00B54A75">
              <w:rPr>
                <w:rFonts w:ascii="Calibri" w:eastAsia="Times New Roman" w:hAnsi="Calibri" w:cs="Calibri"/>
                <w:color w:val="000000"/>
                <w:sz w:val="20"/>
                <w:szCs w:val="20"/>
                <w:lang w:eastAsia="en-AU"/>
              </w:rPr>
              <w:fldChar w:fldCharType="end"/>
            </w:r>
          </w:p>
        </w:tc>
        <w:tc>
          <w:tcPr>
            <w:tcW w:w="1049"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proofErr w:type="spellStart"/>
            <w:r w:rsidRPr="00B54A75">
              <w:rPr>
                <w:rFonts w:ascii="Calibri" w:eastAsia="Times New Roman" w:hAnsi="Calibri" w:cs="Calibri"/>
                <w:color w:val="000000"/>
                <w:sz w:val="20"/>
                <w:szCs w:val="20"/>
                <w:lang w:eastAsia="en-AU"/>
              </w:rPr>
              <w:t>HcY</w:t>
            </w:r>
            <w:proofErr w:type="spellEnd"/>
          </w:p>
        </w:tc>
        <w:tc>
          <w:tcPr>
            <w:tcW w:w="1082"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DF</w:t>
            </w:r>
          </w:p>
        </w:tc>
        <w:tc>
          <w:tcPr>
            <w:tcW w:w="1274"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1,077</w:t>
            </w:r>
          </w:p>
        </w:tc>
        <w:tc>
          <w:tcPr>
            <w:tcW w:w="1328"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60.0 - 90.0</w:t>
            </w:r>
          </w:p>
        </w:tc>
        <w:tc>
          <w:tcPr>
            <w:tcW w:w="1418"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72.20</w:t>
            </w:r>
          </w:p>
        </w:tc>
        <w:tc>
          <w:tcPr>
            <w:tcW w:w="1417"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7.40</w:t>
            </w:r>
          </w:p>
        </w:tc>
        <w:tc>
          <w:tcPr>
            <w:tcW w:w="5760"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b/>
                <w:bCs/>
                <w:iCs/>
                <w:color w:val="000000"/>
                <w:sz w:val="20"/>
                <w:szCs w:val="20"/>
                <w:lang w:eastAsia="en-AU"/>
              </w:rPr>
              <w:t>Cross sectional</w:t>
            </w:r>
            <w:r w:rsidRPr="00B54A75">
              <w:rPr>
                <w:rFonts w:ascii="Calibri" w:eastAsia="Times New Roman" w:hAnsi="Calibri" w:cs="Calibri"/>
                <w:b/>
                <w:bCs/>
                <w:color w:val="000000"/>
                <w:sz w:val="20"/>
                <w:szCs w:val="20"/>
                <w:lang w:eastAsia="en-AU"/>
              </w:rPr>
              <w:t xml:space="preserve"> (MRI)</w:t>
            </w:r>
            <w:r w:rsidRPr="00B54A75">
              <w:rPr>
                <w:rFonts w:ascii="Calibri" w:eastAsia="Times New Roman" w:hAnsi="Calibri" w:cs="Calibri"/>
                <w:color w:val="000000"/>
                <w:sz w:val="20"/>
                <w:szCs w:val="20"/>
                <w:lang w:eastAsia="en-AU"/>
              </w:rPr>
              <w:br/>
            </w:r>
            <w:r w:rsidRPr="00B54A75">
              <w:rPr>
                <w:rFonts w:ascii="Calibri" w:eastAsia="Times New Roman" w:hAnsi="Calibri" w:cs="Calibri"/>
                <w:color w:val="000000"/>
                <w:sz w:val="20"/>
                <w:szCs w:val="20"/>
                <w:u w:val="single"/>
                <w:lang w:eastAsia="en-AU"/>
              </w:rPr>
              <w:t xml:space="preserve">↑ </w:t>
            </w:r>
            <w:proofErr w:type="spellStart"/>
            <w:r w:rsidRPr="00B54A75">
              <w:rPr>
                <w:rFonts w:ascii="Calibri" w:eastAsia="Times New Roman" w:hAnsi="Calibri" w:cs="Calibri"/>
                <w:color w:val="000000"/>
                <w:sz w:val="20"/>
                <w:szCs w:val="20"/>
                <w:u w:val="single"/>
                <w:lang w:eastAsia="en-AU"/>
              </w:rPr>
              <w:t>HcY</w:t>
            </w:r>
            <w:proofErr w:type="spellEnd"/>
            <w:r w:rsidRPr="00B54A75">
              <w:rPr>
                <w:rFonts w:ascii="Calibri" w:eastAsia="Times New Roman" w:hAnsi="Calibri" w:cs="Calibri"/>
                <w:color w:val="000000"/>
                <w:sz w:val="20"/>
                <w:szCs w:val="20"/>
                <w:lang w:eastAsia="en-AU"/>
              </w:rPr>
              <w:t xml:space="preserve"> was associated with:</w:t>
            </w:r>
            <w:r w:rsidRPr="00B54A75">
              <w:rPr>
                <w:rFonts w:ascii="Calibri" w:eastAsia="Times New Roman" w:hAnsi="Calibri" w:cs="Calibri"/>
                <w:color w:val="000000"/>
                <w:sz w:val="20"/>
                <w:szCs w:val="20"/>
                <w:lang w:eastAsia="en-AU"/>
              </w:rPr>
              <w:br/>
              <w:t xml:space="preserve">       </w:t>
            </w:r>
            <w:r w:rsidR="00AC73C6" w:rsidRPr="00B54A75">
              <w:rPr>
                <w:rFonts w:ascii="Calibri" w:eastAsia="Times New Roman" w:hAnsi="Calibri" w:cs="Calibri"/>
                <w:color w:val="000000"/>
                <w:sz w:val="20"/>
                <w:szCs w:val="20"/>
                <w:lang w:eastAsia="en-AU"/>
              </w:rPr>
              <w:t xml:space="preserve">  ↑ Severity of WML</w:t>
            </w:r>
            <w:r w:rsidR="00AC73C6" w:rsidRPr="00B54A75">
              <w:rPr>
                <w:rFonts w:ascii="Calibri" w:eastAsia="Times New Roman" w:hAnsi="Calibri" w:cs="Calibri"/>
                <w:color w:val="000000"/>
                <w:sz w:val="20"/>
                <w:szCs w:val="20"/>
                <w:lang w:eastAsia="en-AU"/>
              </w:rPr>
              <w:br/>
              <w:t xml:space="preserve">         </w:t>
            </w:r>
            <w:r w:rsidRPr="00B54A75">
              <w:rPr>
                <w:rFonts w:ascii="Calibri" w:eastAsia="Times New Roman" w:hAnsi="Calibri" w:cs="Calibri"/>
                <w:color w:val="000000"/>
                <w:sz w:val="20"/>
                <w:szCs w:val="20"/>
                <w:lang w:eastAsia="en-AU"/>
              </w:rPr>
              <w:t xml:space="preserve">↑ Severity of SBI </w:t>
            </w:r>
          </w:p>
        </w:tc>
      </w:tr>
      <w:tr w:rsidR="008251F9" w:rsidRPr="00B54A75" w:rsidTr="00222F25">
        <w:trPr>
          <w:trHeight w:val="840"/>
        </w:trPr>
        <w:tc>
          <w:tcPr>
            <w:tcW w:w="1840" w:type="dxa"/>
            <w:tcBorders>
              <w:top w:val="nil"/>
              <w:left w:val="nil"/>
              <w:bottom w:val="nil"/>
              <w:right w:val="nil"/>
            </w:tcBorders>
            <w:shd w:val="clear" w:color="000000" w:fill="D9D9D9"/>
            <w:vAlign w:val="bottom"/>
            <w:hideMark/>
          </w:tcPr>
          <w:p w:rsidR="00112011" w:rsidRPr="00B54A75" w:rsidRDefault="00A85A6A" w:rsidP="001E46D5">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Williams et al.</w:t>
            </w:r>
            <w:r w:rsidR="00AC50B4" w:rsidRPr="00B54A75">
              <w:rPr>
                <w:rFonts w:ascii="Calibri" w:eastAsia="Times New Roman" w:hAnsi="Calibri" w:cs="Calibri"/>
                <w:color w:val="000000"/>
                <w:sz w:val="20"/>
                <w:szCs w:val="20"/>
                <w:lang w:eastAsia="en-AU"/>
              </w:rPr>
              <w:fldChar w:fldCharType="begin" w:fldLock="1"/>
            </w:r>
            <w:r w:rsidR="00C73D5C">
              <w:rPr>
                <w:rFonts w:ascii="Calibri" w:eastAsia="Times New Roman" w:hAnsi="Calibri" w:cs="Calibri"/>
                <w:color w:val="000000"/>
                <w:sz w:val="20"/>
                <w:szCs w:val="20"/>
                <w:lang w:eastAsia="en-AU"/>
              </w:rPr>
              <w:instrText>ADDIN CSL_CITATION { "citationItems" : [ { "id" : "ITEM-1", "itemData" : { "author" : [ { "dropping-particle" : "", "family" : "Williams", "given" : "J.H.", "non-dropping-particle" : "", "parse-names" : false, "suffix" : "" }, { "dropping-particle" : "", "family" : "Periera", "given" : "E.A.C.", "non-dropping-particle" : "", "parse-names" : false, "suffix" : "" }, { "dropping-particle" : "", "family" : "Budge", "given" : "M.M.", "non-dropping-particle" : "", "parse-names" : false, "suffix" : "" }, { "dropping-particle" : "", "family" : "Bradley", "given" : "K.M.", "non-dropping-particle" : "", "parse-names" : false, "suffix" : "" } ], "container-title" : "Age and Ageing", "id" : "ITEM-1", "issued" : { "date-parts" : [ [ "2002" ] ] }, "page" : "440-444", "title" : "Minimal hippocampal width relates to plasma homocysteine in community-dwelling older people", "type" : "article-journal", "volume" : "31" }, "uris" : [ "http://www.mendeley.com/documents/?uuid=e2546201-e5a9-40ad-84f9-5e218477e1d9" ] } ], "mendeley" : { "formattedCitation" : "&lt;sup&gt;(23)&lt;/sup&gt;", "plainTextFormattedCitation" : "(23)", "previouslyFormattedCitation" : "&lt;sup&gt;(23)&lt;/sup&gt;" }, "properties" : { "noteIndex" : 0 }, "schema" : "https://github.com/citation-style-language/schema/raw/master/csl-citation.json" }</w:instrText>
            </w:r>
            <w:r w:rsidR="00AC50B4" w:rsidRPr="00B54A75">
              <w:rPr>
                <w:rFonts w:ascii="Calibri" w:eastAsia="Times New Roman" w:hAnsi="Calibri" w:cs="Calibri"/>
                <w:color w:val="000000"/>
                <w:sz w:val="20"/>
                <w:szCs w:val="20"/>
                <w:lang w:eastAsia="en-AU"/>
              </w:rPr>
              <w:fldChar w:fldCharType="separate"/>
            </w:r>
            <w:r w:rsidR="00B54A75" w:rsidRPr="00B54A75">
              <w:rPr>
                <w:rFonts w:ascii="Calibri" w:eastAsia="Times New Roman" w:hAnsi="Calibri" w:cs="Calibri"/>
                <w:noProof/>
                <w:color w:val="000000"/>
                <w:sz w:val="20"/>
                <w:szCs w:val="20"/>
                <w:vertAlign w:val="superscript"/>
                <w:lang w:eastAsia="en-AU"/>
              </w:rPr>
              <w:t>(23)</w:t>
            </w:r>
            <w:r w:rsidR="00AC50B4" w:rsidRPr="00B54A75">
              <w:rPr>
                <w:rFonts w:ascii="Calibri" w:eastAsia="Times New Roman" w:hAnsi="Calibri" w:cs="Calibri"/>
                <w:color w:val="000000"/>
                <w:sz w:val="20"/>
                <w:szCs w:val="20"/>
                <w:lang w:eastAsia="en-AU"/>
              </w:rPr>
              <w:fldChar w:fldCharType="end"/>
            </w:r>
          </w:p>
        </w:tc>
        <w:tc>
          <w:tcPr>
            <w:tcW w:w="1049"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proofErr w:type="spellStart"/>
            <w:r w:rsidRPr="00B54A75">
              <w:rPr>
                <w:rFonts w:ascii="Calibri" w:eastAsia="Times New Roman" w:hAnsi="Calibri" w:cs="Calibri"/>
                <w:color w:val="000000"/>
                <w:sz w:val="20"/>
                <w:szCs w:val="20"/>
                <w:lang w:eastAsia="en-AU"/>
              </w:rPr>
              <w:t>HcY</w:t>
            </w:r>
            <w:proofErr w:type="spellEnd"/>
          </w:p>
        </w:tc>
        <w:tc>
          <w:tcPr>
            <w:tcW w:w="1082"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H</w:t>
            </w:r>
          </w:p>
        </w:tc>
        <w:tc>
          <w:tcPr>
            <w:tcW w:w="1274"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156</w:t>
            </w:r>
          </w:p>
        </w:tc>
        <w:tc>
          <w:tcPr>
            <w:tcW w:w="1328"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60.80 - 90.60</w:t>
            </w:r>
          </w:p>
        </w:tc>
        <w:tc>
          <w:tcPr>
            <w:tcW w:w="1418"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74.10</w:t>
            </w:r>
          </w:p>
        </w:tc>
        <w:tc>
          <w:tcPr>
            <w:tcW w:w="1417"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6.10</w:t>
            </w:r>
          </w:p>
        </w:tc>
        <w:tc>
          <w:tcPr>
            <w:tcW w:w="5760"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b/>
                <w:bCs/>
                <w:iCs/>
                <w:color w:val="000000"/>
                <w:sz w:val="20"/>
                <w:szCs w:val="20"/>
                <w:lang w:eastAsia="en-AU"/>
              </w:rPr>
              <w:t xml:space="preserve">Cross sectional </w:t>
            </w:r>
            <w:r w:rsidRPr="00B54A75">
              <w:rPr>
                <w:rFonts w:ascii="Calibri" w:eastAsia="Times New Roman" w:hAnsi="Calibri" w:cs="Calibri"/>
                <w:b/>
                <w:bCs/>
                <w:color w:val="000000"/>
                <w:sz w:val="20"/>
                <w:szCs w:val="20"/>
                <w:lang w:eastAsia="en-AU"/>
              </w:rPr>
              <w:t>(MRI)</w:t>
            </w:r>
            <w:r w:rsidRPr="00B54A75">
              <w:rPr>
                <w:rFonts w:ascii="Calibri" w:eastAsia="Times New Roman" w:hAnsi="Calibri" w:cs="Calibri"/>
                <w:color w:val="000000"/>
                <w:sz w:val="20"/>
                <w:szCs w:val="20"/>
                <w:lang w:eastAsia="en-AU"/>
              </w:rPr>
              <w:br/>
            </w:r>
            <w:r w:rsidRPr="00B54A75">
              <w:rPr>
                <w:rFonts w:ascii="Calibri" w:eastAsia="Times New Roman" w:hAnsi="Calibri" w:cs="Calibri"/>
                <w:color w:val="000000"/>
                <w:sz w:val="20"/>
                <w:szCs w:val="20"/>
                <w:u w:val="single"/>
                <w:lang w:eastAsia="en-AU"/>
              </w:rPr>
              <w:t xml:space="preserve">↑ </w:t>
            </w:r>
            <w:proofErr w:type="spellStart"/>
            <w:r w:rsidRPr="00B54A75">
              <w:rPr>
                <w:rFonts w:ascii="Calibri" w:eastAsia="Times New Roman" w:hAnsi="Calibri" w:cs="Calibri"/>
                <w:color w:val="000000"/>
                <w:sz w:val="20"/>
                <w:szCs w:val="20"/>
                <w:u w:val="single"/>
                <w:lang w:eastAsia="en-AU"/>
              </w:rPr>
              <w:t>HcY</w:t>
            </w:r>
            <w:proofErr w:type="spellEnd"/>
            <w:r w:rsidRPr="00B54A75">
              <w:rPr>
                <w:rFonts w:ascii="Calibri" w:eastAsia="Times New Roman" w:hAnsi="Calibri" w:cs="Calibri"/>
                <w:color w:val="000000"/>
                <w:sz w:val="20"/>
                <w:szCs w:val="20"/>
                <w:lang w:eastAsia="en-AU"/>
              </w:rPr>
              <w:t xml:space="preserve"> w</w:t>
            </w:r>
            <w:r w:rsidR="00AC73C6" w:rsidRPr="00B54A75">
              <w:rPr>
                <w:rFonts w:ascii="Calibri" w:eastAsia="Times New Roman" w:hAnsi="Calibri" w:cs="Calibri"/>
                <w:color w:val="000000"/>
                <w:sz w:val="20"/>
                <w:szCs w:val="20"/>
                <w:lang w:eastAsia="en-AU"/>
              </w:rPr>
              <w:t>as associated with:</w:t>
            </w:r>
            <w:r w:rsidR="00AC73C6" w:rsidRPr="00B54A75">
              <w:rPr>
                <w:rFonts w:ascii="Calibri" w:eastAsia="Times New Roman" w:hAnsi="Calibri" w:cs="Calibri"/>
                <w:color w:val="000000"/>
                <w:sz w:val="20"/>
                <w:szCs w:val="20"/>
                <w:lang w:eastAsia="en-AU"/>
              </w:rPr>
              <w:br/>
              <w:t xml:space="preserve">         </w:t>
            </w:r>
            <w:r w:rsidRPr="00B54A75">
              <w:rPr>
                <w:rFonts w:ascii="Calibri" w:eastAsia="Times New Roman" w:hAnsi="Calibri" w:cs="Calibri"/>
                <w:color w:val="000000"/>
                <w:sz w:val="20"/>
                <w:szCs w:val="20"/>
                <w:lang w:eastAsia="en-AU"/>
              </w:rPr>
              <w:t xml:space="preserve">↓ HC width </w:t>
            </w:r>
          </w:p>
        </w:tc>
      </w:tr>
      <w:tr w:rsidR="009321E8" w:rsidRPr="00B54A75" w:rsidTr="00222F25">
        <w:trPr>
          <w:trHeight w:val="345"/>
        </w:trPr>
        <w:tc>
          <w:tcPr>
            <w:tcW w:w="1840"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b/>
                <w:bCs/>
                <w:iCs/>
                <w:color w:val="000000"/>
                <w:sz w:val="20"/>
                <w:szCs w:val="20"/>
                <w:lang w:eastAsia="en-AU"/>
              </w:rPr>
            </w:pPr>
            <w:r w:rsidRPr="00B54A75">
              <w:rPr>
                <w:rFonts w:ascii="Calibri" w:eastAsia="Times New Roman" w:hAnsi="Calibri" w:cs="Calibri"/>
                <w:b/>
                <w:bCs/>
                <w:iCs/>
                <w:color w:val="000000"/>
                <w:sz w:val="20"/>
                <w:szCs w:val="20"/>
                <w:lang w:eastAsia="en-AU"/>
              </w:rPr>
              <w:t>Choline</w:t>
            </w:r>
          </w:p>
        </w:tc>
        <w:tc>
          <w:tcPr>
            <w:tcW w:w="1049"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b/>
                <w:bCs/>
                <w:iCs/>
                <w:color w:val="000000"/>
                <w:sz w:val="20"/>
                <w:szCs w:val="20"/>
                <w:lang w:eastAsia="en-AU"/>
              </w:rPr>
            </w:pPr>
          </w:p>
        </w:tc>
        <w:tc>
          <w:tcPr>
            <w:tcW w:w="1082"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Times New Roman" w:eastAsia="Times New Roman" w:hAnsi="Times New Roman" w:cs="Times New Roman"/>
                <w:sz w:val="20"/>
                <w:szCs w:val="20"/>
                <w:lang w:eastAsia="en-AU"/>
              </w:rPr>
            </w:pPr>
          </w:p>
        </w:tc>
        <w:tc>
          <w:tcPr>
            <w:tcW w:w="1274"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Times New Roman" w:eastAsia="Times New Roman" w:hAnsi="Times New Roman" w:cs="Times New Roman"/>
                <w:sz w:val="20"/>
                <w:szCs w:val="20"/>
                <w:lang w:eastAsia="en-AU"/>
              </w:rPr>
            </w:pPr>
          </w:p>
        </w:tc>
        <w:tc>
          <w:tcPr>
            <w:tcW w:w="1328"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Times New Roman" w:eastAsia="Times New Roman" w:hAnsi="Times New Roman" w:cs="Times New Roman"/>
                <w:sz w:val="20"/>
                <w:szCs w:val="20"/>
                <w:lang w:eastAsia="en-AU"/>
              </w:rPr>
            </w:pPr>
          </w:p>
        </w:tc>
        <w:tc>
          <w:tcPr>
            <w:tcW w:w="1418"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Times New Roman" w:eastAsia="Times New Roman" w:hAnsi="Times New Roman" w:cs="Times New Roman"/>
                <w:sz w:val="20"/>
                <w:szCs w:val="20"/>
                <w:lang w:eastAsia="en-AU"/>
              </w:rPr>
            </w:pPr>
          </w:p>
        </w:tc>
        <w:tc>
          <w:tcPr>
            <w:tcW w:w="1417"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Times New Roman" w:eastAsia="Times New Roman" w:hAnsi="Times New Roman" w:cs="Times New Roman"/>
                <w:sz w:val="20"/>
                <w:szCs w:val="20"/>
                <w:lang w:eastAsia="en-AU"/>
              </w:rPr>
            </w:pPr>
          </w:p>
        </w:tc>
        <w:tc>
          <w:tcPr>
            <w:tcW w:w="5760"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Times New Roman" w:eastAsia="Times New Roman" w:hAnsi="Times New Roman" w:cs="Times New Roman"/>
                <w:sz w:val="20"/>
                <w:szCs w:val="20"/>
                <w:lang w:eastAsia="en-AU"/>
              </w:rPr>
            </w:pPr>
          </w:p>
        </w:tc>
      </w:tr>
      <w:tr w:rsidR="008251F9" w:rsidRPr="00B54A75" w:rsidTr="00222F25">
        <w:trPr>
          <w:trHeight w:val="825"/>
        </w:trPr>
        <w:tc>
          <w:tcPr>
            <w:tcW w:w="1840" w:type="dxa"/>
            <w:tcBorders>
              <w:top w:val="nil"/>
              <w:left w:val="nil"/>
              <w:bottom w:val="nil"/>
              <w:right w:val="nil"/>
            </w:tcBorders>
            <w:shd w:val="clear" w:color="000000" w:fill="D9D9D9"/>
            <w:vAlign w:val="bottom"/>
            <w:hideMark/>
          </w:tcPr>
          <w:p w:rsidR="00112011" w:rsidRPr="00B54A75" w:rsidRDefault="00A85A6A" w:rsidP="00F71ADF">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Poly et al.</w:t>
            </w:r>
            <w:r w:rsidR="001B6432" w:rsidRPr="00B54A75">
              <w:rPr>
                <w:rFonts w:ascii="Calibri" w:eastAsia="Times New Roman" w:hAnsi="Calibri" w:cs="Calibri"/>
                <w:color w:val="000000"/>
                <w:sz w:val="20"/>
                <w:szCs w:val="20"/>
                <w:lang w:eastAsia="en-AU"/>
              </w:rPr>
              <w:fldChar w:fldCharType="begin" w:fldLock="1"/>
            </w:r>
            <w:r w:rsidR="00C73D5C">
              <w:rPr>
                <w:rFonts w:ascii="Calibri" w:eastAsia="Times New Roman" w:hAnsi="Calibri" w:cs="Calibri"/>
                <w:color w:val="000000"/>
                <w:sz w:val="20"/>
                <w:szCs w:val="20"/>
                <w:lang w:eastAsia="en-AU"/>
              </w:rPr>
              <w:instrText>ADDIN CSL_CITATION { "citationItems" : [ { "id" : "ITEM-1", "itemData" : { "DOI" : "10.3945/ajcn.110.008938.1", "author" : [ { "dropping-particle" : "", "family" : "Poly", "given" : "Coreyann", "non-dropping-particle" : "", "parse-names" : false, "suffix" : "" }, { "dropping-particle" : "", "family" : "Massaro", "given" : "Joseph M", "non-dropping-particle" : "", "parse-names" : false, "suffix" : "" }, { "dropping-particle" : "", "family" : "Seshadri", "given" : "Sudha", "non-dropping-particle" : "", "parse-names" : false, "suffix" : "" }, { "dropping-particle" : "", "family" : "Wolf", "given" : "Philip A", "non-dropping-particle" : "", "parse-names" : false, "suffix" : "" }, { "dropping-particle" : "", "family" : "Cho", "given" : "Eunyoung", "non-dropping-particle" : "", "parse-names" : false, "suffix" : "" }, { "dropping-particle" : "", "family" : "Krall", "given" : "Elizabeth", "non-dropping-particle" : "", "parse-names" : false, "suffix" : "" }, { "dropping-particle" : "", "family" : "Jacques", "given" : "Paul F", "non-dropping-particle" : "", "parse-names" : false, "suffix" : "" }, { "dropping-particle" : "", "family" : "Au", "given" : "Rhoda", "non-dropping-particle" : "", "parse-names" : false, "suffix" : "" } ], "container-title" : "The American Journal of Clinical Nutrition", "id" : "ITEM-1", "issued" : { "date-parts" : [ [ "2011" ] ] }, "page" : "1584-1591", "title" : "The relation of dietary choline to cognitive performance and white-matter hyperintensity in the Framingham Offspring Cohort", "type" : "article-journal", "volume" : "94" }, "uris" : [ "http://www.mendeley.com/documents/?uuid=7617a97d-7e78-4dcb-8ee7-812fdb1ae462" ] } ], "mendeley" : { "formattedCitation" : "&lt;sup&gt;(24)&lt;/sup&gt;", "plainTextFormattedCitation" : "(24)", "previouslyFormattedCitation" : "&lt;sup&gt;(24)&lt;/sup&gt;" }, "properties" : { "noteIndex" : 0 }, "schema" : "https://github.com/citation-style-language/schema/raw/master/csl-citation.json" }</w:instrText>
            </w:r>
            <w:r w:rsidR="001B6432" w:rsidRPr="00B54A75">
              <w:rPr>
                <w:rFonts w:ascii="Calibri" w:eastAsia="Times New Roman" w:hAnsi="Calibri" w:cs="Calibri"/>
                <w:color w:val="000000"/>
                <w:sz w:val="20"/>
                <w:szCs w:val="20"/>
                <w:lang w:eastAsia="en-AU"/>
              </w:rPr>
              <w:fldChar w:fldCharType="separate"/>
            </w:r>
            <w:r w:rsidR="00B54A75" w:rsidRPr="00B54A75">
              <w:rPr>
                <w:rFonts w:ascii="Calibri" w:eastAsia="Times New Roman" w:hAnsi="Calibri" w:cs="Calibri"/>
                <w:noProof/>
                <w:color w:val="000000"/>
                <w:sz w:val="20"/>
                <w:szCs w:val="20"/>
                <w:vertAlign w:val="superscript"/>
                <w:lang w:eastAsia="en-AU"/>
              </w:rPr>
              <w:t>(24)</w:t>
            </w:r>
            <w:r w:rsidR="001B6432" w:rsidRPr="00B54A75">
              <w:rPr>
                <w:rFonts w:ascii="Calibri" w:eastAsia="Times New Roman" w:hAnsi="Calibri" w:cs="Calibri"/>
                <w:color w:val="000000"/>
                <w:sz w:val="20"/>
                <w:szCs w:val="20"/>
                <w:lang w:eastAsia="en-AU"/>
              </w:rPr>
              <w:fldChar w:fldCharType="end"/>
            </w:r>
          </w:p>
        </w:tc>
        <w:tc>
          <w:tcPr>
            <w:tcW w:w="1049"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Choline (FFQ)</w:t>
            </w:r>
          </w:p>
        </w:tc>
        <w:tc>
          <w:tcPr>
            <w:tcW w:w="1082"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DF</w:t>
            </w:r>
          </w:p>
        </w:tc>
        <w:tc>
          <w:tcPr>
            <w:tcW w:w="1274"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1,391</w:t>
            </w:r>
          </w:p>
        </w:tc>
        <w:tc>
          <w:tcPr>
            <w:tcW w:w="1328"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36.0 - 83.0</w:t>
            </w:r>
          </w:p>
        </w:tc>
        <w:tc>
          <w:tcPr>
            <w:tcW w:w="1418"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60.80</w:t>
            </w:r>
          </w:p>
        </w:tc>
        <w:tc>
          <w:tcPr>
            <w:tcW w:w="1417"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9.30</w:t>
            </w:r>
          </w:p>
        </w:tc>
        <w:tc>
          <w:tcPr>
            <w:tcW w:w="5760"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b/>
                <w:bCs/>
                <w:iCs/>
                <w:color w:val="000000"/>
                <w:sz w:val="20"/>
                <w:szCs w:val="20"/>
                <w:lang w:eastAsia="en-AU"/>
              </w:rPr>
              <w:t>Cross sectional</w:t>
            </w:r>
            <w:r w:rsidRPr="00B54A75">
              <w:rPr>
                <w:rFonts w:ascii="Calibri" w:eastAsia="Times New Roman" w:hAnsi="Calibri" w:cs="Calibri"/>
                <w:b/>
                <w:bCs/>
                <w:color w:val="000000"/>
                <w:sz w:val="20"/>
                <w:szCs w:val="20"/>
                <w:lang w:eastAsia="en-AU"/>
              </w:rPr>
              <w:t xml:space="preserve"> (MRI)</w:t>
            </w:r>
            <w:r w:rsidRPr="00B54A75">
              <w:rPr>
                <w:rFonts w:ascii="Calibri" w:eastAsia="Times New Roman" w:hAnsi="Calibri" w:cs="Calibri"/>
                <w:color w:val="000000"/>
                <w:sz w:val="20"/>
                <w:szCs w:val="20"/>
                <w:lang w:eastAsia="en-AU"/>
              </w:rPr>
              <w:br/>
            </w:r>
            <w:r w:rsidRPr="00B54A75">
              <w:rPr>
                <w:rFonts w:ascii="Calibri" w:eastAsia="Times New Roman" w:hAnsi="Calibri" w:cs="Calibri"/>
                <w:color w:val="000000"/>
                <w:sz w:val="20"/>
                <w:szCs w:val="20"/>
                <w:u w:val="single"/>
                <w:lang w:eastAsia="en-AU"/>
              </w:rPr>
              <w:t>↑ Total choline intake</w:t>
            </w:r>
            <w:r w:rsidRPr="00B54A75">
              <w:rPr>
                <w:rFonts w:ascii="Calibri" w:eastAsia="Times New Roman" w:hAnsi="Calibri" w:cs="Calibri"/>
                <w:color w:val="000000"/>
                <w:sz w:val="20"/>
                <w:szCs w:val="20"/>
                <w:lang w:eastAsia="en-AU"/>
              </w:rPr>
              <w:t xml:space="preserve"> w</w:t>
            </w:r>
            <w:r w:rsidR="00AC73C6" w:rsidRPr="00B54A75">
              <w:rPr>
                <w:rFonts w:ascii="Calibri" w:eastAsia="Times New Roman" w:hAnsi="Calibri" w:cs="Calibri"/>
                <w:color w:val="000000"/>
                <w:sz w:val="20"/>
                <w:szCs w:val="20"/>
                <w:lang w:eastAsia="en-AU"/>
              </w:rPr>
              <w:t>as associated with:</w:t>
            </w:r>
            <w:r w:rsidR="00AC73C6" w:rsidRPr="00B54A75">
              <w:rPr>
                <w:rFonts w:ascii="Calibri" w:eastAsia="Times New Roman" w:hAnsi="Calibri" w:cs="Calibri"/>
                <w:color w:val="000000"/>
                <w:sz w:val="20"/>
                <w:szCs w:val="20"/>
                <w:lang w:eastAsia="en-AU"/>
              </w:rPr>
              <w:br/>
              <w:t xml:space="preserve">          </w:t>
            </w:r>
            <w:r w:rsidRPr="00B54A75">
              <w:rPr>
                <w:rFonts w:ascii="Calibri" w:eastAsia="Times New Roman" w:hAnsi="Calibri" w:cs="Calibri"/>
                <w:color w:val="000000"/>
                <w:sz w:val="20"/>
                <w:szCs w:val="20"/>
                <w:lang w:eastAsia="en-AU"/>
              </w:rPr>
              <w:t xml:space="preserve">↓ </w:t>
            </w:r>
            <w:proofErr w:type="spellStart"/>
            <w:r w:rsidRPr="00B54A75">
              <w:rPr>
                <w:rFonts w:ascii="Calibri" w:eastAsia="Times New Roman" w:hAnsi="Calibri" w:cs="Calibri"/>
                <w:color w:val="000000"/>
                <w:sz w:val="20"/>
                <w:szCs w:val="20"/>
                <w:lang w:eastAsia="en-AU"/>
              </w:rPr>
              <w:t>WMHv</w:t>
            </w:r>
            <w:proofErr w:type="spellEnd"/>
          </w:p>
        </w:tc>
      </w:tr>
      <w:tr w:rsidR="009321E8" w:rsidRPr="00B54A75" w:rsidTr="00222F25">
        <w:trPr>
          <w:trHeight w:val="315"/>
        </w:trPr>
        <w:tc>
          <w:tcPr>
            <w:tcW w:w="1840" w:type="dxa"/>
            <w:tcBorders>
              <w:top w:val="nil"/>
              <w:left w:val="nil"/>
              <w:bottom w:val="nil"/>
              <w:right w:val="nil"/>
            </w:tcBorders>
            <w:shd w:val="clear" w:color="auto" w:fill="auto"/>
            <w:noWrap/>
            <w:vAlign w:val="bottom"/>
            <w:hideMark/>
          </w:tcPr>
          <w:p w:rsidR="00112011" w:rsidRPr="00B54A75" w:rsidRDefault="00112011" w:rsidP="00112011">
            <w:pPr>
              <w:spacing w:after="0" w:line="240" w:lineRule="auto"/>
              <w:rPr>
                <w:rFonts w:ascii="Calibri" w:eastAsia="Times New Roman" w:hAnsi="Calibri" w:cs="Calibri"/>
                <w:b/>
                <w:bCs/>
                <w:iCs/>
                <w:color w:val="000000"/>
                <w:sz w:val="20"/>
                <w:szCs w:val="20"/>
                <w:lang w:eastAsia="en-AU"/>
              </w:rPr>
            </w:pPr>
            <w:r w:rsidRPr="00B54A75">
              <w:rPr>
                <w:rFonts w:ascii="Calibri" w:eastAsia="Times New Roman" w:hAnsi="Calibri" w:cs="Calibri"/>
                <w:b/>
                <w:bCs/>
                <w:iCs/>
                <w:color w:val="000000"/>
                <w:sz w:val="20"/>
                <w:szCs w:val="20"/>
                <w:lang w:eastAsia="en-AU"/>
              </w:rPr>
              <w:lastRenderedPageBreak/>
              <w:t>Omega-3 Fatty Acids</w:t>
            </w:r>
          </w:p>
        </w:tc>
        <w:tc>
          <w:tcPr>
            <w:tcW w:w="1049"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b/>
                <w:bCs/>
                <w:iCs/>
                <w:color w:val="000000"/>
                <w:sz w:val="20"/>
                <w:szCs w:val="20"/>
                <w:lang w:eastAsia="en-AU"/>
              </w:rPr>
            </w:pPr>
          </w:p>
        </w:tc>
        <w:tc>
          <w:tcPr>
            <w:tcW w:w="1082"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Times New Roman" w:eastAsia="Times New Roman" w:hAnsi="Times New Roman" w:cs="Times New Roman"/>
                <w:sz w:val="20"/>
                <w:szCs w:val="20"/>
                <w:lang w:eastAsia="en-AU"/>
              </w:rPr>
            </w:pPr>
          </w:p>
        </w:tc>
        <w:tc>
          <w:tcPr>
            <w:tcW w:w="1274"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Times New Roman" w:eastAsia="Times New Roman" w:hAnsi="Times New Roman" w:cs="Times New Roman"/>
                <w:sz w:val="20"/>
                <w:szCs w:val="20"/>
                <w:lang w:eastAsia="en-AU"/>
              </w:rPr>
            </w:pPr>
          </w:p>
        </w:tc>
        <w:tc>
          <w:tcPr>
            <w:tcW w:w="1328"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Times New Roman" w:eastAsia="Times New Roman" w:hAnsi="Times New Roman" w:cs="Times New Roman"/>
                <w:sz w:val="20"/>
                <w:szCs w:val="20"/>
                <w:lang w:eastAsia="en-AU"/>
              </w:rPr>
            </w:pPr>
          </w:p>
        </w:tc>
        <w:tc>
          <w:tcPr>
            <w:tcW w:w="1418"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Times New Roman" w:eastAsia="Times New Roman" w:hAnsi="Times New Roman" w:cs="Times New Roman"/>
                <w:sz w:val="20"/>
                <w:szCs w:val="20"/>
                <w:lang w:eastAsia="en-AU"/>
              </w:rPr>
            </w:pPr>
          </w:p>
        </w:tc>
        <w:tc>
          <w:tcPr>
            <w:tcW w:w="1417"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Times New Roman" w:eastAsia="Times New Roman" w:hAnsi="Times New Roman" w:cs="Times New Roman"/>
                <w:sz w:val="20"/>
                <w:szCs w:val="20"/>
                <w:lang w:eastAsia="en-AU"/>
              </w:rPr>
            </w:pPr>
          </w:p>
        </w:tc>
        <w:tc>
          <w:tcPr>
            <w:tcW w:w="5760"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Times New Roman" w:eastAsia="Times New Roman" w:hAnsi="Times New Roman" w:cs="Times New Roman"/>
                <w:sz w:val="20"/>
                <w:szCs w:val="20"/>
                <w:lang w:eastAsia="en-AU"/>
              </w:rPr>
            </w:pPr>
          </w:p>
        </w:tc>
      </w:tr>
      <w:tr w:rsidR="008251F9" w:rsidRPr="00B54A75" w:rsidTr="00222F25">
        <w:trPr>
          <w:trHeight w:val="840"/>
        </w:trPr>
        <w:tc>
          <w:tcPr>
            <w:tcW w:w="1840" w:type="dxa"/>
            <w:tcBorders>
              <w:top w:val="nil"/>
              <w:left w:val="nil"/>
              <w:bottom w:val="nil"/>
              <w:right w:val="nil"/>
            </w:tcBorders>
            <w:shd w:val="clear" w:color="000000" w:fill="D9D9D9"/>
            <w:vAlign w:val="bottom"/>
            <w:hideMark/>
          </w:tcPr>
          <w:p w:rsidR="00112011" w:rsidRPr="00B54A75" w:rsidRDefault="00A85A6A" w:rsidP="001E46D5">
            <w:pPr>
              <w:spacing w:after="0" w:line="240" w:lineRule="auto"/>
              <w:rPr>
                <w:rFonts w:ascii="Calibri" w:eastAsia="Times New Roman" w:hAnsi="Calibri" w:cs="Calibri"/>
                <w:color w:val="000000"/>
                <w:sz w:val="20"/>
                <w:szCs w:val="20"/>
                <w:lang w:eastAsia="en-AU"/>
              </w:rPr>
            </w:pPr>
            <w:proofErr w:type="spellStart"/>
            <w:r w:rsidRPr="00B54A75">
              <w:rPr>
                <w:rFonts w:ascii="Calibri" w:eastAsia="Times New Roman" w:hAnsi="Calibri" w:cs="Calibri"/>
                <w:color w:val="000000"/>
                <w:sz w:val="20"/>
                <w:szCs w:val="20"/>
                <w:lang w:eastAsia="en-AU"/>
              </w:rPr>
              <w:t>Zamroziewicz</w:t>
            </w:r>
            <w:proofErr w:type="spellEnd"/>
            <w:r w:rsidRPr="00B54A75">
              <w:rPr>
                <w:rFonts w:ascii="Calibri" w:eastAsia="Times New Roman" w:hAnsi="Calibri" w:cs="Calibri"/>
                <w:color w:val="000000"/>
                <w:sz w:val="20"/>
                <w:szCs w:val="20"/>
                <w:lang w:eastAsia="en-AU"/>
              </w:rPr>
              <w:t xml:space="preserve"> et al.</w:t>
            </w:r>
            <w:r w:rsidR="00AC50B4" w:rsidRPr="00B54A75">
              <w:rPr>
                <w:rFonts w:ascii="Calibri" w:eastAsia="Times New Roman" w:hAnsi="Calibri" w:cs="Calibri"/>
                <w:color w:val="000000"/>
                <w:sz w:val="20"/>
                <w:szCs w:val="20"/>
                <w:lang w:eastAsia="en-AU"/>
              </w:rPr>
              <w:fldChar w:fldCharType="begin" w:fldLock="1"/>
            </w:r>
            <w:r w:rsidR="00C73D5C">
              <w:rPr>
                <w:rFonts w:ascii="Calibri" w:eastAsia="Times New Roman" w:hAnsi="Calibri" w:cs="Calibri"/>
                <w:color w:val="000000"/>
                <w:sz w:val="20"/>
                <w:szCs w:val="20"/>
                <w:lang w:eastAsia="en-AU"/>
              </w:rPr>
              <w:instrText>ADDIN CSL_CITATION { "citationItems" : [ { "id" : "ITEM-1", "itemData" : { "author" : [ { "dropping-particle" : "", "family" : "Zamroziewicz", "given" : "Marta K", "non-dropping-particle" : "", "parse-names" : false, "suffix" : "" }, { "dropping-particle" : "", "family" : "Paul", "given" : "Erick J", "non-dropping-particle" : "", "parse-names" : false, "suffix" : "" }, { "dropping-particle" : "", "family" : "Zwilling", "given" : "Chris E", "non-dropping-particle" : "", "parse-names" : false, "suffix" : "" }, { "dropping-particle" : "", "family" : "Barbey", "given" : "Aron K", "non-dropping-particle" : "", "parse-names" : false, "suffix" : "" } ], "container-title" : "Aging and Disease", "id" : "ITEM-1", "issued" : { "date-parts" : [ [ "2017" ] ] }, "page" : "372-383", "title" : "Predictors of memory in healthy aging: Polyunsaturated fatty acid balance and fornix white matter integrity", "type" : "article-journal", "volume" : "8" }, "uris" : [ "http://www.mendeley.com/documents/?uuid=2bb9a1a1-95c8-4bd0-8532-53d37231f20a" ] } ], "mendeley" : { "formattedCitation" : "&lt;sup&gt;(25)&lt;/sup&gt;", "plainTextFormattedCitation" : "(25)", "previouslyFormattedCitation" : "&lt;sup&gt;(25)&lt;/sup&gt;" }, "properties" : { "noteIndex" : 0 }, "schema" : "https://github.com/citation-style-language/schema/raw/master/csl-citation.json" }</w:instrText>
            </w:r>
            <w:r w:rsidR="00AC50B4" w:rsidRPr="00B54A75">
              <w:rPr>
                <w:rFonts w:ascii="Calibri" w:eastAsia="Times New Roman" w:hAnsi="Calibri" w:cs="Calibri"/>
                <w:color w:val="000000"/>
                <w:sz w:val="20"/>
                <w:szCs w:val="20"/>
                <w:lang w:eastAsia="en-AU"/>
              </w:rPr>
              <w:fldChar w:fldCharType="separate"/>
            </w:r>
            <w:r w:rsidR="00B54A75" w:rsidRPr="00B54A75">
              <w:rPr>
                <w:rFonts w:ascii="Calibri" w:eastAsia="Times New Roman" w:hAnsi="Calibri" w:cs="Calibri"/>
                <w:noProof/>
                <w:color w:val="000000"/>
                <w:sz w:val="20"/>
                <w:szCs w:val="20"/>
                <w:vertAlign w:val="superscript"/>
                <w:lang w:eastAsia="en-AU"/>
              </w:rPr>
              <w:t>(25)</w:t>
            </w:r>
            <w:r w:rsidR="00AC50B4" w:rsidRPr="00B54A75">
              <w:rPr>
                <w:rFonts w:ascii="Calibri" w:eastAsia="Times New Roman" w:hAnsi="Calibri" w:cs="Calibri"/>
                <w:color w:val="000000"/>
                <w:sz w:val="20"/>
                <w:szCs w:val="20"/>
                <w:lang w:eastAsia="en-AU"/>
              </w:rPr>
              <w:fldChar w:fldCharType="end"/>
            </w:r>
          </w:p>
        </w:tc>
        <w:tc>
          <w:tcPr>
            <w:tcW w:w="1049"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ω3 &amp; ω6-FA</w:t>
            </w:r>
          </w:p>
        </w:tc>
        <w:tc>
          <w:tcPr>
            <w:tcW w:w="1082"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CN</w:t>
            </w:r>
          </w:p>
        </w:tc>
        <w:tc>
          <w:tcPr>
            <w:tcW w:w="1274"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94</w:t>
            </w:r>
          </w:p>
        </w:tc>
        <w:tc>
          <w:tcPr>
            <w:tcW w:w="1328" w:type="dxa"/>
            <w:tcBorders>
              <w:top w:val="nil"/>
              <w:left w:val="nil"/>
              <w:bottom w:val="nil"/>
              <w:right w:val="nil"/>
            </w:tcBorders>
            <w:shd w:val="clear" w:color="000000" w:fill="D9D9D9"/>
            <w:vAlign w:val="bottom"/>
            <w:hideMark/>
          </w:tcPr>
          <w:p w:rsidR="00112011" w:rsidRPr="00B54A75" w:rsidRDefault="00174DC3" w:rsidP="00112011">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65 - 75</w:t>
            </w:r>
          </w:p>
        </w:tc>
        <w:tc>
          <w:tcPr>
            <w:tcW w:w="1418"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69.0</w:t>
            </w:r>
          </w:p>
        </w:tc>
        <w:tc>
          <w:tcPr>
            <w:tcW w:w="1417" w:type="dxa"/>
            <w:tcBorders>
              <w:top w:val="nil"/>
              <w:left w:val="nil"/>
              <w:bottom w:val="nil"/>
              <w:right w:val="nil"/>
            </w:tcBorders>
            <w:shd w:val="clear" w:color="000000" w:fill="D9D9D9"/>
            <w:noWrap/>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3.0</w:t>
            </w:r>
          </w:p>
        </w:tc>
        <w:tc>
          <w:tcPr>
            <w:tcW w:w="5760"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b/>
                <w:bCs/>
                <w:iCs/>
                <w:color w:val="000000"/>
                <w:sz w:val="20"/>
                <w:szCs w:val="20"/>
                <w:lang w:eastAsia="en-AU"/>
              </w:rPr>
              <w:t>Cross sectional</w:t>
            </w:r>
            <w:r w:rsidRPr="00B54A75">
              <w:rPr>
                <w:rFonts w:ascii="Calibri" w:eastAsia="Times New Roman" w:hAnsi="Calibri" w:cs="Calibri"/>
                <w:b/>
                <w:bCs/>
                <w:color w:val="000000"/>
                <w:sz w:val="20"/>
                <w:szCs w:val="20"/>
                <w:lang w:eastAsia="en-AU"/>
              </w:rPr>
              <w:t xml:space="preserve"> (MRI)</w:t>
            </w:r>
            <w:r w:rsidRPr="00B54A75">
              <w:rPr>
                <w:rFonts w:ascii="Calibri" w:eastAsia="Times New Roman" w:hAnsi="Calibri" w:cs="Calibri"/>
                <w:color w:val="000000"/>
                <w:sz w:val="20"/>
                <w:szCs w:val="20"/>
                <w:lang w:eastAsia="en-AU"/>
              </w:rPr>
              <w:br/>
            </w:r>
            <w:r w:rsidRPr="00B54A75">
              <w:rPr>
                <w:rFonts w:ascii="Calibri" w:eastAsia="Times New Roman" w:hAnsi="Calibri" w:cs="Calibri"/>
                <w:color w:val="000000"/>
                <w:sz w:val="20"/>
                <w:szCs w:val="20"/>
                <w:u w:val="single"/>
                <w:lang w:eastAsia="en-AU"/>
              </w:rPr>
              <w:t>↑ LCPUFA score (various ω6 &amp; ω3-FA)</w:t>
            </w:r>
            <w:r w:rsidRPr="00B54A75">
              <w:rPr>
                <w:rFonts w:ascii="Calibri" w:eastAsia="Times New Roman" w:hAnsi="Calibri" w:cs="Calibri"/>
                <w:color w:val="000000"/>
                <w:sz w:val="20"/>
                <w:szCs w:val="20"/>
                <w:lang w:eastAsia="en-AU"/>
              </w:rPr>
              <w:t xml:space="preserve"> </w:t>
            </w:r>
            <w:r w:rsidR="00AC73C6" w:rsidRPr="00B54A75">
              <w:rPr>
                <w:rFonts w:ascii="Calibri" w:eastAsia="Times New Roman" w:hAnsi="Calibri" w:cs="Calibri"/>
                <w:color w:val="000000"/>
                <w:sz w:val="20"/>
                <w:szCs w:val="20"/>
                <w:lang w:eastAsia="en-AU"/>
              </w:rPr>
              <w:t>was associated with:</w:t>
            </w:r>
            <w:r w:rsidR="00AC73C6" w:rsidRPr="00B54A75">
              <w:rPr>
                <w:rFonts w:ascii="Calibri" w:eastAsia="Times New Roman" w:hAnsi="Calibri" w:cs="Calibri"/>
                <w:color w:val="000000"/>
                <w:sz w:val="20"/>
                <w:szCs w:val="20"/>
                <w:lang w:eastAsia="en-AU"/>
              </w:rPr>
              <w:br/>
              <w:t xml:space="preserve">          </w:t>
            </w:r>
            <w:r w:rsidR="00AC50B4" w:rsidRPr="00B54A75">
              <w:rPr>
                <w:rFonts w:ascii="Calibri" w:eastAsia="Times New Roman" w:hAnsi="Calibri" w:cs="Calibri"/>
                <w:color w:val="000000"/>
                <w:sz w:val="20"/>
                <w:szCs w:val="20"/>
                <w:lang w:eastAsia="en-AU"/>
              </w:rPr>
              <w:t>↑ WM microstructure within f</w:t>
            </w:r>
            <w:r w:rsidRPr="00B54A75">
              <w:rPr>
                <w:rFonts w:ascii="Calibri" w:eastAsia="Times New Roman" w:hAnsi="Calibri" w:cs="Calibri"/>
                <w:color w:val="000000"/>
                <w:sz w:val="20"/>
                <w:szCs w:val="20"/>
                <w:lang w:eastAsia="en-AU"/>
              </w:rPr>
              <w:t>ornix</w:t>
            </w:r>
          </w:p>
        </w:tc>
      </w:tr>
      <w:tr w:rsidR="009321E8" w:rsidRPr="00B54A75" w:rsidTr="00222F25">
        <w:trPr>
          <w:trHeight w:val="2145"/>
        </w:trPr>
        <w:tc>
          <w:tcPr>
            <w:tcW w:w="1840" w:type="dxa"/>
            <w:tcBorders>
              <w:top w:val="nil"/>
              <w:left w:val="nil"/>
              <w:bottom w:val="nil"/>
              <w:right w:val="nil"/>
            </w:tcBorders>
            <w:shd w:val="clear" w:color="auto" w:fill="auto"/>
            <w:vAlign w:val="bottom"/>
            <w:hideMark/>
          </w:tcPr>
          <w:p w:rsidR="00112011" w:rsidRPr="00B54A75" w:rsidRDefault="00A85A6A" w:rsidP="001E46D5">
            <w:pPr>
              <w:spacing w:after="0" w:line="240" w:lineRule="auto"/>
              <w:rPr>
                <w:rFonts w:ascii="Calibri" w:eastAsia="Times New Roman" w:hAnsi="Calibri" w:cs="Calibri"/>
                <w:color w:val="000000"/>
                <w:sz w:val="20"/>
                <w:szCs w:val="20"/>
                <w:lang w:eastAsia="en-AU"/>
              </w:rPr>
            </w:pPr>
            <w:proofErr w:type="spellStart"/>
            <w:r w:rsidRPr="00B54A75">
              <w:rPr>
                <w:rFonts w:ascii="Calibri" w:eastAsia="Times New Roman" w:hAnsi="Calibri" w:cs="Calibri"/>
                <w:color w:val="000000"/>
                <w:sz w:val="20"/>
                <w:szCs w:val="20"/>
                <w:lang w:eastAsia="en-AU"/>
              </w:rPr>
              <w:t>Daiello</w:t>
            </w:r>
            <w:proofErr w:type="spellEnd"/>
            <w:r w:rsidRPr="00B54A75">
              <w:rPr>
                <w:rFonts w:ascii="Calibri" w:eastAsia="Times New Roman" w:hAnsi="Calibri" w:cs="Calibri"/>
                <w:color w:val="000000"/>
                <w:sz w:val="20"/>
                <w:szCs w:val="20"/>
                <w:lang w:eastAsia="en-AU"/>
              </w:rPr>
              <w:t xml:space="preserve"> et al.</w:t>
            </w:r>
            <w:r w:rsidR="00AC50B4" w:rsidRPr="00B54A75">
              <w:rPr>
                <w:rFonts w:ascii="Calibri" w:eastAsia="Times New Roman" w:hAnsi="Calibri" w:cs="Calibri"/>
                <w:color w:val="000000"/>
                <w:sz w:val="20"/>
                <w:szCs w:val="20"/>
                <w:lang w:eastAsia="en-AU"/>
              </w:rPr>
              <w:fldChar w:fldCharType="begin" w:fldLock="1"/>
            </w:r>
            <w:r w:rsidR="00C73D5C">
              <w:rPr>
                <w:rFonts w:ascii="Calibri" w:eastAsia="Times New Roman" w:hAnsi="Calibri" w:cs="Calibri"/>
                <w:color w:val="000000"/>
                <w:sz w:val="20"/>
                <w:szCs w:val="20"/>
                <w:lang w:eastAsia="en-AU"/>
              </w:rPr>
              <w:instrText>ADDIN CSL_CITATION { "citationItems" : [ { "id" : "ITEM-1", "itemData" : { "DOI" : "10.1016/j.jalz.2014.02.005", "ISSN" : "1552-5279", "PMID" : "24954371", "abstract" : "OBJECTIVE: The aim of this study was to investigate whether the use of fish oil supplements (FOSs) is associated with concomitant reduction in cognitive decline and brain atrophy in older adults. METHODS: We conducted a retrospective cohort study to examine the relationship between FOS use during the Alzheimer's Disease Neuroimaging Initiative and indicators of cognitive decline. Older adults (229 cognitively normal individuals, 397 patients with mild cognitive impairment, and 193 patients with Alzheimer's disease) were assessed with neuropsychological tests and brain magnetic resonance imaging every 6 months. Primary outcomes included (1) global cognitive status and (2) cerebral cortex gray matter and hippocampus and ventricular volumes. RESULTS: FOS use during follow-up was associated with significantly lower mean cognitive subscale of the Alzheimer's Disease Assessment Scale and higher Mini-Mental State Examination scores among those with normal cognition. Associations between FOS use and the outcomes were observed only in APOE \u03b54-negative participants. FOS use during the study was also associated with less atrophy in one or more brain regions of interest.", "author" : [ { "dropping-particle" : "", "family" : "Daiello", "given" : "Lori a", "non-dropping-particle" : "", "parse-names" : false, "suffix" : "" }, { "dropping-particle" : "", "family" : "Gongvatana", "given" : "Assawin", "non-dropping-particle" : "", "parse-names" : false, "suffix" : "" }, { "dropping-particle" : "", "family" : "Dunsiger", "given" : "Shira", "non-dropping-particle" : "", "parse-names" : false, "suffix" : "" }, { "dropping-particle" : "", "family" : "Cohen", "given" : "Ronald A", "non-dropping-particle" : "", "parse-names" : false, "suffix" : "" }, { "dropping-particle" : "", "family" : "Ott", "given" : "Brian R", "non-dropping-particle" : "", "parse-names" : false, "suffix" : "" } ], "container-title" : "Alzheimer's &amp; Dementia", "id" : "ITEM-1", "issued" : { "date-parts" : [ [ "2015", "2" ] ] }, "page" : "226-235", "publisher" : "Elsevier Ltd", "title" : "Association of fish oil supplement use with preservation of brain volume and cognitive function", "type" : "article-journal", "volume" : "11" }, "uris" : [ "http://www.mendeley.com/documents/?uuid=444c0d97-0d42-4445-bb4f-360e9f0c5d70" ] } ], "mendeley" : { "formattedCitation" : "&lt;sup&gt;(26)&lt;/sup&gt;", "plainTextFormattedCitation" : "(26)", "previouslyFormattedCitation" : "&lt;sup&gt;(26)&lt;/sup&gt;" }, "properties" : { "noteIndex" : 0 }, "schema" : "https://github.com/citation-style-language/schema/raw/master/csl-citation.json" }</w:instrText>
            </w:r>
            <w:r w:rsidR="00AC50B4" w:rsidRPr="00B54A75">
              <w:rPr>
                <w:rFonts w:ascii="Calibri" w:eastAsia="Times New Roman" w:hAnsi="Calibri" w:cs="Calibri"/>
                <w:color w:val="000000"/>
                <w:sz w:val="20"/>
                <w:szCs w:val="20"/>
                <w:lang w:eastAsia="en-AU"/>
              </w:rPr>
              <w:fldChar w:fldCharType="separate"/>
            </w:r>
            <w:r w:rsidR="00B54A75" w:rsidRPr="00B54A75">
              <w:rPr>
                <w:rFonts w:ascii="Calibri" w:eastAsia="Times New Roman" w:hAnsi="Calibri" w:cs="Calibri"/>
                <w:noProof/>
                <w:color w:val="000000"/>
                <w:sz w:val="20"/>
                <w:szCs w:val="20"/>
                <w:vertAlign w:val="superscript"/>
                <w:lang w:eastAsia="en-AU"/>
              </w:rPr>
              <w:t>(26)</w:t>
            </w:r>
            <w:r w:rsidR="00AC50B4" w:rsidRPr="00B54A75">
              <w:rPr>
                <w:rFonts w:ascii="Calibri" w:eastAsia="Times New Roman" w:hAnsi="Calibri" w:cs="Calibri"/>
                <w:color w:val="000000"/>
                <w:sz w:val="20"/>
                <w:szCs w:val="20"/>
                <w:lang w:eastAsia="en-AU"/>
              </w:rPr>
              <w:fldChar w:fldCharType="end"/>
            </w:r>
          </w:p>
        </w:tc>
        <w:tc>
          <w:tcPr>
            <w:tcW w:w="1049"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Reported FOS</w:t>
            </w:r>
          </w:p>
        </w:tc>
        <w:tc>
          <w:tcPr>
            <w:tcW w:w="1082"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Mixed†</w:t>
            </w:r>
          </w:p>
        </w:tc>
        <w:tc>
          <w:tcPr>
            <w:tcW w:w="1274"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229 (CN)</w:t>
            </w:r>
            <w:r w:rsidRPr="00B54A75">
              <w:rPr>
                <w:rFonts w:ascii="Calibri" w:eastAsia="Times New Roman" w:hAnsi="Calibri" w:cs="Calibri"/>
                <w:color w:val="000000"/>
                <w:sz w:val="20"/>
                <w:szCs w:val="20"/>
                <w:lang w:eastAsia="en-AU"/>
              </w:rPr>
              <w:br/>
              <w:t>397 (MCI)</w:t>
            </w:r>
            <w:r w:rsidRPr="00B54A75">
              <w:rPr>
                <w:rFonts w:ascii="Calibri" w:eastAsia="Times New Roman" w:hAnsi="Calibri" w:cs="Calibri"/>
                <w:color w:val="000000"/>
                <w:sz w:val="20"/>
                <w:szCs w:val="20"/>
                <w:lang w:eastAsia="en-AU"/>
              </w:rPr>
              <w:br/>
              <w:t xml:space="preserve">193 (AD) </w:t>
            </w:r>
          </w:p>
        </w:tc>
        <w:tc>
          <w:tcPr>
            <w:tcW w:w="1328"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NR</w:t>
            </w:r>
          </w:p>
        </w:tc>
        <w:tc>
          <w:tcPr>
            <w:tcW w:w="1418"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76.0 (CN)</w:t>
            </w:r>
            <w:r w:rsidRPr="00B54A75">
              <w:rPr>
                <w:rFonts w:ascii="Calibri" w:eastAsia="Times New Roman" w:hAnsi="Calibri" w:cs="Calibri"/>
                <w:color w:val="000000"/>
                <w:sz w:val="20"/>
                <w:szCs w:val="20"/>
                <w:lang w:eastAsia="en-AU"/>
              </w:rPr>
              <w:br/>
              <w:t>74.90 (MCI)</w:t>
            </w:r>
            <w:r w:rsidRPr="00B54A75">
              <w:rPr>
                <w:rFonts w:ascii="Calibri" w:eastAsia="Times New Roman" w:hAnsi="Calibri" w:cs="Calibri"/>
                <w:color w:val="000000"/>
                <w:sz w:val="20"/>
                <w:szCs w:val="20"/>
                <w:lang w:eastAsia="en-AU"/>
              </w:rPr>
              <w:br/>
              <w:t>75.50 (AD)</w:t>
            </w:r>
          </w:p>
        </w:tc>
        <w:tc>
          <w:tcPr>
            <w:tcW w:w="1417"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5.0 (CN)</w:t>
            </w:r>
            <w:r w:rsidRPr="00B54A75">
              <w:rPr>
                <w:rFonts w:ascii="Calibri" w:eastAsia="Times New Roman" w:hAnsi="Calibri" w:cs="Calibri"/>
                <w:color w:val="000000"/>
                <w:sz w:val="20"/>
                <w:szCs w:val="20"/>
                <w:lang w:eastAsia="en-AU"/>
              </w:rPr>
              <w:br/>
              <w:t>7.50 (MCI)</w:t>
            </w:r>
            <w:r w:rsidRPr="00B54A75">
              <w:rPr>
                <w:rFonts w:ascii="Calibri" w:eastAsia="Times New Roman" w:hAnsi="Calibri" w:cs="Calibri"/>
                <w:color w:val="000000"/>
                <w:sz w:val="20"/>
                <w:szCs w:val="20"/>
                <w:lang w:eastAsia="en-AU"/>
              </w:rPr>
              <w:br/>
              <w:t>7.50 (AD)</w:t>
            </w:r>
          </w:p>
        </w:tc>
        <w:tc>
          <w:tcPr>
            <w:tcW w:w="5760"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b/>
                <w:bCs/>
                <w:iCs/>
                <w:color w:val="000000"/>
                <w:sz w:val="20"/>
                <w:szCs w:val="20"/>
                <w:lang w:eastAsia="en-AU"/>
              </w:rPr>
              <w:t>Longitudinal</w:t>
            </w:r>
            <w:r w:rsidRPr="00B54A75">
              <w:rPr>
                <w:rFonts w:ascii="Calibri" w:eastAsia="Times New Roman" w:hAnsi="Calibri" w:cs="Calibri"/>
                <w:b/>
                <w:bCs/>
                <w:color w:val="000000"/>
                <w:sz w:val="20"/>
                <w:szCs w:val="20"/>
                <w:lang w:eastAsia="en-AU"/>
              </w:rPr>
              <w:t xml:space="preserve"> (MRI; multiple scans over 3-4 years)</w:t>
            </w:r>
            <w:r w:rsidRPr="00B54A75">
              <w:rPr>
                <w:rFonts w:ascii="Calibri" w:eastAsia="Times New Roman" w:hAnsi="Calibri" w:cs="Calibri"/>
                <w:color w:val="000000"/>
                <w:sz w:val="20"/>
                <w:szCs w:val="20"/>
                <w:lang w:eastAsia="en-AU"/>
              </w:rPr>
              <w:br/>
            </w:r>
            <w:r w:rsidRPr="00B54A75">
              <w:rPr>
                <w:rFonts w:ascii="Calibri" w:eastAsia="Times New Roman" w:hAnsi="Calibri" w:cs="Calibri"/>
                <w:color w:val="000000"/>
                <w:sz w:val="20"/>
                <w:szCs w:val="20"/>
                <w:u w:val="single"/>
                <w:lang w:eastAsia="en-AU"/>
              </w:rPr>
              <w:t>Reported FOS use</w:t>
            </w:r>
            <w:r w:rsidRPr="00B54A75">
              <w:rPr>
                <w:rFonts w:ascii="Calibri" w:eastAsia="Times New Roman" w:hAnsi="Calibri" w:cs="Calibri"/>
                <w:color w:val="000000"/>
                <w:sz w:val="20"/>
                <w:szCs w:val="20"/>
                <w:lang w:eastAsia="en-AU"/>
              </w:rPr>
              <w:t xml:space="preserve"> in whole group w</w:t>
            </w:r>
            <w:r w:rsidR="00AC73C6" w:rsidRPr="00B54A75">
              <w:rPr>
                <w:rFonts w:ascii="Calibri" w:eastAsia="Times New Roman" w:hAnsi="Calibri" w:cs="Calibri"/>
                <w:color w:val="000000"/>
                <w:sz w:val="20"/>
                <w:szCs w:val="20"/>
                <w:lang w:eastAsia="en-AU"/>
              </w:rPr>
              <w:t>as associated with:</w:t>
            </w:r>
            <w:r w:rsidR="00AC73C6" w:rsidRPr="00B54A75">
              <w:rPr>
                <w:rFonts w:ascii="Calibri" w:eastAsia="Times New Roman" w:hAnsi="Calibri" w:cs="Calibri"/>
                <w:color w:val="000000"/>
                <w:sz w:val="20"/>
                <w:szCs w:val="20"/>
                <w:lang w:eastAsia="en-AU"/>
              </w:rPr>
              <w:br/>
              <w:t xml:space="preserve">          </w:t>
            </w:r>
            <w:r w:rsidRPr="00B54A75">
              <w:rPr>
                <w:rFonts w:ascii="Calibri" w:eastAsia="Times New Roman" w:hAnsi="Calibri" w:cs="Calibri"/>
                <w:color w:val="000000"/>
                <w:sz w:val="20"/>
                <w:szCs w:val="20"/>
                <w:lang w:eastAsia="en-AU"/>
              </w:rPr>
              <w:t xml:space="preserve">↑Cortical </w:t>
            </w:r>
            <w:proofErr w:type="spellStart"/>
            <w:r w:rsidRPr="00B54A75">
              <w:rPr>
                <w:rFonts w:ascii="Calibri" w:eastAsia="Times New Roman" w:hAnsi="Calibri" w:cs="Calibri"/>
                <w:color w:val="000000"/>
                <w:sz w:val="20"/>
                <w:szCs w:val="20"/>
                <w:lang w:eastAsia="en-AU"/>
              </w:rPr>
              <w:t>GMv</w:t>
            </w:r>
            <w:proofErr w:type="spellEnd"/>
            <w:r w:rsidRPr="00B54A75">
              <w:rPr>
                <w:rFonts w:ascii="Calibri" w:eastAsia="Times New Roman" w:hAnsi="Calibri" w:cs="Calibri"/>
                <w:color w:val="000000"/>
                <w:sz w:val="20"/>
                <w:szCs w:val="20"/>
                <w:lang w:eastAsia="en-AU"/>
              </w:rPr>
              <w:t xml:space="preserve">                         </w:t>
            </w:r>
            <w:r w:rsidR="00AC73C6" w:rsidRPr="00B54A75">
              <w:rPr>
                <w:rFonts w:ascii="Calibri" w:eastAsia="Times New Roman" w:hAnsi="Calibri" w:cs="Calibri"/>
                <w:color w:val="000000"/>
                <w:sz w:val="20"/>
                <w:szCs w:val="20"/>
                <w:lang w:eastAsia="en-AU"/>
              </w:rPr>
              <w:t xml:space="preserve">  </w:t>
            </w:r>
            <w:r w:rsidR="00AC73C6" w:rsidRPr="00B54A75">
              <w:rPr>
                <w:rFonts w:ascii="Calibri" w:eastAsia="Times New Roman" w:hAnsi="Calibri" w:cs="Calibri"/>
                <w:color w:val="000000"/>
                <w:sz w:val="20"/>
                <w:szCs w:val="20"/>
                <w:lang w:eastAsia="en-AU"/>
              </w:rPr>
              <w:br/>
              <w:t xml:space="preserve">          ↑ </w:t>
            </w:r>
            <w:proofErr w:type="spellStart"/>
            <w:r w:rsidR="00AC73C6" w:rsidRPr="00B54A75">
              <w:rPr>
                <w:rFonts w:ascii="Calibri" w:eastAsia="Times New Roman" w:hAnsi="Calibri" w:cs="Calibri"/>
                <w:color w:val="000000"/>
                <w:sz w:val="20"/>
                <w:szCs w:val="20"/>
                <w:lang w:eastAsia="en-AU"/>
              </w:rPr>
              <w:t>HCv</w:t>
            </w:r>
            <w:proofErr w:type="spellEnd"/>
            <w:r w:rsidR="00AC73C6" w:rsidRPr="00B54A75">
              <w:rPr>
                <w:rFonts w:ascii="Calibri" w:eastAsia="Times New Roman" w:hAnsi="Calibri" w:cs="Calibri"/>
                <w:color w:val="000000"/>
                <w:sz w:val="20"/>
                <w:szCs w:val="20"/>
                <w:lang w:eastAsia="en-AU"/>
              </w:rPr>
              <w:br/>
              <w:t xml:space="preserve">          </w:t>
            </w:r>
            <w:r w:rsidRPr="00B54A75">
              <w:rPr>
                <w:rFonts w:ascii="Calibri" w:eastAsia="Times New Roman" w:hAnsi="Calibri" w:cs="Calibri"/>
                <w:color w:val="000000"/>
                <w:sz w:val="20"/>
                <w:szCs w:val="20"/>
                <w:lang w:eastAsia="en-AU"/>
              </w:rPr>
              <w:t>↓ Vent-v</w:t>
            </w:r>
            <w:r w:rsidRPr="00B54A75">
              <w:rPr>
                <w:rFonts w:ascii="Calibri" w:eastAsia="Times New Roman" w:hAnsi="Calibri" w:cs="Calibri"/>
                <w:color w:val="000000"/>
                <w:sz w:val="20"/>
                <w:szCs w:val="20"/>
                <w:lang w:eastAsia="en-AU"/>
              </w:rPr>
              <w:br/>
              <w:t xml:space="preserve">Subgroup analysis </w:t>
            </w:r>
            <w:r w:rsidRPr="00B54A75">
              <w:rPr>
                <w:rFonts w:ascii="Calibri" w:eastAsia="Times New Roman" w:hAnsi="Calibri" w:cs="Calibri"/>
                <w:color w:val="000000"/>
                <w:sz w:val="20"/>
                <w:szCs w:val="20"/>
                <w:u w:val="single"/>
                <w:lang w:eastAsia="en-AU"/>
              </w:rPr>
              <w:t>reported FO</w:t>
            </w:r>
            <w:r w:rsidRPr="00B54A75">
              <w:rPr>
                <w:rFonts w:ascii="Calibri" w:eastAsia="Times New Roman" w:hAnsi="Calibri" w:cs="Calibri"/>
                <w:color w:val="000000"/>
                <w:sz w:val="20"/>
                <w:szCs w:val="20"/>
                <w:lang w:eastAsia="en-AU"/>
              </w:rPr>
              <w:t>S use w</w:t>
            </w:r>
            <w:r w:rsidR="00AC73C6" w:rsidRPr="00B54A75">
              <w:rPr>
                <w:rFonts w:ascii="Calibri" w:eastAsia="Times New Roman" w:hAnsi="Calibri" w:cs="Calibri"/>
                <w:color w:val="000000"/>
                <w:sz w:val="20"/>
                <w:szCs w:val="20"/>
                <w:lang w:eastAsia="en-AU"/>
              </w:rPr>
              <w:t>as associated with:</w:t>
            </w:r>
            <w:r w:rsidR="00AC73C6" w:rsidRPr="00B54A75">
              <w:rPr>
                <w:rFonts w:ascii="Calibri" w:eastAsia="Times New Roman" w:hAnsi="Calibri" w:cs="Calibri"/>
                <w:color w:val="000000"/>
                <w:sz w:val="20"/>
                <w:szCs w:val="20"/>
                <w:lang w:eastAsia="en-AU"/>
              </w:rPr>
              <w:br/>
              <w:t xml:space="preserve">          </w:t>
            </w:r>
            <w:r w:rsidRPr="00B54A75">
              <w:rPr>
                <w:rFonts w:ascii="Calibri" w:eastAsia="Times New Roman" w:hAnsi="Calibri" w:cs="Calibri"/>
                <w:color w:val="000000"/>
                <w:sz w:val="20"/>
                <w:szCs w:val="20"/>
                <w:lang w:eastAsia="en-AU"/>
              </w:rPr>
              <w:t>↑ Co</w:t>
            </w:r>
            <w:r w:rsidR="00AC73C6" w:rsidRPr="00B54A75">
              <w:rPr>
                <w:rFonts w:ascii="Calibri" w:eastAsia="Times New Roman" w:hAnsi="Calibri" w:cs="Calibri"/>
                <w:color w:val="000000"/>
                <w:sz w:val="20"/>
                <w:szCs w:val="20"/>
                <w:lang w:eastAsia="en-AU"/>
              </w:rPr>
              <w:t xml:space="preserve">rtical </w:t>
            </w:r>
            <w:proofErr w:type="spellStart"/>
            <w:r w:rsidR="00AC73C6" w:rsidRPr="00B54A75">
              <w:rPr>
                <w:rFonts w:ascii="Calibri" w:eastAsia="Times New Roman" w:hAnsi="Calibri" w:cs="Calibri"/>
                <w:color w:val="000000"/>
                <w:sz w:val="20"/>
                <w:szCs w:val="20"/>
                <w:lang w:eastAsia="en-AU"/>
              </w:rPr>
              <w:t>GMv</w:t>
            </w:r>
            <w:proofErr w:type="spellEnd"/>
            <w:r w:rsidR="00AC73C6" w:rsidRPr="00B54A75">
              <w:rPr>
                <w:rFonts w:ascii="Calibri" w:eastAsia="Times New Roman" w:hAnsi="Calibri" w:cs="Calibri"/>
                <w:color w:val="000000"/>
                <w:sz w:val="20"/>
                <w:szCs w:val="20"/>
                <w:lang w:eastAsia="en-AU"/>
              </w:rPr>
              <w:t xml:space="preserve"> (CN &amp; MCI)</w:t>
            </w:r>
            <w:r w:rsidR="00AC73C6" w:rsidRPr="00B54A75">
              <w:rPr>
                <w:rFonts w:ascii="Calibri" w:eastAsia="Times New Roman" w:hAnsi="Calibri" w:cs="Calibri"/>
                <w:color w:val="000000"/>
                <w:sz w:val="20"/>
                <w:szCs w:val="20"/>
                <w:lang w:eastAsia="en-AU"/>
              </w:rPr>
              <w:br/>
              <w:t xml:space="preserve">          </w:t>
            </w:r>
            <w:r w:rsidRPr="00B54A75">
              <w:rPr>
                <w:rFonts w:ascii="Calibri" w:eastAsia="Times New Roman" w:hAnsi="Calibri" w:cs="Calibri"/>
                <w:color w:val="000000"/>
                <w:sz w:val="20"/>
                <w:szCs w:val="20"/>
                <w:lang w:eastAsia="en-AU"/>
              </w:rPr>
              <w:t xml:space="preserve">↑ </w:t>
            </w:r>
            <w:proofErr w:type="spellStart"/>
            <w:r w:rsidRPr="00B54A75">
              <w:rPr>
                <w:rFonts w:ascii="Calibri" w:eastAsia="Times New Roman" w:hAnsi="Calibri" w:cs="Calibri"/>
                <w:color w:val="000000"/>
                <w:sz w:val="20"/>
                <w:szCs w:val="20"/>
                <w:lang w:eastAsia="en-AU"/>
              </w:rPr>
              <w:t>HCv</w:t>
            </w:r>
            <w:proofErr w:type="spellEnd"/>
            <w:r w:rsidRPr="00B54A75">
              <w:rPr>
                <w:rFonts w:ascii="Calibri" w:eastAsia="Times New Roman" w:hAnsi="Calibri" w:cs="Calibri"/>
                <w:color w:val="000000"/>
                <w:sz w:val="20"/>
                <w:szCs w:val="20"/>
                <w:lang w:eastAsia="en-AU"/>
              </w:rPr>
              <w:t xml:space="preserve"> (CN &amp; AD)</w:t>
            </w:r>
          </w:p>
        </w:tc>
      </w:tr>
      <w:tr w:rsidR="008251F9" w:rsidRPr="00B54A75" w:rsidTr="00222F25">
        <w:trPr>
          <w:trHeight w:val="1110"/>
        </w:trPr>
        <w:tc>
          <w:tcPr>
            <w:tcW w:w="1840" w:type="dxa"/>
            <w:tcBorders>
              <w:top w:val="nil"/>
              <w:left w:val="nil"/>
              <w:bottom w:val="nil"/>
              <w:right w:val="nil"/>
            </w:tcBorders>
            <w:shd w:val="clear" w:color="000000" w:fill="D9D9D9"/>
            <w:vAlign w:val="bottom"/>
            <w:hideMark/>
          </w:tcPr>
          <w:p w:rsidR="00112011" w:rsidRPr="00B54A75" w:rsidRDefault="00A85A6A" w:rsidP="001E46D5">
            <w:pPr>
              <w:spacing w:after="0" w:line="240" w:lineRule="auto"/>
              <w:rPr>
                <w:rFonts w:ascii="Calibri" w:eastAsia="Times New Roman" w:hAnsi="Calibri" w:cs="Calibri"/>
                <w:color w:val="000000"/>
                <w:sz w:val="20"/>
                <w:szCs w:val="20"/>
                <w:lang w:eastAsia="en-AU"/>
              </w:rPr>
            </w:pPr>
            <w:proofErr w:type="spellStart"/>
            <w:r w:rsidRPr="00B54A75">
              <w:rPr>
                <w:rFonts w:ascii="Calibri" w:eastAsia="Times New Roman" w:hAnsi="Calibri" w:cs="Calibri"/>
                <w:color w:val="000000"/>
                <w:sz w:val="20"/>
                <w:szCs w:val="20"/>
                <w:lang w:eastAsia="en-AU"/>
              </w:rPr>
              <w:t>Pottala</w:t>
            </w:r>
            <w:proofErr w:type="spellEnd"/>
            <w:r w:rsidRPr="00B54A75">
              <w:rPr>
                <w:rFonts w:ascii="Calibri" w:eastAsia="Times New Roman" w:hAnsi="Calibri" w:cs="Calibri"/>
                <w:color w:val="000000"/>
                <w:sz w:val="20"/>
                <w:szCs w:val="20"/>
                <w:lang w:eastAsia="en-AU"/>
              </w:rPr>
              <w:t xml:space="preserve"> et al.</w:t>
            </w:r>
            <w:r w:rsidR="00AC50B4" w:rsidRPr="00B54A75">
              <w:rPr>
                <w:rFonts w:ascii="Calibri" w:eastAsia="Times New Roman" w:hAnsi="Calibri" w:cs="Calibri"/>
                <w:color w:val="000000"/>
                <w:sz w:val="20"/>
                <w:szCs w:val="20"/>
                <w:lang w:eastAsia="en-AU"/>
              </w:rPr>
              <w:fldChar w:fldCharType="begin" w:fldLock="1"/>
            </w:r>
            <w:r w:rsidR="00C73D5C">
              <w:rPr>
                <w:rFonts w:ascii="Calibri" w:eastAsia="Times New Roman" w:hAnsi="Calibri" w:cs="Calibri"/>
                <w:color w:val="000000"/>
                <w:sz w:val="20"/>
                <w:szCs w:val="20"/>
                <w:lang w:eastAsia="en-AU"/>
              </w:rPr>
              <w:instrText>ADDIN CSL_CITATION { "citationItems" : [ { "id" : "ITEM-1", "itemData" : { "DOI" : "10.1212/WNL.0000000000000080", "ISSN" : "1526-632X", "PMID" : "24453077", "abstract" : "OBJECTIVE: To test whether red blood cell (RBC) levels of marine omega-3 fatty acids measured in the Women's Health Initiative Memory Study were related to MRI brain volumes measured 8 years later. METHODS: RBC eicosapentaenoic acid (EPA), docosahexaenoic acid (DHA), and MRI brain volumes were assessed in 1,111 postmenopausal women from the Women's Health Initiative Memory Study. The endpoints were total brain volume and anatomical regions. Linear mixed models included multiple imputations of fatty acids and were adjusted for hormone therapy, time since randomization, demographics, intracranial volume, and cardiovascular disease risk factors. RESULTS: In fully adjusted models, a 1 SD greater RBC EPA + DHA (omega-3 index) level was correlated with 2.1 cm(3) larger brain volume (p = 0.048). DHA was marginally correlated (p = 0.063) with total brain volume while EPA was less so (p = 0.11). There were no correlations between ischemic lesion volumes and EPA, DHA, or EPA + DHA. A 1 SD greater omega-3 index was correlated with greater hippocampal volume (50 mm(3), p = 0.036) in fully adjusted models. Comparing the fourth quartile vs the first quartile of the omega-3 index confirmed greater hippocampal volume (159 mm(3), p = 0.034). CONCLUSION: A higher omega-3 index was correlated with larger total normal brain volume and hippocampal volume in postmenopausal women measured 8 years later. While normal aging results in overall brain atrophy, lower omega-3 index may signal increased risk of hippocampal atrophy. Future studies should examine whether maintaining higher RBC EPA + DHA levels slows the rate of hippocampal or overall brain atrophy.", "author" : [ { "dropping-particle" : "", "family" : "Pottala", "given" : "JV", "non-dropping-particle" : "", "parse-names" : false, "suffix" : "" }, { "dropping-particle" : "", "family" : "Yaffe", "given" : "Kristine", "non-dropping-particle" : "", "parse-names" : false, "suffix" : "" }, { "dropping-particle" : "", "family" : "Robinson", "given" : "Jennifer G", "non-dropping-particle" : "", "parse-names" : false, "suffix" : "" }, { "dropping-particle" : "", "family" : "Espeland", "given" : "Mark a", "non-dropping-particle" : "", "parse-names" : false, "suffix" : "" }, { "dropping-particle" : "", "family" : "Wallace", "given" : "Robert", "non-dropping-particle" : "", "parse-names" : false, "suffix" : "" }, { "dropping-particle" : "", "family" : "Harris", "given" : "William S", "non-dropping-particle" : "", "parse-names" : false, "suffix" : "" } ], "container-title" : "Neurology", "id" : "ITEM-1", "issued" : { "date-parts" : [ [ "2014", "2", "4" ] ] }, "page" : "435-442", "title" : "Higher RBC EPA + DHA corresponds with larger total brain and hippocampal volumes: WHIMS-MRI study", "type" : "article-journal", "volume" : "82" }, "uris" : [ "http://www.mendeley.com/documents/?uuid=06db1486-c426-41ef-a4ce-634b733401a8" ] } ], "mendeley" : { "formattedCitation" : "&lt;sup&gt;(27)&lt;/sup&gt;", "plainTextFormattedCitation" : "(27)", "previouslyFormattedCitation" : "&lt;sup&gt;(27)&lt;/sup&gt;" }, "properties" : { "noteIndex" : 0 }, "schema" : "https://github.com/citation-style-language/schema/raw/master/csl-citation.json" }</w:instrText>
            </w:r>
            <w:r w:rsidR="00AC50B4" w:rsidRPr="00B54A75">
              <w:rPr>
                <w:rFonts w:ascii="Calibri" w:eastAsia="Times New Roman" w:hAnsi="Calibri" w:cs="Calibri"/>
                <w:color w:val="000000"/>
                <w:sz w:val="20"/>
                <w:szCs w:val="20"/>
                <w:lang w:eastAsia="en-AU"/>
              </w:rPr>
              <w:fldChar w:fldCharType="separate"/>
            </w:r>
            <w:r w:rsidR="00B54A75" w:rsidRPr="00B54A75">
              <w:rPr>
                <w:rFonts w:ascii="Calibri" w:eastAsia="Times New Roman" w:hAnsi="Calibri" w:cs="Calibri"/>
                <w:noProof/>
                <w:color w:val="000000"/>
                <w:sz w:val="20"/>
                <w:szCs w:val="20"/>
                <w:vertAlign w:val="superscript"/>
                <w:lang w:eastAsia="en-AU"/>
              </w:rPr>
              <w:t>(27)</w:t>
            </w:r>
            <w:r w:rsidR="00AC50B4" w:rsidRPr="00B54A75">
              <w:rPr>
                <w:rFonts w:ascii="Calibri" w:eastAsia="Times New Roman" w:hAnsi="Calibri" w:cs="Calibri"/>
                <w:color w:val="000000"/>
                <w:sz w:val="20"/>
                <w:szCs w:val="20"/>
                <w:lang w:eastAsia="en-AU"/>
              </w:rPr>
              <w:fldChar w:fldCharType="end"/>
            </w:r>
          </w:p>
        </w:tc>
        <w:tc>
          <w:tcPr>
            <w:tcW w:w="1049"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mbria Math" w:eastAsia="Times New Roman" w:hAnsi="Cambria Math" w:cs="Cambria Math"/>
                <w:color w:val="000000"/>
                <w:sz w:val="20"/>
                <w:szCs w:val="20"/>
                <w:lang w:eastAsia="en-AU"/>
              </w:rPr>
              <w:t>⍵</w:t>
            </w:r>
            <w:r w:rsidRPr="00B54A75">
              <w:rPr>
                <w:rFonts w:ascii="Calibri" w:eastAsia="Times New Roman" w:hAnsi="Calibri" w:cs="Calibri"/>
                <w:color w:val="000000"/>
                <w:sz w:val="20"/>
                <w:szCs w:val="20"/>
                <w:lang w:eastAsia="en-AU"/>
              </w:rPr>
              <w:t>3-FA</w:t>
            </w:r>
          </w:p>
        </w:tc>
        <w:tc>
          <w:tcPr>
            <w:tcW w:w="1082"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Mostly DF</w:t>
            </w:r>
            <w:r w:rsidR="00BD13B8" w:rsidRPr="00B54A75">
              <w:rPr>
                <w:rFonts w:cstheme="minorHAnsi"/>
                <w:b/>
              </w:rPr>
              <w:t>|</w:t>
            </w:r>
          </w:p>
        </w:tc>
        <w:tc>
          <w:tcPr>
            <w:tcW w:w="1274"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1,111</w:t>
            </w:r>
          </w:p>
        </w:tc>
        <w:tc>
          <w:tcPr>
            <w:tcW w:w="1328"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71.0 - 88.0</w:t>
            </w:r>
          </w:p>
        </w:tc>
        <w:tc>
          <w:tcPr>
            <w:tcW w:w="1418"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78.0</w:t>
            </w:r>
          </w:p>
        </w:tc>
        <w:tc>
          <w:tcPr>
            <w:tcW w:w="1417"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NR</w:t>
            </w:r>
          </w:p>
        </w:tc>
        <w:tc>
          <w:tcPr>
            <w:tcW w:w="5760"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b/>
                <w:bCs/>
                <w:iCs/>
                <w:color w:val="000000"/>
                <w:sz w:val="20"/>
                <w:szCs w:val="20"/>
                <w:lang w:eastAsia="en-AU"/>
              </w:rPr>
              <w:t xml:space="preserve">Cross </w:t>
            </w:r>
            <w:proofErr w:type="gramStart"/>
            <w:r w:rsidRPr="00B54A75">
              <w:rPr>
                <w:rFonts w:ascii="Calibri" w:eastAsia="Times New Roman" w:hAnsi="Calibri" w:cs="Calibri"/>
                <w:b/>
                <w:bCs/>
                <w:iCs/>
                <w:color w:val="000000"/>
                <w:sz w:val="20"/>
                <w:szCs w:val="20"/>
                <w:lang w:eastAsia="en-AU"/>
              </w:rPr>
              <w:t>sectional</w:t>
            </w:r>
            <w:r w:rsidRPr="00B54A75">
              <w:rPr>
                <w:rFonts w:ascii="Calibri" w:eastAsia="Times New Roman" w:hAnsi="Calibri" w:cs="Calibri"/>
                <w:b/>
                <w:bCs/>
                <w:color w:val="000000"/>
                <w:sz w:val="20"/>
                <w:szCs w:val="20"/>
                <w:lang w:eastAsia="en-AU"/>
              </w:rPr>
              <w:t>(</w:t>
            </w:r>
            <w:proofErr w:type="gramEnd"/>
            <w:r w:rsidRPr="00B54A75">
              <w:rPr>
                <w:rFonts w:ascii="Calibri" w:eastAsia="Times New Roman" w:hAnsi="Calibri" w:cs="Calibri"/>
                <w:b/>
                <w:bCs/>
                <w:color w:val="000000"/>
                <w:sz w:val="20"/>
                <w:szCs w:val="20"/>
                <w:lang w:eastAsia="en-AU"/>
              </w:rPr>
              <w:t>MRI)</w:t>
            </w:r>
            <w:r w:rsidRPr="00B54A75">
              <w:rPr>
                <w:rFonts w:ascii="Calibri" w:eastAsia="Times New Roman" w:hAnsi="Calibri" w:cs="Calibri"/>
                <w:color w:val="000000"/>
                <w:sz w:val="20"/>
                <w:szCs w:val="20"/>
                <w:lang w:eastAsia="en-AU"/>
              </w:rPr>
              <w:br/>
            </w:r>
            <w:r w:rsidRPr="00B54A75">
              <w:rPr>
                <w:rFonts w:ascii="Calibri" w:eastAsia="Times New Roman" w:hAnsi="Calibri" w:cs="Calibri"/>
                <w:color w:val="000000"/>
                <w:sz w:val="20"/>
                <w:szCs w:val="20"/>
                <w:u w:val="single"/>
                <w:lang w:eastAsia="en-AU"/>
              </w:rPr>
              <w:t xml:space="preserve">↑ </w:t>
            </w:r>
            <w:r w:rsidRPr="00B54A75">
              <w:rPr>
                <w:rFonts w:ascii="Cambria Math" w:eastAsia="Times New Roman" w:hAnsi="Cambria Math" w:cs="Cambria Math"/>
                <w:color w:val="000000"/>
                <w:sz w:val="20"/>
                <w:szCs w:val="20"/>
                <w:u w:val="single"/>
                <w:lang w:eastAsia="en-AU"/>
              </w:rPr>
              <w:t>⍵</w:t>
            </w:r>
            <w:r w:rsidRPr="00B54A75">
              <w:rPr>
                <w:rFonts w:ascii="Calibri" w:eastAsia="Times New Roman" w:hAnsi="Calibri" w:cs="Calibri"/>
                <w:color w:val="000000"/>
                <w:sz w:val="20"/>
                <w:szCs w:val="20"/>
                <w:u w:val="single"/>
                <w:lang w:eastAsia="en-AU"/>
              </w:rPr>
              <w:t>3-FA index (combined DHA &amp; EPA)</w:t>
            </w:r>
            <w:r w:rsidRPr="00B54A75">
              <w:rPr>
                <w:rFonts w:ascii="Calibri" w:eastAsia="Times New Roman" w:hAnsi="Calibri" w:cs="Calibri"/>
                <w:color w:val="000000"/>
                <w:sz w:val="20"/>
                <w:szCs w:val="20"/>
                <w:lang w:eastAsia="en-AU"/>
              </w:rPr>
              <w:t xml:space="preserve"> was associated with:</w:t>
            </w:r>
            <w:r w:rsidRPr="00B54A75">
              <w:rPr>
                <w:rFonts w:ascii="Calibri" w:eastAsia="Times New Roman" w:hAnsi="Calibri" w:cs="Calibri"/>
                <w:color w:val="000000"/>
                <w:sz w:val="20"/>
                <w:szCs w:val="20"/>
                <w:lang w:eastAsia="en-AU"/>
              </w:rPr>
              <w:br/>
              <w:t xml:space="preserve">      </w:t>
            </w:r>
            <w:r w:rsidR="00AC73C6" w:rsidRPr="00B54A75">
              <w:rPr>
                <w:rFonts w:ascii="Calibri" w:eastAsia="Times New Roman" w:hAnsi="Calibri" w:cs="Calibri"/>
                <w:color w:val="000000"/>
                <w:sz w:val="20"/>
                <w:szCs w:val="20"/>
                <w:lang w:eastAsia="en-AU"/>
              </w:rPr>
              <w:t xml:space="preserve">    ↑ </w:t>
            </w:r>
            <w:proofErr w:type="spellStart"/>
            <w:r w:rsidR="00AC73C6" w:rsidRPr="00B54A75">
              <w:rPr>
                <w:rFonts w:ascii="Calibri" w:eastAsia="Times New Roman" w:hAnsi="Calibri" w:cs="Calibri"/>
                <w:color w:val="000000"/>
                <w:sz w:val="20"/>
                <w:szCs w:val="20"/>
                <w:lang w:eastAsia="en-AU"/>
              </w:rPr>
              <w:t>TCv</w:t>
            </w:r>
            <w:proofErr w:type="spellEnd"/>
            <w:r w:rsidR="00AC73C6" w:rsidRPr="00B54A75">
              <w:rPr>
                <w:rFonts w:ascii="Calibri" w:eastAsia="Times New Roman" w:hAnsi="Calibri" w:cs="Calibri"/>
                <w:color w:val="000000"/>
                <w:sz w:val="20"/>
                <w:szCs w:val="20"/>
                <w:lang w:eastAsia="en-AU"/>
              </w:rPr>
              <w:br/>
              <w:t xml:space="preserve">          </w:t>
            </w:r>
            <w:r w:rsidRPr="00B54A75">
              <w:rPr>
                <w:rFonts w:ascii="Calibri" w:eastAsia="Times New Roman" w:hAnsi="Calibri" w:cs="Calibri"/>
                <w:color w:val="000000"/>
                <w:sz w:val="20"/>
                <w:szCs w:val="20"/>
                <w:lang w:eastAsia="en-AU"/>
              </w:rPr>
              <w:t xml:space="preserve">↑ </w:t>
            </w:r>
            <w:proofErr w:type="spellStart"/>
            <w:r w:rsidRPr="00B54A75">
              <w:rPr>
                <w:rFonts w:ascii="Calibri" w:eastAsia="Times New Roman" w:hAnsi="Calibri" w:cs="Calibri"/>
                <w:color w:val="000000"/>
                <w:sz w:val="20"/>
                <w:szCs w:val="20"/>
                <w:lang w:eastAsia="en-AU"/>
              </w:rPr>
              <w:t>HCv</w:t>
            </w:r>
            <w:proofErr w:type="spellEnd"/>
          </w:p>
        </w:tc>
      </w:tr>
      <w:tr w:rsidR="009321E8" w:rsidRPr="00B54A75" w:rsidTr="00222F25">
        <w:trPr>
          <w:trHeight w:val="870"/>
        </w:trPr>
        <w:tc>
          <w:tcPr>
            <w:tcW w:w="1840" w:type="dxa"/>
            <w:tcBorders>
              <w:top w:val="nil"/>
              <w:left w:val="nil"/>
              <w:bottom w:val="nil"/>
              <w:right w:val="nil"/>
            </w:tcBorders>
            <w:shd w:val="clear" w:color="auto" w:fill="auto"/>
            <w:vAlign w:val="bottom"/>
            <w:hideMark/>
          </w:tcPr>
          <w:p w:rsidR="00112011" w:rsidRPr="00B54A75" w:rsidRDefault="00A85A6A" w:rsidP="001E46D5">
            <w:pPr>
              <w:spacing w:after="0" w:line="240" w:lineRule="auto"/>
              <w:rPr>
                <w:rFonts w:ascii="Calibri" w:eastAsia="Times New Roman" w:hAnsi="Calibri" w:cs="Calibri"/>
                <w:color w:val="000000"/>
                <w:sz w:val="20"/>
                <w:szCs w:val="20"/>
                <w:lang w:eastAsia="en-AU"/>
              </w:rPr>
            </w:pPr>
            <w:proofErr w:type="spellStart"/>
            <w:r w:rsidRPr="00B54A75">
              <w:rPr>
                <w:rFonts w:ascii="Calibri" w:eastAsia="Times New Roman" w:hAnsi="Calibri" w:cs="Calibri"/>
                <w:color w:val="000000"/>
                <w:sz w:val="20"/>
                <w:szCs w:val="20"/>
                <w:lang w:eastAsia="en-AU"/>
              </w:rPr>
              <w:t>Walhovd</w:t>
            </w:r>
            <w:proofErr w:type="spellEnd"/>
            <w:r w:rsidRPr="00B54A75">
              <w:rPr>
                <w:rFonts w:ascii="Calibri" w:eastAsia="Times New Roman" w:hAnsi="Calibri" w:cs="Calibri"/>
                <w:color w:val="000000"/>
                <w:sz w:val="20"/>
                <w:szCs w:val="20"/>
                <w:lang w:eastAsia="en-AU"/>
              </w:rPr>
              <w:t xml:space="preserve"> et al.</w:t>
            </w:r>
            <w:r w:rsidR="00AC50B4" w:rsidRPr="00B54A75">
              <w:rPr>
                <w:rFonts w:ascii="Calibri" w:eastAsia="Times New Roman" w:hAnsi="Calibri" w:cs="Calibri"/>
                <w:color w:val="000000"/>
                <w:sz w:val="20"/>
                <w:szCs w:val="20"/>
                <w:lang w:eastAsia="en-AU"/>
              </w:rPr>
              <w:fldChar w:fldCharType="begin" w:fldLock="1"/>
            </w:r>
            <w:r w:rsidR="00C73D5C">
              <w:rPr>
                <w:rFonts w:ascii="Calibri" w:eastAsia="Times New Roman" w:hAnsi="Calibri" w:cs="Calibri"/>
                <w:color w:val="000000"/>
                <w:sz w:val="20"/>
                <w:szCs w:val="20"/>
                <w:lang w:eastAsia="en-AU"/>
              </w:rPr>
              <w:instrText>ADDIN CSL_CITATION { "citationItems" : [ { "id" : "ITEM-1", "itemData" : { "DOI" : "10.1016/j.neurobiolaging.2013.11.011", "ISSN" : "1558-1497", "PMID" : "24332985", "abstract" : "We hypothesized that higher levels of omega-3 fatty acids, vitamin D, and physical activity relate to cortical sparing, whereas higher levels of cholesterol, systolic blood pressure, and body mass index (BMI) relate to increased atrophy in the adult lifespan. Longitudinal measures of cortical thickness were derived from magnetic resonance imaging scans acquired (mean interval 3.6 years) from 203 healthy persons aged 23-87 years. At follow-up, measures of BMI, blood pressure, and physical activity were obtained. Blood levels of docosahexaenoic acid, eicosapentaenoic acid, vitamin D, and cholesterol were measured in a subsample (n = 92). Effects were tested in cortical surface-based analyses, with sex, age, follow-up interval, and the interactions between each included as covariates. Higher levels of docosahexaenoic acid, vitamin D, and physical activity related to cortical sparing. Higher cholesterol and BMI related to increased cortical thinning. Effects were independent, did not interact with age, and the cholesterol effect was restricted to males. Eicosapentaenoic acid and blood pressure showed no effects. The observed effects show promise for potential factors to reduce cortical atrophy in normal aging.", "author" : [ { "dropping-particle" : "", "family" : "Walhovd", "given" : "Kristine B", "non-dropping-particle" : "", "parse-names" : false, "suffix" : "" }, { "dropping-particle" : "", "family" : "Storsve", "given" : "Andreas B", "non-dropping-particle" : "", "parse-names" : false, "suffix" : "" }, { "dropping-particle" : "", "family" : "Westlye", "given" : "Lars T", "non-dropping-particle" : "", "parse-names" : false, "suffix" : "" }, { "dropping-particle" : "", "family" : "Drevon", "given" : "Christian a", "non-dropping-particle" : "", "parse-names" : false, "suffix" : "" }, { "dropping-particle" : "", "family" : "Fjell", "given" : "Anders M", "non-dropping-particle" : "", "parse-names" : false, "suffix" : "" } ], "container-title" : "Neurobiology of Aging", "id" : "ITEM-1", "issued" : { "date-parts" : [ [ "2014", "5" ] ] }, "page" : "1055-1064", "publisher" : "Elsevier Ltd", "title" : "Blood markers of fatty acids and vitamin D, cardiovascular measures, body mass index, and physical activity relate to longitudinal cortical thinning in normal aging", "type" : "article-journal", "volume" : "35" }, "uris" : [ "http://www.mendeley.com/documents/?uuid=ffff246d-fb29-4950-b966-c2737753d108" ] } ], "mendeley" : { "formattedCitation" : "&lt;sup&gt;(28)&lt;/sup&gt;", "plainTextFormattedCitation" : "(28)", "previouslyFormattedCitation" : "&lt;sup&gt;(28)&lt;/sup&gt;" }, "properties" : { "noteIndex" : 0 }, "schema" : "https://github.com/citation-style-language/schema/raw/master/csl-citation.json" }</w:instrText>
            </w:r>
            <w:r w:rsidR="00AC50B4" w:rsidRPr="00B54A75">
              <w:rPr>
                <w:rFonts w:ascii="Calibri" w:eastAsia="Times New Roman" w:hAnsi="Calibri" w:cs="Calibri"/>
                <w:color w:val="000000"/>
                <w:sz w:val="20"/>
                <w:szCs w:val="20"/>
                <w:lang w:eastAsia="en-AU"/>
              </w:rPr>
              <w:fldChar w:fldCharType="separate"/>
            </w:r>
            <w:r w:rsidR="00B54A75" w:rsidRPr="00B54A75">
              <w:rPr>
                <w:rFonts w:ascii="Calibri" w:eastAsia="Times New Roman" w:hAnsi="Calibri" w:cs="Calibri"/>
                <w:noProof/>
                <w:color w:val="000000"/>
                <w:sz w:val="20"/>
                <w:szCs w:val="20"/>
                <w:vertAlign w:val="superscript"/>
                <w:lang w:eastAsia="en-AU"/>
              </w:rPr>
              <w:t>(28)</w:t>
            </w:r>
            <w:r w:rsidR="00AC50B4" w:rsidRPr="00B54A75">
              <w:rPr>
                <w:rFonts w:ascii="Calibri" w:eastAsia="Times New Roman" w:hAnsi="Calibri" w:cs="Calibri"/>
                <w:color w:val="000000"/>
                <w:sz w:val="20"/>
                <w:szCs w:val="20"/>
                <w:lang w:eastAsia="en-AU"/>
              </w:rPr>
              <w:fldChar w:fldCharType="end"/>
            </w:r>
          </w:p>
        </w:tc>
        <w:tc>
          <w:tcPr>
            <w:tcW w:w="1049"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mbria Math" w:eastAsia="Times New Roman" w:hAnsi="Cambria Math" w:cs="Cambria Math"/>
                <w:color w:val="000000"/>
                <w:sz w:val="20"/>
                <w:szCs w:val="20"/>
                <w:lang w:eastAsia="en-AU"/>
              </w:rPr>
              <w:t>⍵</w:t>
            </w:r>
            <w:r w:rsidRPr="00B54A75">
              <w:rPr>
                <w:rFonts w:ascii="Calibri" w:eastAsia="Times New Roman" w:hAnsi="Calibri" w:cs="Calibri"/>
                <w:color w:val="000000"/>
                <w:sz w:val="20"/>
                <w:szCs w:val="20"/>
                <w:lang w:eastAsia="en-AU"/>
              </w:rPr>
              <w:t>3-FA</w:t>
            </w:r>
          </w:p>
        </w:tc>
        <w:tc>
          <w:tcPr>
            <w:tcW w:w="1082"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H</w:t>
            </w:r>
          </w:p>
        </w:tc>
        <w:tc>
          <w:tcPr>
            <w:tcW w:w="1274"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92</w:t>
            </w:r>
          </w:p>
        </w:tc>
        <w:tc>
          <w:tcPr>
            <w:tcW w:w="1328"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44.40 - 86.30</w:t>
            </w:r>
          </w:p>
        </w:tc>
        <w:tc>
          <w:tcPr>
            <w:tcW w:w="1418"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63.30</w:t>
            </w:r>
          </w:p>
        </w:tc>
        <w:tc>
          <w:tcPr>
            <w:tcW w:w="1417"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8.70</w:t>
            </w:r>
          </w:p>
        </w:tc>
        <w:tc>
          <w:tcPr>
            <w:tcW w:w="5760"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b/>
                <w:bCs/>
                <w:iCs/>
                <w:color w:val="000000"/>
                <w:sz w:val="20"/>
                <w:szCs w:val="20"/>
                <w:lang w:eastAsia="en-AU"/>
              </w:rPr>
              <w:t>Longitudinal</w:t>
            </w:r>
            <w:r w:rsidRPr="00B54A75">
              <w:rPr>
                <w:rFonts w:ascii="Calibri" w:eastAsia="Times New Roman" w:hAnsi="Calibri" w:cs="Calibri"/>
                <w:b/>
                <w:bCs/>
                <w:color w:val="000000"/>
                <w:sz w:val="20"/>
                <w:szCs w:val="20"/>
                <w:lang w:eastAsia="en-AU"/>
              </w:rPr>
              <w:t xml:space="preserve"> (MRI; 2 years)</w:t>
            </w:r>
            <w:r w:rsidRPr="00B54A75">
              <w:rPr>
                <w:rFonts w:ascii="Calibri" w:eastAsia="Times New Roman" w:hAnsi="Calibri" w:cs="Calibri"/>
                <w:color w:val="000000"/>
                <w:sz w:val="20"/>
                <w:szCs w:val="20"/>
                <w:lang w:eastAsia="en-AU"/>
              </w:rPr>
              <w:br/>
            </w:r>
            <w:r w:rsidRPr="00B54A75">
              <w:rPr>
                <w:rFonts w:ascii="Calibri" w:eastAsia="Times New Roman" w:hAnsi="Calibri" w:cs="Calibri"/>
                <w:color w:val="000000"/>
                <w:sz w:val="20"/>
                <w:szCs w:val="20"/>
                <w:u w:val="single"/>
                <w:lang w:eastAsia="en-AU"/>
              </w:rPr>
              <w:t>↑ DHA</w:t>
            </w:r>
            <w:r w:rsidRPr="00B54A75">
              <w:rPr>
                <w:rFonts w:ascii="Calibri" w:eastAsia="Times New Roman" w:hAnsi="Calibri" w:cs="Calibri"/>
                <w:color w:val="000000"/>
                <w:sz w:val="20"/>
                <w:szCs w:val="20"/>
                <w:lang w:eastAsia="en-AU"/>
              </w:rPr>
              <w:t xml:space="preserve"> w</w:t>
            </w:r>
            <w:r w:rsidR="00AC73C6" w:rsidRPr="00B54A75">
              <w:rPr>
                <w:rFonts w:ascii="Calibri" w:eastAsia="Times New Roman" w:hAnsi="Calibri" w:cs="Calibri"/>
                <w:color w:val="000000"/>
                <w:sz w:val="20"/>
                <w:szCs w:val="20"/>
                <w:lang w:eastAsia="en-AU"/>
              </w:rPr>
              <w:t>as associated with:</w:t>
            </w:r>
            <w:r w:rsidR="00AC73C6" w:rsidRPr="00B54A75">
              <w:rPr>
                <w:rFonts w:ascii="Calibri" w:eastAsia="Times New Roman" w:hAnsi="Calibri" w:cs="Calibri"/>
                <w:color w:val="000000"/>
                <w:sz w:val="20"/>
                <w:szCs w:val="20"/>
                <w:lang w:eastAsia="en-AU"/>
              </w:rPr>
              <w:br/>
              <w:t xml:space="preserve">          </w:t>
            </w:r>
            <w:r w:rsidRPr="00B54A75">
              <w:rPr>
                <w:rFonts w:ascii="Calibri" w:eastAsia="Times New Roman" w:hAnsi="Calibri" w:cs="Calibri"/>
                <w:color w:val="000000"/>
                <w:sz w:val="20"/>
                <w:szCs w:val="20"/>
                <w:lang w:eastAsia="en-AU"/>
              </w:rPr>
              <w:t>↓ C-thin within MTC &amp; STC</w:t>
            </w:r>
          </w:p>
        </w:tc>
      </w:tr>
      <w:tr w:rsidR="008251F9" w:rsidRPr="00B54A75" w:rsidTr="00222F25">
        <w:trPr>
          <w:trHeight w:val="795"/>
        </w:trPr>
        <w:tc>
          <w:tcPr>
            <w:tcW w:w="1840" w:type="dxa"/>
            <w:tcBorders>
              <w:top w:val="nil"/>
              <w:left w:val="nil"/>
              <w:bottom w:val="nil"/>
              <w:right w:val="nil"/>
            </w:tcBorders>
            <w:shd w:val="clear" w:color="000000" w:fill="D9D9D9"/>
            <w:vAlign w:val="bottom"/>
            <w:hideMark/>
          </w:tcPr>
          <w:p w:rsidR="00112011" w:rsidRPr="00B54A75" w:rsidRDefault="00A85A6A" w:rsidP="001E46D5">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Bowman et al.</w:t>
            </w:r>
            <w:r w:rsidR="0090349C" w:rsidRPr="00B54A75">
              <w:rPr>
                <w:rFonts w:ascii="Calibri" w:eastAsia="Times New Roman" w:hAnsi="Calibri" w:cs="Calibri"/>
                <w:color w:val="000000"/>
                <w:sz w:val="20"/>
                <w:szCs w:val="20"/>
                <w:lang w:eastAsia="en-AU"/>
              </w:rPr>
              <w:fldChar w:fldCharType="begin" w:fldLock="1"/>
            </w:r>
            <w:r w:rsidR="00C73D5C">
              <w:rPr>
                <w:rFonts w:ascii="Calibri" w:eastAsia="Times New Roman" w:hAnsi="Calibri" w:cs="Calibri"/>
                <w:color w:val="000000"/>
                <w:sz w:val="20"/>
                <w:szCs w:val="20"/>
                <w:lang w:eastAsia="en-AU"/>
              </w:rPr>
              <w:instrText>ADDIN CSL_CITATION { "citationItems" : [ { "id" : "ITEM-1", "itemData" : { "DOI" : "10.3389/fnagi.2013.00092", "ISSN" : "1663-4365", "PMID" : "24379780", "abstract" : "INTRODUCTION: Cross-sectional studies have identified long chain omega-3 polyunsaturated fatty acids (eicosapentaenoic acid 20:5n-3 and docosahexaenoic acid 22:6n-3 (O3PUFA) in association with fewer white matter lesions and better executive function in older adults. We hypothesized that O3PUFA are associated with less executive decline over time and that total white matter hyperintensity volume (WMH) mediates this association. METHODS: Eighty-six non-demented older adults were followed over 4 years after measurement of plasma O3PUFA with annual evaluations of cognitive function. A subset of these participants also had brain MRI of total WMH available to conduct a formal mediation analysis of a putative relationship between O3PUFA and cognitive function. RESULTS: Mean age at baseline was 86, 62% were female and 11% carried the APOE4 allele. Each 100 \u03bcg/ml increase in plasma O3PUFA associated with 4 s less change in executive decline per year of aging (p = 0.02, fully adjusted model). O3PUFA was not associated with verbal memory or global cognitive changes. The significance of the association between O3PUFA and better executive function was lost once WMH was added to the regression model. CONCLUSION: Executive decline with age appears to be a cognitive domain particularly sensitive to plasma O3PUFA in longitudinal examination. O3PUFA may modulate executive functioning by mechanisms underlying the development of WMH, a biologically plausible hypothesis that warrants further investigation.", "author" : [ { "dropping-particle" : "", "family" : "Bowman", "given" : "Gene L", "non-dropping-particle" : "", "parse-names" : false, "suffix" : "" }, { "dropping-particle" : "", "family" : "Dodge", "given" : "Hiroko H", "non-dropping-particle" : "", "parse-names" : false, "suffix" : "" }, { "dropping-particle" : "", "family" : "Mattek", "given" : "Nora", "non-dropping-particle" : "", "parse-names" : false, "suffix" : "" }, { "dropping-particle" : "", "family" : "Barbey", "given" : "Aron K", "non-dropping-particle" : "", "parse-names" : false, "suffix" : "" }, { "dropping-particle" : "", "family" : "Silbert", "given" : "Lisa C", "non-dropping-particle" : "", "parse-names" : false, "suffix" : "" }, { "dropping-particle" : "", "family" : "Shinto", "given" : "Lynne", "non-dropping-particle" : "", "parse-names" : false, "suffix" : "" }, { "dropping-particle" : "", "family" : "Howieson", "given" : "Diane B", "non-dropping-particle" : "", "parse-names" : false, "suffix" : "" }, { "dropping-particle" : "", "family" : "Kaye", "given" : "Jeffrey a", "non-dropping-particle" : "", "parse-names" : false, "suffix" : "" }, { "dropping-particle" : "", "family" : "Quinn", "given" : "Joseph F", "non-dropping-particle" : "", "parse-names" : false, "suffix" : "" } ], "container-title" : "Frontiers in Aging Neuroscience", "id" : "ITEM-1", "issued" : { "date-parts" : [ [ "2013", "1" ] ] }, "page" : "92", "title" : "Plasma omega-3 PUFA and white matter mediated executive decline in older adults", "type" : "article-journal", "volume" : "5" }, "uris" : [ "http://www.mendeley.com/documents/?uuid=4974353d-8ba1-4153-b336-9dd47fb99c5d" ] } ], "mendeley" : { "formattedCitation" : "&lt;sup&gt;(29)&lt;/sup&gt;", "plainTextFormattedCitation" : "(29)", "previouslyFormattedCitation" : "&lt;sup&gt;(29)&lt;/sup&gt;" }, "properties" : { "noteIndex" : 0 }, "schema" : "https://github.com/citation-style-language/schema/raw/master/csl-citation.json" }</w:instrText>
            </w:r>
            <w:r w:rsidR="0090349C" w:rsidRPr="00B54A75">
              <w:rPr>
                <w:rFonts w:ascii="Calibri" w:eastAsia="Times New Roman" w:hAnsi="Calibri" w:cs="Calibri"/>
                <w:color w:val="000000"/>
                <w:sz w:val="20"/>
                <w:szCs w:val="20"/>
                <w:lang w:eastAsia="en-AU"/>
              </w:rPr>
              <w:fldChar w:fldCharType="separate"/>
            </w:r>
            <w:r w:rsidR="00B54A75" w:rsidRPr="00B54A75">
              <w:rPr>
                <w:rFonts w:ascii="Calibri" w:eastAsia="Times New Roman" w:hAnsi="Calibri" w:cs="Calibri"/>
                <w:noProof/>
                <w:color w:val="000000"/>
                <w:sz w:val="20"/>
                <w:szCs w:val="20"/>
                <w:vertAlign w:val="superscript"/>
                <w:lang w:eastAsia="en-AU"/>
              </w:rPr>
              <w:t>(29)</w:t>
            </w:r>
            <w:r w:rsidR="0090349C" w:rsidRPr="00B54A75">
              <w:rPr>
                <w:rFonts w:ascii="Calibri" w:eastAsia="Times New Roman" w:hAnsi="Calibri" w:cs="Calibri"/>
                <w:color w:val="000000"/>
                <w:sz w:val="20"/>
                <w:szCs w:val="20"/>
                <w:lang w:eastAsia="en-AU"/>
              </w:rPr>
              <w:fldChar w:fldCharType="end"/>
            </w:r>
          </w:p>
        </w:tc>
        <w:tc>
          <w:tcPr>
            <w:tcW w:w="1049"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ω3-FA</w:t>
            </w:r>
          </w:p>
        </w:tc>
        <w:tc>
          <w:tcPr>
            <w:tcW w:w="1082"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DF</w:t>
            </w:r>
          </w:p>
        </w:tc>
        <w:tc>
          <w:tcPr>
            <w:tcW w:w="1274"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32</w:t>
            </w:r>
          </w:p>
        </w:tc>
        <w:tc>
          <w:tcPr>
            <w:tcW w:w="1328"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≥65.0</w:t>
            </w:r>
          </w:p>
        </w:tc>
        <w:tc>
          <w:tcPr>
            <w:tcW w:w="1418"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92.40</w:t>
            </w:r>
          </w:p>
        </w:tc>
        <w:tc>
          <w:tcPr>
            <w:tcW w:w="1417"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3.50</w:t>
            </w:r>
          </w:p>
        </w:tc>
        <w:tc>
          <w:tcPr>
            <w:tcW w:w="5760"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b/>
                <w:bCs/>
                <w:iCs/>
                <w:color w:val="000000"/>
                <w:sz w:val="20"/>
                <w:szCs w:val="20"/>
                <w:lang w:eastAsia="en-AU"/>
              </w:rPr>
              <w:t>Cross sectional</w:t>
            </w:r>
            <w:r w:rsidRPr="00B54A75">
              <w:rPr>
                <w:rFonts w:ascii="Calibri" w:eastAsia="Times New Roman" w:hAnsi="Calibri" w:cs="Calibri"/>
                <w:b/>
                <w:bCs/>
                <w:color w:val="000000"/>
                <w:sz w:val="20"/>
                <w:szCs w:val="20"/>
                <w:lang w:eastAsia="en-AU"/>
              </w:rPr>
              <w:t xml:space="preserve"> (MRI)</w:t>
            </w:r>
            <w:r w:rsidRPr="00B54A75">
              <w:rPr>
                <w:rFonts w:ascii="Calibri" w:eastAsia="Times New Roman" w:hAnsi="Calibri" w:cs="Calibri"/>
                <w:color w:val="000000"/>
                <w:sz w:val="20"/>
                <w:szCs w:val="20"/>
                <w:lang w:eastAsia="en-AU"/>
              </w:rPr>
              <w:br/>
            </w:r>
            <w:r w:rsidRPr="00B54A75">
              <w:rPr>
                <w:rFonts w:ascii="Calibri" w:eastAsia="Times New Roman" w:hAnsi="Calibri" w:cs="Calibri"/>
                <w:color w:val="000000"/>
                <w:sz w:val="20"/>
                <w:szCs w:val="20"/>
                <w:u w:val="single"/>
                <w:lang w:eastAsia="en-AU"/>
              </w:rPr>
              <w:t>↑ ω3-FA</w:t>
            </w:r>
            <w:r w:rsidRPr="00B54A75">
              <w:rPr>
                <w:rFonts w:ascii="Calibri" w:eastAsia="Times New Roman" w:hAnsi="Calibri" w:cs="Calibri"/>
                <w:color w:val="000000"/>
                <w:sz w:val="20"/>
                <w:szCs w:val="20"/>
                <w:lang w:eastAsia="en-AU"/>
              </w:rPr>
              <w:t xml:space="preserve"> </w:t>
            </w:r>
            <w:r w:rsidR="00AC73C6" w:rsidRPr="00B54A75">
              <w:rPr>
                <w:rFonts w:ascii="Calibri" w:eastAsia="Times New Roman" w:hAnsi="Calibri" w:cs="Calibri"/>
                <w:color w:val="000000"/>
                <w:sz w:val="20"/>
                <w:szCs w:val="20"/>
                <w:lang w:eastAsia="en-AU"/>
              </w:rPr>
              <w:t>was associated with:</w:t>
            </w:r>
            <w:r w:rsidR="00AC73C6" w:rsidRPr="00B54A75">
              <w:rPr>
                <w:rFonts w:ascii="Calibri" w:eastAsia="Times New Roman" w:hAnsi="Calibri" w:cs="Calibri"/>
                <w:color w:val="000000"/>
                <w:sz w:val="20"/>
                <w:szCs w:val="20"/>
                <w:lang w:eastAsia="en-AU"/>
              </w:rPr>
              <w:br/>
              <w:t xml:space="preserve">          </w:t>
            </w:r>
            <w:r w:rsidRPr="00B54A75">
              <w:rPr>
                <w:rFonts w:ascii="Calibri" w:eastAsia="Times New Roman" w:hAnsi="Calibri" w:cs="Calibri"/>
                <w:color w:val="000000"/>
                <w:sz w:val="20"/>
                <w:szCs w:val="20"/>
                <w:lang w:eastAsia="en-AU"/>
              </w:rPr>
              <w:t xml:space="preserve">↓ </w:t>
            </w:r>
            <w:proofErr w:type="spellStart"/>
            <w:r w:rsidRPr="00B54A75">
              <w:rPr>
                <w:rFonts w:ascii="Calibri" w:eastAsia="Times New Roman" w:hAnsi="Calibri" w:cs="Calibri"/>
                <w:color w:val="000000"/>
                <w:sz w:val="20"/>
                <w:szCs w:val="20"/>
                <w:lang w:eastAsia="en-AU"/>
              </w:rPr>
              <w:t>WMHv</w:t>
            </w:r>
            <w:proofErr w:type="spellEnd"/>
          </w:p>
        </w:tc>
      </w:tr>
      <w:tr w:rsidR="009321E8" w:rsidRPr="00B54A75" w:rsidTr="00222F25">
        <w:trPr>
          <w:trHeight w:val="900"/>
        </w:trPr>
        <w:tc>
          <w:tcPr>
            <w:tcW w:w="1840" w:type="dxa"/>
            <w:tcBorders>
              <w:top w:val="nil"/>
              <w:left w:val="nil"/>
              <w:bottom w:val="nil"/>
              <w:right w:val="nil"/>
            </w:tcBorders>
            <w:shd w:val="clear" w:color="auto" w:fill="auto"/>
            <w:vAlign w:val="bottom"/>
            <w:hideMark/>
          </w:tcPr>
          <w:p w:rsidR="00112011" w:rsidRPr="00B54A75" w:rsidRDefault="00A85A6A" w:rsidP="001E46D5">
            <w:pPr>
              <w:spacing w:after="0" w:line="240" w:lineRule="auto"/>
              <w:rPr>
                <w:rFonts w:ascii="Calibri" w:eastAsia="Times New Roman" w:hAnsi="Calibri" w:cs="Calibri"/>
                <w:color w:val="000000"/>
                <w:sz w:val="20"/>
                <w:szCs w:val="20"/>
                <w:lang w:eastAsia="en-AU"/>
              </w:rPr>
            </w:pPr>
            <w:proofErr w:type="spellStart"/>
            <w:r w:rsidRPr="00B54A75">
              <w:rPr>
                <w:rFonts w:ascii="Calibri" w:eastAsia="Times New Roman" w:hAnsi="Calibri" w:cs="Calibri"/>
                <w:color w:val="000000"/>
                <w:sz w:val="20"/>
                <w:szCs w:val="20"/>
                <w:lang w:eastAsia="en-AU"/>
              </w:rPr>
              <w:t>Titova</w:t>
            </w:r>
            <w:proofErr w:type="spellEnd"/>
            <w:r w:rsidRPr="00B54A75">
              <w:rPr>
                <w:rFonts w:ascii="Calibri" w:eastAsia="Times New Roman" w:hAnsi="Calibri" w:cs="Calibri"/>
                <w:color w:val="000000"/>
                <w:sz w:val="20"/>
                <w:szCs w:val="20"/>
                <w:lang w:eastAsia="en-AU"/>
              </w:rPr>
              <w:t xml:space="preserve"> et al.</w:t>
            </w:r>
            <w:r w:rsidR="0090349C" w:rsidRPr="00B54A75">
              <w:rPr>
                <w:rFonts w:ascii="Calibri" w:eastAsia="Times New Roman" w:hAnsi="Calibri" w:cs="Calibri"/>
                <w:color w:val="000000"/>
                <w:sz w:val="20"/>
                <w:szCs w:val="20"/>
                <w:lang w:eastAsia="en-AU"/>
              </w:rPr>
              <w:fldChar w:fldCharType="begin" w:fldLock="1"/>
            </w:r>
            <w:r w:rsidR="00C73D5C">
              <w:rPr>
                <w:rFonts w:ascii="Calibri" w:eastAsia="Times New Roman" w:hAnsi="Calibri" w:cs="Calibri"/>
                <w:color w:val="000000"/>
                <w:sz w:val="20"/>
                <w:szCs w:val="20"/>
                <w:lang w:eastAsia="en-AU"/>
              </w:rPr>
              <w:instrText>ADDIN CSL_CITATION { "citationItems" : [ { "id" : "ITEM-1", "itemData" : { "DOI" : "10.1007/s11357-012-9453-3", "ISSN" : "1574-4647", "PMID" : "22791395", "abstract" : "In the present study, we tested whether elderly with a high dietary intake of eicosapentaenoic acid (EPA) and docosahexaenoic acid (DHA) would have higher cognitive test scores and greater brain volume than those with low dietary intake of these fatty acids. Data were obtained from the Prospective Investigation of the Vasculature in Uppsala Seniors (PIVUS) cohort. The dietary intake of EPA and DHA was determined by a 7-day food protocol in 252 cognitively healthy elderly (122 females) at the age of 70 years. At age 75, participants' global cognitive function was examined, and their brain volumes were measured by magnetic resonance imaging (MRI). Three different multivariate linear regression models were applied to test our hypothesis: model A (adjusted for gender and age), model B (additionally controlled for lifestyle factors, e.g., education), and model C (further controlled for cardiometabolic factors, e.g., systolic blood pressure). We found that the self-reported 7-day dietary intake of EPA and DHA at the age of 70 years was positively associated with global gray matter volume (P &lt; 0.05, except for model C) and increased global cognitive performance score (P &lt; 0.05). However, no significant associations were observed between the dietary intake of EPA and DHA and global white matter, total brain volume, and regional gray matter, respectively. Further, no effects were observed when examining cognitively impaired (n = 27) elderly as separate analyses. These cross-sectional findings suggest that dietary intake of EPA and DHA may be linked to improved cognitive health in late life but must be confirmed in patient studies.", "author" : [ { "dropping-particle" : "", "family" : "Titova", "given" : "Olga E", "non-dropping-particle" : "", "parse-names" : false, "suffix" : "" }, { "dropping-particle" : "", "family" : "Sj\u00f6gren", "given" : "Per", "non-dropping-particle" : "", "parse-names" : false, "suffix" : "" }, { "dropping-particle" : "", "family" : "Brooks", "given" : "Samantha J", "non-dropping-particle" : "", "parse-names" : false, "suffix" : "" }, { "dropping-particle" : "", "family" : "Kullberg", "given" : "Joel", "non-dropping-particle" : "", "parse-names" : false, "suffix" : "" }, { "dropping-particle" : "", "family" : "Ax", "given" : "Erika", "non-dropping-particle" : "", "parse-names" : false, "suffix" : "" }, { "dropping-particle" : "", "family" : "Kilander", "given" : "Lena", "non-dropping-particle" : "", "parse-names" : false, "suffix" : "" }, { "dropping-particle" : "", "family" : "Riserus", "given" : "Ulf", "non-dropping-particle" : "", "parse-names" : false, "suffix" : "" }, { "dropping-particle" : "", "family" : "Cederholm", "given" : "Tommy", "non-dropping-particle" : "", "parse-names" : false, "suffix" : "" }, { "dropping-particle" : "", "family" : "Larsson", "given" : "Elna-Marie", "non-dropping-particle" : "", "parse-names" : false, "suffix" : "" }, { "dropping-particle" : "", "family" : "Johansson", "given" : "Lars", "non-dropping-particle" : "", "parse-names" : false, "suffix" : "" }, { "dropping-particle" : "", "family" : "Ahlstr\u00f6m", "given" : "H\u00e5kan", "non-dropping-particle" : "", "parse-names" : false, "suffix" : "" }, { "dropping-particle" : "", "family" : "Lind", "given" : "Lars", "non-dropping-particle" : "", "parse-names" : false, "suffix" : "" }, { "dropping-particle" : "", "family" : "Schi\u00f6th", "given" : "Helgi B", "non-dropping-particle" : "", "parse-names" : false, "suffix" : "" }, { "dropping-particle" : "", "family" : "Benedict", "given" : "Christian", "non-dropping-particle" : "", "parse-names" : false, "suffix" : "" } ], "container-title" : "Age", "id" : "ITEM-1", "issued" : { "date-parts" : [ [ "2013", "8" ] ] }, "page" : "1495-1505", "title" : "Dietary intake of eicosapentaenoic and docosahexaenoic acids is linked to gray matter volume and cognitive function in elderly", "type" : "article-journal", "volume" : "35" }, "uris" : [ "http://www.mendeley.com/documents/?uuid=11fe110c-4b3a-43ad-b6ed-279206dfc9a7" ] } ], "mendeley" : { "formattedCitation" : "&lt;sup&gt;(30)&lt;/sup&gt;", "plainTextFormattedCitation" : "(30)", "previouslyFormattedCitation" : "&lt;sup&gt;(30)&lt;/sup&gt;" }, "properties" : { "noteIndex" : 0 }, "schema" : "https://github.com/citation-style-language/schema/raw/master/csl-citation.json" }</w:instrText>
            </w:r>
            <w:r w:rsidR="0090349C" w:rsidRPr="00B54A75">
              <w:rPr>
                <w:rFonts w:ascii="Calibri" w:eastAsia="Times New Roman" w:hAnsi="Calibri" w:cs="Calibri"/>
                <w:color w:val="000000"/>
                <w:sz w:val="20"/>
                <w:szCs w:val="20"/>
                <w:lang w:eastAsia="en-AU"/>
              </w:rPr>
              <w:fldChar w:fldCharType="separate"/>
            </w:r>
            <w:r w:rsidR="00B54A75" w:rsidRPr="00B54A75">
              <w:rPr>
                <w:rFonts w:ascii="Calibri" w:eastAsia="Times New Roman" w:hAnsi="Calibri" w:cs="Calibri"/>
                <w:noProof/>
                <w:color w:val="000000"/>
                <w:sz w:val="20"/>
                <w:szCs w:val="20"/>
                <w:vertAlign w:val="superscript"/>
                <w:lang w:eastAsia="en-AU"/>
              </w:rPr>
              <w:t>(30)</w:t>
            </w:r>
            <w:r w:rsidR="0090349C" w:rsidRPr="00B54A75">
              <w:rPr>
                <w:rFonts w:ascii="Calibri" w:eastAsia="Times New Roman" w:hAnsi="Calibri" w:cs="Calibri"/>
                <w:color w:val="000000"/>
                <w:sz w:val="20"/>
                <w:szCs w:val="20"/>
                <w:lang w:eastAsia="en-AU"/>
              </w:rPr>
              <w:fldChar w:fldCharType="end"/>
            </w:r>
          </w:p>
        </w:tc>
        <w:tc>
          <w:tcPr>
            <w:tcW w:w="1049"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mbria Math" w:eastAsia="Times New Roman" w:hAnsi="Cambria Math" w:cs="Cambria Math"/>
                <w:color w:val="000000"/>
                <w:sz w:val="20"/>
                <w:szCs w:val="20"/>
                <w:lang w:eastAsia="en-AU"/>
              </w:rPr>
              <w:t>⍵</w:t>
            </w:r>
            <w:r w:rsidRPr="00B54A75">
              <w:rPr>
                <w:rFonts w:ascii="Calibri" w:eastAsia="Times New Roman" w:hAnsi="Calibri" w:cs="Calibri"/>
                <w:color w:val="000000"/>
                <w:sz w:val="20"/>
                <w:szCs w:val="20"/>
                <w:lang w:eastAsia="en-AU"/>
              </w:rPr>
              <w:t>3-FA (7DFD)</w:t>
            </w:r>
          </w:p>
        </w:tc>
        <w:tc>
          <w:tcPr>
            <w:tcW w:w="1082"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H</w:t>
            </w:r>
          </w:p>
        </w:tc>
        <w:tc>
          <w:tcPr>
            <w:tcW w:w="1274"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198</w:t>
            </w:r>
          </w:p>
        </w:tc>
        <w:tc>
          <w:tcPr>
            <w:tcW w:w="1328"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≥70.0</w:t>
            </w:r>
          </w:p>
        </w:tc>
        <w:tc>
          <w:tcPr>
            <w:tcW w:w="1418"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Approx. 70.10</w:t>
            </w:r>
          </w:p>
        </w:tc>
        <w:tc>
          <w:tcPr>
            <w:tcW w:w="1417"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0.0</w:t>
            </w:r>
          </w:p>
        </w:tc>
        <w:tc>
          <w:tcPr>
            <w:tcW w:w="5760"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b/>
                <w:bCs/>
                <w:iCs/>
                <w:color w:val="000000"/>
                <w:sz w:val="20"/>
                <w:szCs w:val="20"/>
                <w:lang w:eastAsia="en-AU"/>
              </w:rPr>
              <w:t>Cross sectional</w:t>
            </w:r>
            <w:r w:rsidRPr="00B54A75">
              <w:rPr>
                <w:rFonts w:ascii="Calibri" w:eastAsia="Times New Roman" w:hAnsi="Calibri" w:cs="Calibri"/>
                <w:b/>
                <w:bCs/>
                <w:color w:val="000000"/>
                <w:sz w:val="20"/>
                <w:szCs w:val="20"/>
                <w:lang w:eastAsia="en-AU"/>
              </w:rPr>
              <w:t xml:space="preserve"> (MRI)</w:t>
            </w:r>
            <w:r w:rsidRPr="00B54A75">
              <w:rPr>
                <w:rFonts w:ascii="Calibri" w:eastAsia="Times New Roman" w:hAnsi="Calibri" w:cs="Calibri"/>
                <w:color w:val="000000"/>
                <w:sz w:val="20"/>
                <w:szCs w:val="20"/>
                <w:lang w:eastAsia="en-AU"/>
              </w:rPr>
              <w:br/>
            </w:r>
            <w:r w:rsidRPr="00B54A75">
              <w:rPr>
                <w:rFonts w:ascii="Calibri" w:eastAsia="Times New Roman" w:hAnsi="Calibri" w:cs="Calibri"/>
                <w:color w:val="000000"/>
                <w:sz w:val="20"/>
                <w:szCs w:val="20"/>
                <w:u w:val="single"/>
                <w:lang w:eastAsia="en-AU"/>
              </w:rPr>
              <w:t xml:space="preserve">↑ Intake of DHA &amp; </w:t>
            </w:r>
            <w:proofErr w:type="gramStart"/>
            <w:r w:rsidRPr="00B54A75">
              <w:rPr>
                <w:rFonts w:ascii="Calibri" w:eastAsia="Times New Roman" w:hAnsi="Calibri" w:cs="Calibri"/>
                <w:color w:val="000000"/>
                <w:sz w:val="20"/>
                <w:szCs w:val="20"/>
                <w:u w:val="single"/>
                <w:lang w:eastAsia="en-AU"/>
              </w:rPr>
              <w:t>EPA</w:t>
            </w:r>
            <w:r w:rsidRPr="00B54A75">
              <w:rPr>
                <w:rFonts w:ascii="Calibri" w:eastAsia="Times New Roman" w:hAnsi="Calibri" w:cs="Calibri"/>
                <w:color w:val="000000"/>
                <w:sz w:val="20"/>
                <w:szCs w:val="20"/>
                <w:lang w:eastAsia="en-AU"/>
              </w:rPr>
              <w:t xml:space="preserve">  </w:t>
            </w:r>
            <w:r w:rsidR="00AC73C6" w:rsidRPr="00B54A75">
              <w:rPr>
                <w:rFonts w:ascii="Calibri" w:eastAsia="Times New Roman" w:hAnsi="Calibri" w:cs="Calibri"/>
                <w:color w:val="000000"/>
                <w:sz w:val="20"/>
                <w:szCs w:val="20"/>
                <w:lang w:eastAsia="en-AU"/>
              </w:rPr>
              <w:t>was</w:t>
            </w:r>
            <w:proofErr w:type="gramEnd"/>
            <w:r w:rsidR="00AC73C6" w:rsidRPr="00B54A75">
              <w:rPr>
                <w:rFonts w:ascii="Calibri" w:eastAsia="Times New Roman" w:hAnsi="Calibri" w:cs="Calibri"/>
                <w:color w:val="000000"/>
                <w:sz w:val="20"/>
                <w:szCs w:val="20"/>
                <w:lang w:eastAsia="en-AU"/>
              </w:rPr>
              <w:t xml:space="preserve"> associated with:</w:t>
            </w:r>
            <w:r w:rsidR="00AC73C6" w:rsidRPr="00B54A75">
              <w:rPr>
                <w:rFonts w:ascii="Calibri" w:eastAsia="Times New Roman" w:hAnsi="Calibri" w:cs="Calibri"/>
                <w:color w:val="000000"/>
                <w:sz w:val="20"/>
                <w:szCs w:val="20"/>
                <w:lang w:eastAsia="en-AU"/>
              </w:rPr>
              <w:br/>
              <w:t xml:space="preserve">          </w:t>
            </w:r>
            <w:r w:rsidRPr="00B54A75">
              <w:rPr>
                <w:rFonts w:ascii="Calibri" w:eastAsia="Times New Roman" w:hAnsi="Calibri" w:cs="Calibri"/>
                <w:color w:val="000000"/>
                <w:sz w:val="20"/>
                <w:szCs w:val="20"/>
                <w:lang w:eastAsia="en-AU"/>
              </w:rPr>
              <w:t>↑ TC-</w:t>
            </w:r>
            <w:proofErr w:type="spellStart"/>
            <w:r w:rsidRPr="00B54A75">
              <w:rPr>
                <w:rFonts w:ascii="Calibri" w:eastAsia="Times New Roman" w:hAnsi="Calibri" w:cs="Calibri"/>
                <w:color w:val="000000"/>
                <w:sz w:val="20"/>
                <w:szCs w:val="20"/>
                <w:lang w:eastAsia="en-AU"/>
              </w:rPr>
              <w:t>GMv</w:t>
            </w:r>
            <w:proofErr w:type="spellEnd"/>
            <w:r w:rsidRPr="00B54A75">
              <w:rPr>
                <w:rFonts w:ascii="Calibri" w:eastAsia="Times New Roman" w:hAnsi="Calibri" w:cs="Calibri"/>
                <w:color w:val="000000"/>
                <w:sz w:val="20"/>
                <w:szCs w:val="20"/>
                <w:lang w:eastAsia="en-AU"/>
              </w:rPr>
              <w:t>.</w:t>
            </w:r>
          </w:p>
        </w:tc>
      </w:tr>
      <w:tr w:rsidR="008251F9" w:rsidRPr="00B54A75" w:rsidTr="00222F25">
        <w:trPr>
          <w:trHeight w:val="1650"/>
        </w:trPr>
        <w:tc>
          <w:tcPr>
            <w:tcW w:w="1840" w:type="dxa"/>
            <w:tcBorders>
              <w:top w:val="nil"/>
              <w:left w:val="nil"/>
              <w:bottom w:val="nil"/>
              <w:right w:val="nil"/>
            </w:tcBorders>
            <w:shd w:val="clear" w:color="000000" w:fill="D9D9D9"/>
            <w:vAlign w:val="bottom"/>
            <w:hideMark/>
          </w:tcPr>
          <w:p w:rsidR="00112011" w:rsidRPr="00B54A75" w:rsidRDefault="00A85A6A" w:rsidP="001E46D5">
            <w:pPr>
              <w:spacing w:after="0" w:line="240" w:lineRule="auto"/>
              <w:rPr>
                <w:rFonts w:ascii="Calibri" w:eastAsia="Times New Roman" w:hAnsi="Calibri" w:cs="Calibri"/>
                <w:color w:val="000000"/>
                <w:sz w:val="20"/>
                <w:szCs w:val="20"/>
                <w:lang w:eastAsia="en-AU"/>
              </w:rPr>
            </w:pPr>
            <w:proofErr w:type="spellStart"/>
            <w:r w:rsidRPr="00B54A75">
              <w:rPr>
                <w:rFonts w:ascii="Calibri" w:eastAsia="Times New Roman" w:hAnsi="Calibri" w:cs="Calibri"/>
                <w:color w:val="000000"/>
                <w:sz w:val="20"/>
                <w:szCs w:val="20"/>
                <w:lang w:eastAsia="en-AU"/>
              </w:rPr>
              <w:t>Samieri</w:t>
            </w:r>
            <w:proofErr w:type="spellEnd"/>
            <w:r w:rsidRPr="00B54A75">
              <w:rPr>
                <w:rFonts w:ascii="Calibri" w:eastAsia="Times New Roman" w:hAnsi="Calibri" w:cs="Calibri"/>
                <w:color w:val="000000"/>
                <w:sz w:val="20"/>
                <w:szCs w:val="20"/>
                <w:lang w:eastAsia="en-AU"/>
              </w:rPr>
              <w:t xml:space="preserve"> et al.</w:t>
            </w:r>
            <w:r w:rsidR="0090349C" w:rsidRPr="00B54A75">
              <w:rPr>
                <w:rFonts w:ascii="Calibri" w:eastAsia="Times New Roman" w:hAnsi="Calibri" w:cs="Calibri"/>
                <w:color w:val="000000"/>
                <w:sz w:val="20"/>
                <w:szCs w:val="20"/>
                <w:lang w:eastAsia="en-AU"/>
              </w:rPr>
              <w:fldChar w:fldCharType="begin" w:fldLock="1"/>
            </w:r>
            <w:r w:rsidR="00C73D5C">
              <w:rPr>
                <w:rFonts w:ascii="Calibri" w:eastAsia="Times New Roman" w:hAnsi="Calibri" w:cs="Calibri"/>
                <w:color w:val="000000"/>
                <w:sz w:val="20"/>
                <w:szCs w:val="20"/>
                <w:lang w:eastAsia="en-AU"/>
              </w:rPr>
              <w:instrText>ADDIN CSL_CITATION { "citationItems" : [ { "id" : "ITEM-1", "itemData" : { "DOI" : "10.1212/WNL.0b013e318264e394", "ISSN" : "1526-632X", "PMID" : "22855869", "abstract" : "OBJECTIVE: The long-chain \u03c9-3 fatty acids eicosapentaenoic acid (EPA) and docosahexaenoic acid (DHA) are potential candidates for interventions to delay Alzheimer disease (AD), but evidence from clinical studies is mixed. We aimed at determining whether plasma levels of EPA or DHA predict atrophy of medial temporal lobe (MTL) gray matter regions in older subjects. METHODS: A total of 281 community dwellers from the Three-City Study, aged 65 years or older, had plasma fatty acid measurements at baseline and underwent MRI examinations at baseline and at 4 years. We studied the association between plasma EPA and DHA and MTL gray matter volume change at 4 years. RESULTS: Higher plasma EPA, but not DHA, was associated with lower gray matter atrophy of the right hippocampal/parahippocampal area and of the right amygdala (p &lt; 0.05, familywise error corrected). Based on a mean right amygdala volume loss of 6.0 mm(3)/y (0.6%), a 1 SD higher plasma EPA (+0.64% of total plasma fatty acids) at baseline was related to a 1.3 mm(3) smaller gray matter loss per year in the right amygdala. Higher atrophy of the right amygdala was associated with greater 4-year decline in semantic memory performances and more depressive symptoms. CONCLUSION: The amygdala, which develops neuropathology in the early stage of AD and is involved in the pathogenesis of depression, may be an important brain structure involved in the association between EPA and cognitive decline and depressive symptoms.", "author" : [ { "dropping-particle" : "", "family" : "Samieri", "given" : "C\u00e9cilia", "non-dropping-particle" : "", "parse-names" : false, "suffix" : "" }, { "dropping-particle" : "", "family" : "Maillard", "given" : "Pauline", "non-dropping-particle" : "", "parse-names" : false, "suffix" : "" }, { "dropping-particle" : "", "family" : "Crivello", "given" : "Fabrice", "non-dropping-particle" : "", "parse-names" : false, "suffix" : "" }, { "dropping-particle" : "", "family" : "Proust-Lima", "given" : "C\u00e9cile", "non-dropping-particle" : "", "parse-names" : false, "suffix" : "" }, { "dropping-particle" : "", "family" : "Peuchant", "given" : "Evelyne", "non-dropping-particle" : "", "parse-names" : false, "suffix" : "" }, { "dropping-particle" : "", "family" : "Helmer", "given" : "Catherine", "non-dropping-particle" : "", "parse-names" : false, "suffix" : "" }, { "dropping-particle" : "", "family" : "Amieva", "given" : "Helene", "non-dropping-particle" : "", "parse-names" : false, "suffix" : "" }, { "dropping-particle" : "", "family" : "Allard", "given" : "Michele", "non-dropping-particle" : "", "parse-names" : false, "suffix" : "" }, { "dropping-particle" : "", "family" : "Dartigues", "given" : "Jean-Francois", "non-dropping-particle" : "", "parse-names" : false, "suffix" : "" }, { "dropping-particle" : "", "family" : "Cunnane", "given" : "Stephen C", "non-dropping-particle" : "", "parse-names" : false, "suffix" : "" }, { "dropping-particle" : "", "family" : "Mazoyer", "given" : "Bernard M", "non-dropping-particle" : "", "parse-names" : false, "suffix" : "" }, { "dropping-particle" : "", "family" : "Barberger-Gateau", "given" : "Pascale", "non-dropping-particle" : "", "parse-names" : false, "suffix" : "" } ], "container-title" : "Neurology", "id" : "ITEM-1", "issued" : { "date-parts" : [ [ "2012", "8", "14" ] ] }, "page" : "642-650", "title" : "Plasma long-chain omega-3 fatty acids and atrophy of the medial temporal lobe", "type" : "article-journal", "volume" : "79" }, "uris" : [ "http://www.mendeley.com/documents/?uuid=ecddef45-8310-40a1-b130-579eabf5f7be" ] } ], "mendeley" : { "formattedCitation" : "&lt;sup&gt;(31)&lt;/sup&gt;", "plainTextFormattedCitation" : "(31)", "previouslyFormattedCitation" : "&lt;sup&gt;(31)&lt;/sup&gt;" }, "properties" : { "noteIndex" : 0 }, "schema" : "https://github.com/citation-style-language/schema/raw/master/csl-citation.json" }</w:instrText>
            </w:r>
            <w:r w:rsidR="0090349C" w:rsidRPr="00B54A75">
              <w:rPr>
                <w:rFonts w:ascii="Calibri" w:eastAsia="Times New Roman" w:hAnsi="Calibri" w:cs="Calibri"/>
                <w:color w:val="000000"/>
                <w:sz w:val="20"/>
                <w:szCs w:val="20"/>
                <w:lang w:eastAsia="en-AU"/>
              </w:rPr>
              <w:fldChar w:fldCharType="separate"/>
            </w:r>
            <w:r w:rsidR="00B54A75" w:rsidRPr="00B54A75">
              <w:rPr>
                <w:rFonts w:ascii="Calibri" w:eastAsia="Times New Roman" w:hAnsi="Calibri" w:cs="Calibri"/>
                <w:noProof/>
                <w:color w:val="000000"/>
                <w:sz w:val="20"/>
                <w:szCs w:val="20"/>
                <w:vertAlign w:val="superscript"/>
                <w:lang w:eastAsia="en-AU"/>
              </w:rPr>
              <w:t>(31)</w:t>
            </w:r>
            <w:r w:rsidR="0090349C" w:rsidRPr="00B54A75">
              <w:rPr>
                <w:rFonts w:ascii="Calibri" w:eastAsia="Times New Roman" w:hAnsi="Calibri" w:cs="Calibri"/>
                <w:color w:val="000000"/>
                <w:sz w:val="20"/>
                <w:szCs w:val="20"/>
                <w:lang w:eastAsia="en-AU"/>
              </w:rPr>
              <w:fldChar w:fldCharType="end"/>
            </w:r>
          </w:p>
        </w:tc>
        <w:tc>
          <w:tcPr>
            <w:tcW w:w="1049"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ω3-FA</w:t>
            </w:r>
          </w:p>
        </w:tc>
        <w:tc>
          <w:tcPr>
            <w:tcW w:w="1082"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Mixed</w:t>
            </w:r>
            <w:r w:rsidR="00BD13B8" w:rsidRPr="00B54A75">
              <w:rPr>
                <w:rFonts w:cstheme="minorHAnsi"/>
                <w:b/>
              </w:rPr>
              <w:t>¶</w:t>
            </w:r>
          </w:p>
        </w:tc>
        <w:tc>
          <w:tcPr>
            <w:tcW w:w="1274"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281</w:t>
            </w:r>
          </w:p>
        </w:tc>
        <w:tc>
          <w:tcPr>
            <w:tcW w:w="1328"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≥65.0</w:t>
            </w:r>
          </w:p>
        </w:tc>
        <w:tc>
          <w:tcPr>
            <w:tcW w:w="1418"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72.30</w:t>
            </w:r>
          </w:p>
        </w:tc>
        <w:tc>
          <w:tcPr>
            <w:tcW w:w="1417"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3.80</w:t>
            </w:r>
          </w:p>
        </w:tc>
        <w:tc>
          <w:tcPr>
            <w:tcW w:w="5760" w:type="dxa"/>
            <w:tcBorders>
              <w:top w:val="nil"/>
              <w:left w:val="nil"/>
              <w:bottom w:val="nil"/>
              <w:right w:val="nil"/>
            </w:tcBorders>
            <w:shd w:val="clear" w:color="000000" w:fill="D9D9D9"/>
            <w:vAlign w:val="bottom"/>
            <w:hideMark/>
          </w:tcPr>
          <w:p w:rsidR="00112011" w:rsidRPr="00B54A75" w:rsidRDefault="00112011" w:rsidP="00A85A6A">
            <w:pPr>
              <w:spacing w:after="0" w:line="240" w:lineRule="auto"/>
              <w:rPr>
                <w:rFonts w:ascii="Calibri" w:eastAsia="Times New Roman" w:hAnsi="Calibri" w:cs="Calibri"/>
                <w:b/>
                <w:bCs/>
                <w:color w:val="000000"/>
                <w:sz w:val="20"/>
                <w:szCs w:val="20"/>
                <w:lang w:eastAsia="en-AU"/>
              </w:rPr>
            </w:pPr>
            <w:r w:rsidRPr="00B54A75">
              <w:rPr>
                <w:rFonts w:ascii="Calibri" w:eastAsia="Times New Roman" w:hAnsi="Calibri" w:cs="Calibri"/>
                <w:b/>
                <w:bCs/>
                <w:iCs/>
                <w:color w:val="000000"/>
                <w:sz w:val="20"/>
                <w:szCs w:val="20"/>
                <w:lang w:eastAsia="en-AU"/>
              </w:rPr>
              <w:t>Longitudinal</w:t>
            </w:r>
            <w:r w:rsidRPr="00B54A75">
              <w:rPr>
                <w:rFonts w:ascii="Calibri" w:eastAsia="Times New Roman" w:hAnsi="Calibri" w:cs="Calibri"/>
                <w:b/>
                <w:bCs/>
                <w:color w:val="000000"/>
                <w:sz w:val="20"/>
                <w:szCs w:val="20"/>
                <w:lang w:eastAsia="en-AU"/>
              </w:rPr>
              <w:t xml:space="preserve"> (MRI; 4 year)</w:t>
            </w:r>
            <w:r w:rsidRPr="00B54A75">
              <w:rPr>
                <w:rFonts w:ascii="Calibri" w:eastAsia="Times New Roman" w:hAnsi="Calibri" w:cs="Calibri"/>
                <w:color w:val="000000"/>
                <w:sz w:val="20"/>
                <w:szCs w:val="20"/>
                <w:lang w:eastAsia="en-AU"/>
              </w:rPr>
              <w:br/>
            </w:r>
            <w:r w:rsidRPr="00B54A75">
              <w:rPr>
                <w:rFonts w:ascii="Calibri" w:eastAsia="Times New Roman" w:hAnsi="Calibri" w:cs="Calibri"/>
                <w:color w:val="000000"/>
                <w:sz w:val="20"/>
                <w:szCs w:val="20"/>
                <w:u w:val="single"/>
                <w:lang w:eastAsia="en-AU"/>
              </w:rPr>
              <w:t>↑ EPA</w:t>
            </w:r>
            <w:r w:rsidRPr="00B54A75">
              <w:rPr>
                <w:rFonts w:ascii="Calibri" w:eastAsia="Times New Roman" w:hAnsi="Calibri" w:cs="Calibri"/>
                <w:color w:val="000000"/>
                <w:sz w:val="20"/>
                <w:szCs w:val="20"/>
                <w:lang w:eastAsia="en-AU"/>
              </w:rPr>
              <w:t xml:space="preserve"> </w:t>
            </w:r>
            <w:r w:rsidR="00AC73C6" w:rsidRPr="00B54A75">
              <w:rPr>
                <w:rFonts w:ascii="Calibri" w:eastAsia="Times New Roman" w:hAnsi="Calibri" w:cs="Calibri"/>
                <w:color w:val="000000"/>
                <w:sz w:val="20"/>
                <w:szCs w:val="20"/>
                <w:lang w:eastAsia="en-AU"/>
              </w:rPr>
              <w:t>was associated with:</w:t>
            </w:r>
            <w:r w:rsidR="00AC73C6" w:rsidRPr="00B54A75">
              <w:rPr>
                <w:rFonts w:ascii="Calibri" w:eastAsia="Times New Roman" w:hAnsi="Calibri" w:cs="Calibri"/>
                <w:color w:val="000000"/>
                <w:sz w:val="20"/>
                <w:szCs w:val="20"/>
                <w:lang w:eastAsia="en-AU"/>
              </w:rPr>
              <w:br/>
              <w:t xml:space="preserve">          </w:t>
            </w:r>
            <w:r w:rsidRPr="00B54A75">
              <w:rPr>
                <w:rFonts w:ascii="Calibri" w:eastAsia="Times New Roman" w:hAnsi="Calibri" w:cs="Calibri"/>
                <w:color w:val="000000"/>
                <w:sz w:val="20"/>
                <w:szCs w:val="20"/>
                <w:lang w:eastAsia="en-AU"/>
              </w:rPr>
              <w:t xml:space="preserve">↓ GM atrophy </w:t>
            </w:r>
            <w:r w:rsidR="00A85A6A" w:rsidRPr="00B54A75">
              <w:rPr>
                <w:rFonts w:ascii="Calibri" w:eastAsia="Times New Roman" w:hAnsi="Calibri" w:cs="Calibri"/>
                <w:color w:val="000000"/>
                <w:sz w:val="20"/>
                <w:szCs w:val="20"/>
                <w:lang w:eastAsia="en-AU"/>
              </w:rPr>
              <w:t>within right Med-TL structures (</w:t>
            </w:r>
            <w:r w:rsidRPr="00B54A75">
              <w:rPr>
                <w:rFonts w:ascii="Calibri" w:eastAsia="Times New Roman" w:hAnsi="Calibri" w:cs="Calibri"/>
                <w:color w:val="000000"/>
                <w:sz w:val="20"/>
                <w:szCs w:val="20"/>
                <w:lang w:eastAsia="en-AU"/>
              </w:rPr>
              <w:t>AM</w:t>
            </w:r>
            <w:r w:rsidR="00A85A6A" w:rsidRPr="00B54A75">
              <w:rPr>
                <w:rFonts w:ascii="Calibri" w:eastAsia="Times New Roman" w:hAnsi="Calibri" w:cs="Calibri"/>
                <w:color w:val="000000"/>
                <w:sz w:val="20"/>
                <w:szCs w:val="20"/>
                <w:lang w:eastAsia="en-AU"/>
              </w:rPr>
              <w:t>YG,</w:t>
            </w:r>
            <w:r w:rsidR="00A85A6A" w:rsidRPr="00B54A75">
              <w:rPr>
                <w:rFonts w:ascii="Calibri" w:eastAsia="Times New Roman" w:hAnsi="Calibri" w:cs="Calibri"/>
                <w:color w:val="000000"/>
                <w:sz w:val="20"/>
                <w:szCs w:val="20"/>
                <w:lang w:eastAsia="en-AU"/>
              </w:rPr>
              <w:br/>
              <w:t xml:space="preserve">               </w:t>
            </w:r>
            <w:proofErr w:type="spellStart"/>
            <w:r w:rsidR="00A85A6A" w:rsidRPr="00B54A75">
              <w:rPr>
                <w:rFonts w:ascii="Calibri" w:eastAsia="Times New Roman" w:hAnsi="Calibri" w:cs="Calibri"/>
                <w:color w:val="000000"/>
                <w:sz w:val="20"/>
                <w:szCs w:val="20"/>
                <w:lang w:eastAsia="en-AU"/>
              </w:rPr>
              <w:t>ParaHC</w:t>
            </w:r>
            <w:proofErr w:type="spellEnd"/>
            <w:r w:rsidR="00A85A6A" w:rsidRPr="00B54A75">
              <w:rPr>
                <w:rFonts w:ascii="Calibri" w:eastAsia="Times New Roman" w:hAnsi="Calibri" w:cs="Calibri"/>
                <w:color w:val="000000"/>
                <w:sz w:val="20"/>
                <w:szCs w:val="20"/>
                <w:lang w:eastAsia="en-AU"/>
              </w:rPr>
              <w:t>, &amp; HC)</w:t>
            </w:r>
            <w:r w:rsidRPr="00B54A75">
              <w:rPr>
                <w:rFonts w:ascii="Calibri" w:eastAsia="Times New Roman" w:hAnsi="Calibri" w:cs="Calibri"/>
                <w:color w:val="000000"/>
                <w:sz w:val="20"/>
                <w:szCs w:val="20"/>
                <w:lang w:eastAsia="en-AU"/>
              </w:rPr>
              <w:br/>
            </w:r>
            <w:r w:rsidRPr="00B54A75">
              <w:rPr>
                <w:rFonts w:ascii="Calibri" w:eastAsia="Times New Roman" w:hAnsi="Calibri" w:cs="Calibri"/>
                <w:color w:val="000000"/>
                <w:sz w:val="20"/>
                <w:szCs w:val="20"/>
                <w:lang w:eastAsia="en-AU"/>
              </w:rPr>
              <w:br/>
              <w:t xml:space="preserve">Associations were unchanged following exclusion of dementia cases  </w:t>
            </w:r>
          </w:p>
        </w:tc>
      </w:tr>
      <w:tr w:rsidR="009321E8" w:rsidRPr="00B54A75" w:rsidTr="00222F25">
        <w:trPr>
          <w:trHeight w:val="1935"/>
        </w:trPr>
        <w:tc>
          <w:tcPr>
            <w:tcW w:w="1840" w:type="dxa"/>
            <w:tcBorders>
              <w:top w:val="nil"/>
              <w:left w:val="nil"/>
              <w:bottom w:val="nil"/>
              <w:right w:val="nil"/>
            </w:tcBorders>
            <w:shd w:val="clear" w:color="auto" w:fill="auto"/>
            <w:vAlign w:val="bottom"/>
            <w:hideMark/>
          </w:tcPr>
          <w:p w:rsidR="00112011" w:rsidRPr="00B54A75" w:rsidRDefault="00A85A6A" w:rsidP="001E46D5">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lastRenderedPageBreak/>
              <w:t>Tan et al.</w:t>
            </w:r>
            <w:r w:rsidR="0090349C" w:rsidRPr="00B54A75">
              <w:rPr>
                <w:rFonts w:ascii="Calibri" w:eastAsia="Times New Roman" w:hAnsi="Calibri" w:cs="Calibri"/>
                <w:color w:val="000000"/>
                <w:sz w:val="20"/>
                <w:szCs w:val="20"/>
                <w:lang w:eastAsia="en-AU"/>
              </w:rPr>
              <w:fldChar w:fldCharType="begin" w:fldLock="1"/>
            </w:r>
            <w:r w:rsidR="00C73D5C">
              <w:rPr>
                <w:rFonts w:ascii="Calibri" w:eastAsia="Times New Roman" w:hAnsi="Calibri" w:cs="Calibri"/>
                <w:color w:val="000000"/>
                <w:sz w:val="20"/>
                <w:szCs w:val="20"/>
                <w:lang w:eastAsia="en-AU"/>
              </w:rPr>
              <w:instrText>ADDIN CSL_CITATION { "citationItems" : [ { "id" : "ITEM-1", "itemData" : { "DOI" : "10.1212/WNL.0b013e318249f6a9", "ISSN" : "1526-632X", "PMID" : "22371413", "abstract" : "OBJECTIVE: Higher dietary intake and circulating levels of docosahexaenoic acid (DHA) and eicosapentaenoic acid (EPA) have been related to a reduced risk for dementia, but the pathways underlying this association remain unclear. We examined the cross-sectional relation of red blood cell (RBC) fatty acid levels to subclinical imaging and cognitive markers of dementia risk in a middle-aged to elderly community-based cohort. METHODS: We related RBC DHA and EPA levels in dementia-free Framingham Study participants (n = 1575; 854 women, age 67 \u00b1 9 years) to performance on cognitive tests and to volumetric brain MRI, with serial adjustments for age, sex, and education (model A, primary model), additionally for APOE \u03b54 and plasma homocysteine (model B), and also for physical activity and body mass index (model C), or for traditional vascular risk factors (model D). RESULTS: Participants with RBC DHA levels in the lowest quartile (Q1) when compared to others (Q2-4) had lower total brain and greater white matter hyperintensity volumes (for model A: \u03b2 \u00b1 SE = -0.49 \u00b1 0.19; p = 0.009, and 0.12 \u00b1 0.06; p = 0.049, respectively) with persistence of the association with total brain volume in multivariable analyses. Participants with lower DHA and \u03c9-3 index (RBC DHA+EPA) levels (Q1 vs. Q2-4) also had lower scores on tests of visual memory (\u03b2 \u00b1 SE = -0.47 \u00b1 0.18; p = 0.008), executive function (\u03b2 \u00b1 SE = -0.07 \u00b1 0.03; p = 0.004), and abstract thinking (\u03b2 \u00b1 SE = -0.52 \u00b1 0.18; p = 0.004) in model A, the results remaining significant in all models. CONCLUSION: Lower RBC DHA levels are associated with smaller brain volumes and a \"vascular\" pattern of cognitive impairment even in persons free of clinical dementia.", "author" : [ { "dropping-particle" : "", "family" : "Tan", "given" : "Z S", "non-dropping-particle" : "", "parse-names" : false, "suffix" : "" }, { "dropping-particle" : "", "family" : "Harris", "given" : "W S", "non-dropping-particle" : "", "parse-names" : false, "suffix" : "" }, { "dropping-particle" : "", "family" : "Beiser", "given" : "A S", "non-dropping-particle" : "", "parse-names" : false, "suffix" : "" }, { "dropping-particle" : "", "family" : "Au", "given" : "R", "non-dropping-particle" : "", "parse-names" : false, "suffix" : "" }, { "dropping-particle" : "", "family" : "Himali", "given" : "J J", "non-dropping-particle" : "", "parse-names" : false, "suffix" : "" }, { "dropping-particle" : "", "family" : "Debette", "given" : "S", "non-dropping-particle" : "", "parse-names" : false, "suffix" : "" }, { "dropping-particle" : "", "family" : "Pikula", "given" : "A", "non-dropping-particle" : "", "parse-names" : false, "suffix" : "" }, { "dropping-particle" : "", "family" : "Decarli", "given" : "C", "non-dropping-particle" : "", "parse-names" : false, "suffix" : "" }, { "dropping-particle" : "", "family" : "Wolf", "given" : "P a", "non-dropping-particle" : "", "parse-names" : false, "suffix" : "" }, { "dropping-particle" : "", "family" : "Vasan", "given" : "R S", "non-dropping-particle" : "", "parse-names" : false, "suffix" : "" }, { "dropping-particle" : "", "family" : "Robins", "given" : "S J", "non-dropping-particle" : "", "parse-names" : false, "suffix" : "" }, { "dropping-particle" : "", "family" : "Seshadri", "given" : "S", "non-dropping-particle" : "", "parse-names" : false, "suffix" : "" } ], "container-title" : "Neurology", "id" : "ITEM-1", "issued" : { "date-parts" : [ [ "2012", "2", "28" ] ] }, "page" : "658-664", "title" : "Red blood cell omega-3 fatty acid levels and markers of accelerated brain aging.", "type" : "article-journal", "volume" : "78" }, "uris" : [ "http://www.mendeley.com/documents/?uuid=0e91e178-32e1-4c7b-9b94-1922ad3a0bb6" ] } ], "mendeley" : { "formattedCitation" : "&lt;sup&gt;(32)&lt;/sup&gt;", "plainTextFormattedCitation" : "(32)", "previouslyFormattedCitation" : "&lt;sup&gt;(32)&lt;/sup&gt;" }, "properties" : { "noteIndex" : 0 }, "schema" : "https://github.com/citation-style-language/schema/raw/master/csl-citation.json" }</w:instrText>
            </w:r>
            <w:r w:rsidR="0090349C" w:rsidRPr="00B54A75">
              <w:rPr>
                <w:rFonts w:ascii="Calibri" w:eastAsia="Times New Roman" w:hAnsi="Calibri" w:cs="Calibri"/>
                <w:color w:val="000000"/>
                <w:sz w:val="20"/>
                <w:szCs w:val="20"/>
                <w:lang w:eastAsia="en-AU"/>
              </w:rPr>
              <w:fldChar w:fldCharType="separate"/>
            </w:r>
            <w:r w:rsidR="00B54A75" w:rsidRPr="00B54A75">
              <w:rPr>
                <w:rFonts w:ascii="Calibri" w:eastAsia="Times New Roman" w:hAnsi="Calibri" w:cs="Calibri"/>
                <w:noProof/>
                <w:color w:val="000000"/>
                <w:sz w:val="20"/>
                <w:szCs w:val="20"/>
                <w:vertAlign w:val="superscript"/>
                <w:lang w:eastAsia="en-AU"/>
              </w:rPr>
              <w:t>(32)</w:t>
            </w:r>
            <w:r w:rsidR="0090349C" w:rsidRPr="00B54A75">
              <w:rPr>
                <w:rFonts w:ascii="Calibri" w:eastAsia="Times New Roman" w:hAnsi="Calibri" w:cs="Calibri"/>
                <w:color w:val="000000"/>
                <w:sz w:val="20"/>
                <w:szCs w:val="20"/>
                <w:lang w:eastAsia="en-AU"/>
              </w:rPr>
              <w:fldChar w:fldCharType="end"/>
            </w:r>
          </w:p>
        </w:tc>
        <w:tc>
          <w:tcPr>
            <w:tcW w:w="1049"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mbria Math" w:eastAsia="Times New Roman" w:hAnsi="Cambria Math" w:cs="Cambria Math"/>
                <w:color w:val="000000"/>
                <w:sz w:val="20"/>
                <w:szCs w:val="20"/>
                <w:lang w:eastAsia="en-AU"/>
              </w:rPr>
              <w:t>⍵</w:t>
            </w:r>
            <w:r w:rsidRPr="00B54A75">
              <w:rPr>
                <w:rFonts w:ascii="Calibri" w:eastAsia="Times New Roman" w:hAnsi="Calibri" w:cs="Calibri"/>
                <w:color w:val="000000"/>
                <w:sz w:val="20"/>
                <w:szCs w:val="20"/>
                <w:lang w:eastAsia="en-AU"/>
              </w:rPr>
              <w:t>3-FA</w:t>
            </w:r>
          </w:p>
        </w:tc>
        <w:tc>
          <w:tcPr>
            <w:tcW w:w="1082"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DF</w:t>
            </w:r>
          </w:p>
        </w:tc>
        <w:tc>
          <w:tcPr>
            <w:tcW w:w="1274"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1,575</w:t>
            </w:r>
          </w:p>
        </w:tc>
        <w:tc>
          <w:tcPr>
            <w:tcW w:w="1328"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NR</w:t>
            </w:r>
          </w:p>
        </w:tc>
        <w:tc>
          <w:tcPr>
            <w:tcW w:w="1418"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67.0</w:t>
            </w:r>
          </w:p>
        </w:tc>
        <w:tc>
          <w:tcPr>
            <w:tcW w:w="1417"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9.0</w:t>
            </w:r>
          </w:p>
        </w:tc>
        <w:tc>
          <w:tcPr>
            <w:tcW w:w="5760"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b/>
                <w:bCs/>
                <w:iCs/>
                <w:color w:val="000000"/>
                <w:sz w:val="20"/>
                <w:szCs w:val="20"/>
                <w:lang w:eastAsia="en-AU"/>
              </w:rPr>
              <w:t>Cross sectional</w:t>
            </w:r>
            <w:r w:rsidRPr="00B54A75">
              <w:rPr>
                <w:rFonts w:ascii="Calibri" w:eastAsia="Times New Roman" w:hAnsi="Calibri" w:cs="Calibri"/>
                <w:b/>
                <w:bCs/>
                <w:color w:val="000000"/>
                <w:sz w:val="20"/>
                <w:szCs w:val="20"/>
                <w:lang w:eastAsia="en-AU"/>
              </w:rPr>
              <w:t xml:space="preserve"> (MRI)</w:t>
            </w:r>
            <w:r w:rsidRPr="00B54A75">
              <w:rPr>
                <w:rFonts w:ascii="Calibri" w:eastAsia="Times New Roman" w:hAnsi="Calibri" w:cs="Calibri"/>
                <w:color w:val="000000"/>
                <w:sz w:val="20"/>
                <w:szCs w:val="20"/>
                <w:lang w:eastAsia="en-AU"/>
              </w:rPr>
              <w:br/>
            </w:r>
            <w:r w:rsidRPr="00B54A75">
              <w:rPr>
                <w:rFonts w:ascii="Calibri" w:eastAsia="Times New Roman" w:hAnsi="Calibri" w:cs="Calibri"/>
                <w:color w:val="000000"/>
                <w:sz w:val="20"/>
                <w:szCs w:val="20"/>
                <w:u w:val="single"/>
                <w:lang w:eastAsia="en-AU"/>
              </w:rPr>
              <w:t>Lowest quartile RBC DHA</w:t>
            </w:r>
            <w:r w:rsidRPr="00B54A75">
              <w:rPr>
                <w:rFonts w:ascii="Calibri" w:eastAsia="Times New Roman" w:hAnsi="Calibri" w:cs="Calibri"/>
                <w:color w:val="000000"/>
                <w:sz w:val="20"/>
                <w:szCs w:val="20"/>
                <w:lang w:eastAsia="en-AU"/>
              </w:rPr>
              <w:t xml:space="preserve"> was associated with:</w:t>
            </w:r>
            <w:r w:rsidRPr="00B54A75">
              <w:rPr>
                <w:rFonts w:ascii="Calibri" w:eastAsia="Times New Roman" w:hAnsi="Calibri" w:cs="Calibri"/>
                <w:color w:val="000000"/>
                <w:sz w:val="20"/>
                <w:szCs w:val="20"/>
                <w:lang w:eastAsia="en-AU"/>
              </w:rPr>
              <w:br/>
              <w:t xml:space="preserve">           ↓ </w:t>
            </w:r>
            <w:proofErr w:type="spellStart"/>
            <w:r w:rsidRPr="00B54A75">
              <w:rPr>
                <w:rFonts w:ascii="Calibri" w:eastAsia="Times New Roman" w:hAnsi="Calibri" w:cs="Calibri"/>
                <w:color w:val="000000"/>
                <w:sz w:val="20"/>
                <w:szCs w:val="20"/>
                <w:lang w:eastAsia="en-AU"/>
              </w:rPr>
              <w:t>TCv</w:t>
            </w:r>
            <w:proofErr w:type="spellEnd"/>
            <w:r w:rsidRPr="00B54A75">
              <w:rPr>
                <w:rFonts w:ascii="Calibri" w:eastAsia="Times New Roman" w:hAnsi="Calibri" w:cs="Calibri"/>
                <w:color w:val="000000"/>
                <w:sz w:val="20"/>
                <w:szCs w:val="20"/>
                <w:lang w:eastAsia="en-AU"/>
              </w:rPr>
              <w:br/>
              <w:t xml:space="preserve">           ↑ </w:t>
            </w:r>
            <w:proofErr w:type="spellStart"/>
            <w:r w:rsidRPr="00B54A75">
              <w:rPr>
                <w:rFonts w:ascii="Calibri" w:eastAsia="Times New Roman" w:hAnsi="Calibri" w:cs="Calibri"/>
                <w:color w:val="000000"/>
                <w:sz w:val="20"/>
                <w:szCs w:val="20"/>
                <w:lang w:eastAsia="en-AU"/>
              </w:rPr>
              <w:t>WMHv</w:t>
            </w:r>
            <w:proofErr w:type="spellEnd"/>
            <w:r w:rsidRPr="00B54A75">
              <w:rPr>
                <w:rFonts w:ascii="Calibri" w:eastAsia="Times New Roman" w:hAnsi="Calibri" w:cs="Calibri"/>
                <w:color w:val="000000"/>
                <w:sz w:val="20"/>
                <w:szCs w:val="20"/>
                <w:lang w:eastAsia="en-AU"/>
              </w:rPr>
              <w:br/>
            </w:r>
            <w:r w:rsidRPr="00B54A75">
              <w:rPr>
                <w:rFonts w:ascii="Calibri" w:eastAsia="Times New Roman" w:hAnsi="Calibri" w:cs="Calibri"/>
                <w:color w:val="000000"/>
                <w:sz w:val="20"/>
                <w:szCs w:val="20"/>
                <w:u w:val="single"/>
                <w:lang w:eastAsia="en-AU"/>
              </w:rPr>
              <w:t xml:space="preserve">Lowest quartile </w:t>
            </w:r>
            <w:r w:rsidRPr="00B54A75">
              <w:rPr>
                <w:rFonts w:ascii="Cambria Math" w:eastAsia="Times New Roman" w:hAnsi="Cambria Math" w:cs="Cambria Math"/>
                <w:color w:val="000000"/>
                <w:sz w:val="20"/>
                <w:szCs w:val="20"/>
                <w:u w:val="single"/>
                <w:lang w:eastAsia="en-AU"/>
              </w:rPr>
              <w:t>⍵</w:t>
            </w:r>
            <w:r w:rsidRPr="00B54A75">
              <w:rPr>
                <w:rFonts w:ascii="Calibri" w:eastAsia="Times New Roman" w:hAnsi="Calibri" w:cs="Calibri"/>
                <w:color w:val="000000"/>
                <w:sz w:val="20"/>
                <w:szCs w:val="20"/>
                <w:u w:val="single"/>
                <w:lang w:eastAsia="en-AU"/>
              </w:rPr>
              <w:t xml:space="preserve">3-FA </w:t>
            </w:r>
            <w:proofErr w:type="gramStart"/>
            <w:r w:rsidRPr="00B54A75">
              <w:rPr>
                <w:rFonts w:ascii="Calibri" w:eastAsia="Times New Roman" w:hAnsi="Calibri" w:cs="Calibri"/>
                <w:color w:val="000000"/>
                <w:sz w:val="20"/>
                <w:szCs w:val="20"/>
                <w:u w:val="single"/>
                <w:lang w:eastAsia="en-AU"/>
              </w:rPr>
              <w:t xml:space="preserve">index </w:t>
            </w:r>
            <w:r w:rsidRPr="00B54A75">
              <w:rPr>
                <w:rFonts w:ascii="Calibri" w:eastAsia="Times New Roman" w:hAnsi="Calibri" w:cs="Calibri"/>
                <w:color w:val="000000"/>
                <w:sz w:val="20"/>
                <w:szCs w:val="20"/>
                <w:lang w:eastAsia="en-AU"/>
              </w:rPr>
              <w:t xml:space="preserve"> was</w:t>
            </w:r>
            <w:proofErr w:type="gramEnd"/>
            <w:r w:rsidRPr="00B54A75">
              <w:rPr>
                <w:rFonts w:ascii="Calibri" w:eastAsia="Times New Roman" w:hAnsi="Calibri" w:cs="Calibri"/>
                <w:color w:val="000000"/>
                <w:sz w:val="20"/>
                <w:szCs w:val="20"/>
                <w:lang w:eastAsia="en-AU"/>
              </w:rPr>
              <w:t xml:space="preserve"> associated with:</w:t>
            </w:r>
            <w:r w:rsidRPr="00B54A75">
              <w:rPr>
                <w:rFonts w:ascii="Calibri" w:eastAsia="Times New Roman" w:hAnsi="Calibri" w:cs="Calibri"/>
                <w:color w:val="000000"/>
                <w:sz w:val="20"/>
                <w:szCs w:val="20"/>
                <w:lang w:eastAsia="en-AU"/>
              </w:rPr>
              <w:br/>
              <w:t xml:space="preserve">           ↓ </w:t>
            </w:r>
            <w:proofErr w:type="spellStart"/>
            <w:r w:rsidRPr="00B54A75">
              <w:rPr>
                <w:rFonts w:ascii="Calibri" w:eastAsia="Times New Roman" w:hAnsi="Calibri" w:cs="Calibri"/>
                <w:color w:val="000000"/>
                <w:sz w:val="20"/>
                <w:szCs w:val="20"/>
                <w:lang w:eastAsia="en-AU"/>
              </w:rPr>
              <w:t>TCv</w:t>
            </w:r>
            <w:proofErr w:type="spellEnd"/>
            <w:r w:rsidRPr="00B54A75">
              <w:rPr>
                <w:rFonts w:ascii="Calibri" w:eastAsia="Times New Roman" w:hAnsi="Calibri" w:cs="Calibri"/>
                <w:color w:val="000000"/>
                <w:sz w:val="20"/>
                <w:szCs w:val="20"/>
                <w:lang w:eastAsia="en-AU"/>
              </w:rPr>
              <w:br/>
              <w:t xml:space="preserve">           ↑ </w:t>
            </w:r>
            <w:proofErr w:type="spellStart"/>
            <w:r w:rsidRPr="00B54A75">
              <w:rPr>
                <w:rFonts w:ascii="Calibri" w:eastAsia="Times New Roman" w:hAnsi="Calibri" w:cs="Calibri"/>
                <w:color w:val="000000"/>
                <w:sz w:val="20"/>
                <w:szCs w:val="20"/>
                <w:lang w:eastAsia="en-AU"/>
              </w:rPr>
              <w:t>WMHv</w:t>
            </w:r>
            <w:proofErr w:type="spellEnd"/>
            <w:r w:rsidRPr="00B54A75">
              <w:rPr>
                <w:rFonts w:ascii="Calibri" w:eastAsia="Times New Roman" w:hAnsi="Calibri" w:cs="Calibri"/>
                <w:color w:val="000000"/>
                <w:sz w:val="20"/>
                <w:szCs w:val="20"/>
                <w:lang w:eastAsia="en-AU"/>
              </w:rPr>
              <w:t xml:space="preserve"> </w:t>
            </w:r>
          </w:p>
        </w:tc>
      </w:tr>
      <w:tr w:rsidR="009321E8" w:rsidRPr="00B54A75" w:rsidTr="00222F25">
        <w:trPr>
          <w:trHeight w:val="375"/>
        </w:trPr>
        <w:tc>
          <w:tcPr>
            <w:tcW w:w="1840"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b/>
                <w:bCs/>
                <w:iCs/>
                <w:color w:val="000000"/>
                <w:sz w:val="20"/>
                <w:szCs w:val="20"/>
                <w:lang w:eastAsia="en-AU"/>
              </w:rPr>
            </w:pPr>
            <w:r w:rsidRPr="00B54A75">
              <w:rPr>
                <w:rFonts w:ascii="Calibri" w:eastAsia="Times New Roman" w:hAnsi="Calibri" w:cs="Calibri"/>
                <w:b/>
                <w:bCs/>
                <w:iCs/>
                <w:color w:val="000000"/>
                <w:sz w:val="20"/>
                <w:szCs w:val="20"/>
                <w:lang w:eastAsia="en-AU"/>
              </w:rPr>
              <w:t>Vitamin D</w:t>
            </w:r>
          </w:p>
        </w:tc>
        <w:tc>
          <w:tcPr>
            <w:tcW w:w="1049"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b/>
                <w:bCs/>
                <w:iCs/>
                <w:color w:val="000000"/>
                <w:sz w:val="20"/>
                <w:szCs w:val="20"/>
                <w:lang w:eastAsia="en-AU"/>
              </w:rPr>
            </w:pPr>
          </w:p>
        </w:tc>
        <w:tc>
          <w:tcPr>
            <w:tcW w:w="1082"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Times New Roman" w:eastAsia="Times New Roman" w:hAnsi="Times New Roman" w:cs="Times New Roman"/>
                <w:sz w:val="20"/>
                <w:szCs w:val="20"/>
                <w:lang w:eastAsia="en-AU"/>
              </w:rPr>
            </w:pPr>
          </w:p>
        </w:tc>
        <w:tc>
          <w:tcPr>
            <w:tcW w:w="1274"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Times New Roman" w:eastAsia="Times New Roman" w:hAnsi="Times New Roman" w:cs="Times New Roman"/>
                <w:sz w:val="20"/>
                <w:szCs w:val="20"/>
                <w:lang w:eastAsia="en-AU"/>
              </w:rPr>
            </w:pPr>
          </w:p>
        </w:tc>
        <w:tc>
          <w:tcPr>
            <w:tcW w:w="1328"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Times New Roman" w:eastAsia="Times New Roman" w:hAnsi="Times New Roman" w:cs="Times New Roman"/>
                <w:sz w:val="20"/>
                <w:szCs w:val="20"/>
                <w:lang w:eastAsia="en-AU"/>
              </w:rPr>
            </w:pPr>
          </w:p>
        </w:tc>
        <w:tc>
          <w:tcPr>
            <w:tcW w:w="1418"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Times New Roman" w:eastAsia="Times New Roman" w:hAnsi="Times New Roman" w:cs="Times New Roman"/>
                <w:sz w:val="20"/>
                <w:szCs w:val="20"/>
                <w:lang w:eastAsia="en-AU"/>
              </w:rPr>
            </w:pPr>
          </w:p>
        </w:tc>
        <w:tc>
          <w:tcPr>
            <w:tcW w:w="1417" w:type="dxa"/>
            <w:tcBorders>
              <w:top w:val="nil"/>
              <w:left w:val="nil"/>
              <w:bottom w:val="nil"/>
              <w:right w:val="nil"/>
            </w:tcBorders>
            <w:shd w:val="clear" w:color="auto" w:fill="auto"/>
            <w:noWrap/>
            <w:vAlign w:val="bottom"/>
            <w:hideMark/>
          </w:tcPr>
          <w:p w:rsidR="00112011" w:rsidRPr="00B54A75" w:rsidRDefault="00112011" w:rsidP="00112011">
            <w:pPr>
              <w:spacing w:after="0" w:line="240" w:lineRule="auto"/>
              <w:rPr>
                <w:rFonts w:ascii="Times New Roman" w:eastAsia="Times New Roman" w:hAnsi="Times New Roman" w:cs="Times New Roman"/>
                <w:sz w:val="20"/>
                <w:szCs w:val="20"/>
                <w:lang w:eastAsia="en-AU"/>
              </w:rPr>
            </w:pPr>
          </w:p>
        </w:tc>
        <w:tc>
          <w:tcPr>
            <w:tcW w:w="5760"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Times New Roman" w:eastAsia="Times New Roman" w:hAnsi="Times New Roman" w:cs="Times New Roman"/>
                <w:sz w:val="20"/>
                <w:szCs w:val="20"/>
                <w:lang w:eastAsia="en-AU"/>
              </w:rPr>
            </w:pPr>
          </w:p>
        </w:tc>
      </w:tr>
      <w:tr w:rsidR="008251F9" w:rsidRPr="00B54A75" w:rsidTr="00222F25">
        <w:trPr>
          <w:trHeight w:val="855"/>
        </w:trPr>
        <w:tc>
          <w:tcPr>
            <w:tcW w:w="1840" w:type="dxa"/>
            <w:tcBorders>
              <w:top w:val="nil"/>
              <w:left w:val="nil"/>
              <w:bottom w:val="nil"/>
              <w:right w:val="nil"/>
            </w:tcBorders>
            <w:shd w:val="clear" w:color="000000" w:fill="D9D9D9"/>
            <w:vAlign w:val="bottom"/>
            <w:hideMark/>
          </w:tcPr>
          <w:p w:rsidR="00112011" w:rsidRPr="00B54A75" w:rsidRDefault="00A85A6A" w:rsidP="001E46D5">
            <w:pPr>
              <w:spacing w:after="0" w:line="240" w:lineRule="auto"/>
              <w:rPr>
                <w:rFonts w:ascii="Calibri" w:eastAsia="Times New Roman" w:hAnsi="Calibri" w:cs="Calibri"/>
                <w:color w:val="000000"/>
                <w:sz w:val="20"/>
                <w:szCs w:val="20"/>
                <w:lang w:eastAsia="en-AU"/>
              </w:rPr>
            </w:pPr>
            <w:proofErr w:type="spellStart"/>
            <w:r w:rsidRPr="00B54A75">
              <w:rPr>
                <w:rFonts w:ascii="Calibri" w:eastAsia="Times New Roman" w:hAnsi="Calibri" w:cs="Calibri"/>
                <w:color w:val="000000"/>
                <w:sz w:val="20"/>
                <w:szCs w:val="20"/>
                <w:lang w:eastAsia="en-AU"/>
              </w:rPr>
              <w:t>Karakis</w:t>
            </w:r>
            <w:proofErr w:type="spellEnd"/>
            <w:r w:rsidRPr="00B54A75">
              <w:rPr>
                <w:rFonts w:ascii="Calibri" w:eastAsia="Times New Roman" w:hAnsi="Calibri" w:cs="Calibri"/>
                <w:color w:val="000000"/>
                <w:sz w:val="20"/>
                <w:szCs w:val="20"/>
                <w:lang w:eastAsia="en-AU"/>
              </w:rPr>
              <w:t xml:space="preserve"> et al.</w:t>
            </w:r>
            <w:r w:rsidR="0090349C" w:rsidRPr="00B54A75">
              <w:rPr>
                <w:rFonts w:ascii="Calibri" w:eastAsia="Times New Roman" w:hAnsi="Calibri" w:cs="Calibri"/>
                <w:color w:val="000000"/>
                <w:sz w:val="20"/>
                <w:szCs w:val="20"/>
                <w:lang w:eastAsia="en-AU"/>
              </w:rPr>
              <w:fldChar w:fldCharType="begin" w:fldLock="1"/>
            </w:r>
            <w:r w:rsidR="00C73D5C">
              <w:rPr>
                <w:rFonts w:ascii="Calibri" w:eastAsia="Times New Roman" w:hAnsi="Calibri" w:cs="Calibri"/>
                <w:color w:val="000000"/>
                <w:sz w:val="20"/>
                <w:szCs w:val="20"/>
                <w:lang w:eastAsia="en-AU"/>
              </w:rPr>
              <w:instrText>ADDIN CSL_CITATION { "citationItems" : [ { "id" : "ITEM-1", "itemData" : { "DOI" : "10.3233/JAD-150991", "author" : [ { "dropping-particle" : "", "family" : "Karakis", "given" : "Ioannis", "non-dropping-particle" : "", "parse-names" : false, "suffix" : "" }, { "dropping-particle" : "", "family" : "Pase", "given" : "Matthew P", "non-dropping-particle" : "", "parse-names" : false, "suffix" : "" }, { "dropping-particle" : "", "family" : "Beiser", "given" : "Alexa", "non-dropping-particle" : "", "parse-names" : false, "suffix" : "" }, { "dropping-particle" : "", "family" : "Booth", "given" : "Sarah L", "non-dropping-particle" : "", "parse-names" : false, "suffix" : "" }, { "dropping-particle" : "", "family" : "Jacques", "given" : "Paul F", "non-dropping-particle" : "", "parse-names" : false, "suffix" : "" }, { "dropping-particle" : "", "family" : "Human", "given" : "Agriculture", "non-dropping-particle" : "", "parse-names" : false, "suffix" : "" } ], "container-title" : "Journal of Alzheimer's disease", "id" : "ITEM-1", "issued" : { "date-parts" : [ [ "2016" ] ] }, "page" : "451-461", "title" : "Association of Serum Vitamin D with the Risk of Incident Dementia and Subclinical Indices of Brain Aging: The Framingham Heart Study", "type" : "article-journal", "volume" : "51" }, "uris" : [ "http://www.mendeley.com/documents/?uuid=356221b7-67f5-43ec-ac1c-3948b3c4aa69" ] } ], "mendeley" : { "formattedCitation" : "&lt;sup&gt;(33)&lt;/sup&gt;", "plainTextFormattedCitation" : "(33)", "previouslyFormattedCitation" : "&lt;sup&gt;(33)&lt;/sup&gt;" }, "properties" : { "noteIndex" : 0 }, "schema" : "https://github.com/citation-style-language/schema/raw/master/csl-citation.json" }</w:instrText>
            </w:r>
            <w:r w:rsidR="0090349C" w:rsidRPr="00B54A75">
              <w:rPr>
                <w:rFonts w:ascii="Calibri" w:eastAsia="Times New Roman" w:hAnsi="Calibri" w:cs="Calibri"/>
                <w:color w:val="000000"/>
                <w:sz w:val="20"/>
                <w:szCs w:val="20"/>
                <w:lang w:eastAsia="en-AU"/>
              </w:rPr>
              <w:fldChar w:fldCharType="separate"/>
            </w:r>
            <w:r w:rsidR="00B54A75" w:rsidRPr="00B54A75">
              <w:rPr>
                <w:rFonts w:ascii="Calibri" w:eastAsia="Times New Roman" w:hAnsi="Calibri" w:cs="Calibri"/>
                <w:noProof/>
                <w:color w:val="000000"/>
                <w:sz w:val="20"/>
                <w:szCs w:val="20"/>
                <w:vertAlign w:val="superscript"/>
                <w:lang w:eastAsia="en-AU"/>
              </w:rPr>
              <w:t>(33)</w:t>
            </w:r>
            <w:r w:rsidR="0090349C" w:rsidRPr="00B54A75">
              <w:rPr>
                <w:rFonts w:ascii="Calibri" w:eastAsia="Times New Roman" w:hAnsi="Calibri" w:cs="Calibri"/>
                <w:color w:val="000000"/>
                <w:sz w:val="20"/>
                <w:szCs w:val="20"/>
                <w:lang w:eastAsia="en-AU"/>
              </w:rPr>
              <w:fldChar w:fldCharType="end"/>
            </w:r>
          </w:p>
        </w:tc>
        <w:tc>
          <w:tcPr>
            <w:tcW w:w="1049"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VIT-D</w:t>
            </w:r>
          </w:p>
        </w:tc>
        <w:tc>
          <w:tcPr>
            <w:tcW w:w="1082" w:type="dxa"/>
            <w:tcBorders>
              <w:top w:val="nil"/>
              <w:left w:val="nil"/>
              <w:bottom w:val="nil"/>
              <w:right w:val="nil"/>
            </w:tcBorders>
            <w:shd w:val="clear" w:color="000000" w:fill="D9D9D9"/>
            <w:vAlign w:val="bottom"/>
            <w:hideMark/>
          </w:tcPr>
          <w:p w:rsidR="00112011" w:rsidRPr="00070EC0" w:rsidRDefault="00112011" w:rsidP="00112011">
            <w:pPr>
              <w:spacing w:after="0" w:line="240" w:lineRule="auto"/>
              <w:rPr>
                <w:rFonts w:ascii="Calibri" w:eastAsia="Times New Roman" w:hAnsi="Calibri" w:cs="Calibri"/>
                <w:color w:val="000000"/>
                <w:sz w:val="20"/>
                <w:szCs w:val="20"/>
                <w:lang w:eastAsia="en-AU"/>
              </w:rPr>
            </w:pPr>
            <w:r w:rsidRPr="00070EC0">
              <w:rPr>
                <w:rFonts w:ascii="Calibri" w:eastAsia="Times New Roman" w:hAnsi="Calibri" w:cs="Calibri"/>
                <w:color w:val="000000"/>
                <w:sz w:val="20"/>
                <w:szCs w:val="20"/>
                <w:lang w:eastAsia="en-AU"/>
              </w:rPr>
              <w:t>DF</w:t>
            </w:r>
            <w:r w:rsidR="00070EC0" w:rsidRPr="00070EC0">
              <w:rPr>
                <w:rFonts w:cstheme="minorHAnsi"/>
              </w:rPr>
              <w:t>§</w:t>
            </w:r>
          </w:p>
        </w:tc>
        <w:tc>
          <w:tcPr>
            <w:tcW w:w="1274"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1,291</w:t>
            </w:r>
          </w:p>
        </w:tc>
        <w:tc>
          <w:tcPr>
            <w:tcW w:w="1328"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NR</w:t>
            </w:r>
          </w:p>
        </w:tc>
        <w:tc>
          <w:tcPr>
            <w:tcW w:w="1418"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59.50</w:t>
            </w:r>
          </w:p>
        </w:tc>
        <w:tc>
          <w:tcPr>
            <w:tcW w:w="1417" w:type="dxa"/>
            <w:tcBorders>
              <w:top w:val="nil"/>
              <w:left w:val="nil"/>
              <w:bottom w:val="nil"/>
              <w:right w:val="nil"/>
            </w:tcBorders>
            <w:shd w:val="clear" w:color="000000" w:fill="D9D9D9"/>
            <w:noWrap/>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9.10</w:t>
            </w:r>
          </w:p>
        </w:tc>
        <w:tc>
          <w:tcPr>
            <w:tcW w:w="5760" w:type="dxa"/>
            <w:tcBorders>
              <w:top w:val="nil"/>
              <w:left w:val="nil"/>
              <w:bottom w:val="nil"/>
              <w:right w:val="nil"/>
            </w:tcBorders>
            <w:shd w:val="clear" w:color="000000" w:fill="D9D9D9"/>
            <w:vAlign w:val="bottom"/>
            <w:hideMark/>
          </w:tcPr>
          <w:p w:rsidR="00112011" w:rsidRPr="00B54A75" w:rsidRDefault="00112011" w:rsidP="008A7ACA">
            <w:pPr>
              <w:spacing w:after="0" w:line="240" w:lineRule="auto"/>
              <w:rPr>
                <w:rFonts w:ascii="Calibri" w:eastAsia="Times New Roman" w:hAnsi="Calibri" w:cs="Calibri"/>
                <w:b/>
                <w:bCs/>
                <w:color w:val="000000"/>
                <w:sz w:val="20"/>
                <w:szCs w:val="20"/>
                <w:lang w:eastAsia="en-AU"/>
              </w:rPr>
            </w:pPr>
            <w:r w:rsidRPr="00B54A75">
              <w:rPr>
                <w:rFonts w:ascii="Calibri" w:eastAsia="Times New Roman" w:hAnsi="Calibri" w:cs="Calibri"/>
                <w:b/>
                <w:bCs/>
                <w:iCs/>
                <w:color w:val="000000"/>
                <w:sz w:val="20"/>
                <w:szCs w:val="20"/>
                <w:lang w:eastAsia="en-AU"/>
              </w:rPr>
              <w:t>Cross sectional</w:t>
            </w:r>
            <w:r w:rsidRPr="00B54A75">
              <w:rPr>
                <w:rFonts w:ascii="Calibri" w:eastAsia="Times New Roman" w:hAnsi="Calibri" w:cs="Calibri"/>
                <w:b/>
                <w:bCs/>
                <w:color w:val="000000"/>
                <w:sz w:val="20"/>
                <w:szCs w:val="20"/>
                <w:lang w:eastAsia="en-AU"/>
              </w:rPr>
              <w:t xml:space="preserve"> (MRI)</w:t>
            </w:r>
            <w:r w:rsidRPr="00B54A75">
              <w:rPr>
                <w:rFonts w:ascii="Calibri" w:eastAsia="Times New Roman" w:hAnsi="Calibri" w:cs="Calibri"/>
                <w:color w:val="000000"/>
                <w:sz w:val="20"/>
                <w:szCs w:val="20"/>
                <w:lang w:eastAsia="en-AU"/>
              </w:rPr>
              <w:br/>
            </w:r>
            <w:r w:rsidR="008A7ACA" w:rsidRPr="00B54A75">
              <w:rPr>
                <w:rFonts w:ascii="Calibri" w:eastAsia="Times New Roman" w:hAnsi="Calibri" w:cs="Calibri"/>
                <w:color w:val="000000"/>
                <w:sz w:val="20"/>
                <w:szCs w:val="20"/>
                <w:u w:val="single"/>
                <w:lang w:eastAsia="en-AU"/>
              </w:rPr>
              <w:t>VIT-D</w:t>
            </w:r>
            <w:r w:rsidRPr="00B54A75">
              <w:rPr>
                <w:rFonts w:ascii="Calibri" w:eastAsia="Times New Roman" w:hAnsi="Calibri" w:cs="Calibri"/>
                <w:color w:val="000000"/>
                <w:sz w:val="20"/>
                <w:szCs w:val="20"/>
                <w:u w:val="single"/>
                <w:lang w:eastAsia="en-AU"/>
              </w:rPr>
              <w:t xml:space="preserve"> deficiency</w:t>
            </w:r>
            <w:r w:rsidRPr="00B54A75">
              <w:rPr>
                <w:rFonts w:ascii="Calibri" w:eastAsia="Times New Roman" w:hAnsi="Calibri" w:cs="Calibri"/>
                <w:color w:val="000000"/>
                <w:sz w:val="20"/>
                <w:szCs w:val="20"/>
                <w:lang w:eastAsia="en-AU"/>
              </w:rPr>
              <w:t xml:space="preserve"> was associated with:</w:t>
            </w:r>
            <w:r w:rsidRPr="00B54A75">
              <w:rPr>
                <w:rFonts w:ascii="Calibri" w:eastAsia="Times New Roman" w:hAnsi="Calibri" w:cs="Calibri"/>
                <w:color w:val="000000"/>
                <w:sz w:val="20"/>
                <w:szCs w:val="20"/>
                <w:lang w:eastAsia="en-AU"/>
              </w:rPr>
              <w:br/>
              <w:t xml:space="preserve">           ↓ </w:t>
            </w:r>
            <w:proofErr w:type="spellStart"/>
            <w:r w:rsidRPr="00B54A75">
              <w:rPr>
                <w:rFonts w:ascii="Calibri" w:eastAsia="Times New Roman" w:hAnsi="Calibri" w:cs="Calibri"/>
                <w:color w:val="000000"/>
                <w:sz w:val="20"/>
                <w:szCs w:val="20"/>
                <w:lang w:eastAsia="en-AU"/>
              </w:rPr>
              <w:t>HCv</w:t>
            </w:r>
            <w:proofErr w:type="spellEnd"/>
            <w:r w:rsidRPr="00B54A75">
              <w:rPr>
                <w:rFonts w:ascii="Calibri" w:eastAsia="Times New Roman" w:hAnsi="Calibri" w:cs="Calibri"/>
                <w:color w:val="000000"/>
                <w:sz w:val="20"/>
                <w:szCs w:val="20"/>
                <w:lang w:eastAsia="en-AU"/>
              </w:rPr>
              <w:t xml:space="preserve">. </w:t>
            </w:r>
          </w:p>
        </w:tc>
      </w:tr>
      <w:tr w:rsidR="009321E8" w:rsidRPr="00B54A75" w:rsidTr="00222F25">
        <w:trPr>
          <w:trHeight w:val="900"/>
        </w:trPr>
        <w:tc>
          <w:tcPr>
            <w:tcW w:w="1840" w:type="dxa"/>
            <w:tcBorders>
              <w:top w:val="nil"/>
              <w:left w:val="nil"/>
              <w:bottom w:val="nil"/>
              <w:right w:val="nil"/>
            </w:tcBorders>
            <w:shd w:val="clear" w:color="auto" w:fill="auto"/>
            <w:vAlign w:val="bottom"/>
            <w:hideMark/>
          </w:tcPr>
          <w:p w:rsidR="00112011" w:rsidRPr="00B54A75" w:rsidRDefault="00A85A6A" w:rsidP="001E46D5">
            <w:pPr>
              <w:spacing w:after="0" w:line="240" w:lineRule="auto"/>
              <w:rPr>
                <w:rFonts w:ascii="Calibri" w:eastAsia="Times New Roman" w:hAnsi="Calibri" w:cs="Calibri"/>
                <w:color w:val="000000"/>
                <w:sz w:val="20"/>
                <w:szCs w:val="20"/>
                <w:lang w:eastAsia="en-AU"/>
              </w:rPr>
            </w:pPr>
            <w:proofErr w:type="spellStart"/>
            <w:r w:rsidRPr="00B54A75">
              <w:rPr>
                <w:rFonts w:ascii="Calibri" w:eastAsia="Times New Roman" w:hAnsi="Calibri" w:cs="Calibri"/>
                <w:color w:val="000000"/>
                <w:sz w:val="20"/>
                <w:szCs w:val="20"/>
                <w:lang w:eastAsia="en-AU"/>
              </w:rPr>
              <w:t>Walhovd</w:t>
            </w:r>
            <w:proofErr w:type="spellEnd"/>
            <w:r w:rsidRPr="00B54A75">
              <w:rPr>
                <w:rFonts w:ascii="Calibri" w:eastAsia="Times New Roman" w:hAnsi="Calibri" w:cs="Calibri"/>
                <w:color w:val="000000"/>
                <w:sz w:val="20"/>
                <w:szCs w:val="20"/>
                <w:lang w:eastAsia="en-AU"/>
              </w:rPr>
              <w:t xml:space="preserve"> et al.</w:t>
            </w:r>
            <w:r w:rsidR="0090349C" w:rsidRPr="00B54A75">
              <w:rPr>
                <w:rFonts w:ascii="Calibri" w:eastAsia="Times New Roman" w:hAnsi="Calibri" w:cs="Calibri"/>
                <w:color w:val="000000"/>
                <w:sz w:val="20"/>
                <w:szCs w:val="20"/>
                <w:lang w:eastAsia="en-AU"/>
              </w:rPr>
              <w:fldChar w:fldCharType="begin" w:fldLock="1"/>
            </w:r>
            <w:r w:rsidR="00C73D5C">
              <w:rPr>
                <w:rFonts w:ascii="Calibri" w:eastAsia="Times New Roman" w:hAnsi="Calibri" w:cs="Calibri"/>
                <w:color w:val="000000"/>
                <w:sz w:val="20"/>
                <w:szCs w:val="20"/>
                <w:lang w:eastAsia="en-AU"/>
              </w:rPr>
              <w:instrText>ADDIN CSL_CITATION { "citationItems" : [ { "id" : "ITEM-1", "itemData" : { "DOI" : "10.1016/j.neurobiolaging.2013.11.011", "ISSN" : "1558-1497", "PMID" : "24332985", "abstract" : "We hypothesized that higher levels of omega-3 fatty acids, vitamin D, and physical activity relate to cortical sparing, whereas higher levels of cholesterol, systolic blood pressure, and body mass index (BMI) relate to increased atrophy in the adult lifespan. Longitudinal measures of cortical thickness were derived from magnetic resonance imaging scans acquired (mean interval 3.6 years) from 203 healthy persons aged 23-87 years. At follow-up, measures of BMI, blood pressure, and physical activity were obtained. Blood levels of docosahexaenoic acid, eicosapentaenoic acid, vitamin D, and cholesterol were measured in a subsample (n = 92). Effects were tested in cortical surface-based analyses, with sex, age, follow-up interval, and the interactions between each included as covariates. Higher levels of docosahexaenoic acid, vitamin D, and physical activity related to cortical sparing. Higher cholesterol and BMI related to increased cortical thinning. Effects were independent, did not interact with age, and the cholesterol effect was restricted to males. Eicosapentaenoic acid and blood pressure showed no effects. The observed effects show promise for potential factors to reduce cortical atrophy in normal aging.", "author" : [ { "dropping-particle" : "", "family" : "Walhovd", "given" : "Kristine B", "non-dropping-particle" : "", "parse-names" : false, "suffix" : "" }, { "dropping-particle" : "", "family" : "Storsve", "given" : "Andreas B", "non-dropping-particle" : "", "parse-names" : false, "suffix" : "" }, { "dropping-particle" : "", "family" : "Westlye", "given" : "Lars T", "non-dropping-particle" : "", "parse-names" : false, "suffix" : "" }, { "dropping-particle" : "", "family" : "Drevon", "given" : "Christian a", "non-dropping-particle" : "", "parse-names" : false, "suffix" : "" }, { "dropping-particle" : "", "family" : "Fjell", "given" : "Anders M", "non-dropping-particle" : "", "parse-names" : false, "suffix" : "" } ], "container-title" : "Neurobiology of Aging", "id" : "ITEM-1", "issued" : { "date-parts" : [ [ "2014", "5" ] ] }, "page" : "1055-1064", "publisher" : "Elsevier Ltd", "title" : "Blood markers of fatty acids and vitamin D, cardiovascular measures, body mass index, and physical activity relate to longitudinal cortical thinning in normal aging", "type" : "article-journal", "volume" : "35" }, "uris" : [ "http://www.mendeley.com/documents/?uuid=ffff246d-fb29-4950-b966-c2737753d108" ] } ], "mendeley" : { "formattedCitation" : "&lt;sup&gt;(28)&lt;/sup&gt;", "plainTextFormattedCitation" : "(28)", "previouslyFormattedCitation" : "&lt;sup&gt;(28)&lt;/sup&gt;" }, "properties" : { "noteIndex" : 0 }, "schema" : "https://github.com/citation-style-language/schema/raw/master/csl-citation.json" }</w:instrText>
            </w:r>
            <w:r w:rsidR="0090349C" w:rsidRPr="00B54A75">
              <w:rPr>
                <w:rFonts w:ascii="Calibri" w:eastAsia="Times New Roman" w:hAnsi="Calibri" w:cs="Calibri"/>
                <w:color w:val="000000"/>
                <w:sz w:val="20"/>
                <w:szCs w:val="20"/>
                <w:lang w:eastAsia="en-AU"/>
              </w:rPr>
              <w:fldChar w:fldCharType="separate"/>
            </w:r>
            <w:r w:rsidR="00B54A75" w:rsidRPr="00B54A75">
              <w:rPr>
                <w:rFonts w:ascii="Calibri" w:eastAsia="Times New Roman" w:hAnsi="Calibri" w:cs="Calibri"/>
                <w:noProof/>
                <w:color w:val="000000"/>
                <w:sz w:val="20"/>
                <w:szCs w:val="20"/>
                <w:vertAlign w:val="superscript"/>
                <w:lang w:eastAsia="en-AU"/>
              </w:rPr>
              <w:t>(28)</w:t>
            </w:r>
            <w:r w:rsidR="0090349C" w:rsidRPr="00B54A75">
              <w:rPr>
                <w:rFonts w:ascii="Calibri" w:eastAsia="Times New Roman" w:hAnsi="Calibri" w:cs="Calibri"/>
                <w:color w:val="000000"/>
                <w:sz w:val="20"/>
                <w:szCs w:val="20"/>
                <w:lang w:eastAsia="en-AU"/>
              </w:rPr>
              <w:fldChar w:fldCharType="end"/>
            </w:r>
          </w:p>
        </w:tc>
        <w:tc>
          <w:tcPr>
            <w:tcW w:w="1049"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VIT-D</w:t>
            </w:r>
          </w:p>
        </w:tc>
        <w:tc>
          <w:tcPr>
            <w:tcW w:w="1082"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H</w:t>
            </w:r>
          </w:p>
        </w:tc>
        <w:tc>
          <w:tcPr>
            <w:tcW w:w="1274"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92</w:t>
            </w:r>
          </w:p>
        </w:tc>
        <w:tc>
          <w:tcPr>
            <w:tcW w:w="1328"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44.40 - 86.30</w:t>
            </w:r>
          </w:p>
        </w:tc>
        <w:tc>
          <w:tcPr>
            <w:tcW w:w="1418"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63.30</w:t>
            </w:r>
          </w:p>
        </w:tc>
        <w:tc>
          <w:tcPr>
            <w:tcW w:w="1417"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8.70</w:t>
            </w:r>
          </w:p>
        </w:tc>
        <w:tc>
          <w:tcPr>
            <w:tcW w:w="5760" w:type="dxa"/>
            <w:tcBorders>
              <w:top w:val="nil"/>
              <w:left w:val="nil"/>
              <w:bottom w:val="nil"/>
              <w:right w:val="nil"/>
            </w:tcBorders>
            <w:shd w:val="clear" w:color="auto" w:fill="auto"/>
            <w:vAlign w:val="bottom"/>
            <w:hideMark/>
          </w:tcPr>
          <w:p w:rsidR="00112011" w:rsidRPr="00B54A75" w:rsidRDefault="00112011" w:rsidP="008A7ACA">
            <w:pPr>
              <w:spacing w:after="0" w:line="240" w:lineRule="auto"/>
              <w:rPr>
                <w:rFonts w:ascii="Calibri" w:eastAsia="Times New Roman" w:hAnsi="Calibri" w:cs="Calibri"/>
                <w:b/>
                <w:bCs/>
                <w:color w:val="000000"/>
                <w:sz w:val="20"/>
                <w:szCs w:val="20"/>
                <w:lang w:eastAsia="en-AU"/>
              </w:rPr>
            </w:pPr>
            <w:r w:rsidRPr="00B54A75">
              <w:rPr>
                <w:rFonts w:ascii="Calibri" w:eastAsia="Times New Roman" w:hAnsi="Calibri" w:cs="Calibri"/>
                <w:b/>
                <w:bCs/>
                <w:iCs/>
                <w:color w:val="000000"/>
                <w:sz w:val="20"/>
                <w:szCs w:val="20"/>
                <w:lang w:eastAsia="en-AU"/>
              </w:rPr>
              <w:t>Longitudinal</w:t>
            </w:r>
            <w:r w:rsidRPr="00B54A75">
              <w:rPr>
                <w:rFonts w:ascii="Calibri" w:eastAsia="Times New Roman" w:hAnsi="Calibri" w:cs="Calibri"/>
                <w:b/>
                <w:bCs/>
                <w:color w:val="000000"/>
                <w:sz w:val="20"/>
                <w:szCs w:val="20"/>
                <w:lang w:eastAsia="en-AU"/>
              </w:rPr>
              <w:t xml:space="preserve"> (MRI; 2 years)</w:t>
            </w:r>
            <w:r w:rsidRPr="00B54A75">
              <w:rPr>
                <w:rFonts w:ascii="Calibri" w:eastAsia="Times New Roman" w:hAnsi="Calibri" w:cs="Calibri"/>
                <w:color w:val="000000"/>
                <w:sz w:val="20"/>
                <w:szCs w:val="20"/>
                <w:lang w:eastAsia="en-AU"/>
              </w:rPr>
              <w:br/>
            </w:r>
            <w:r w:rsidRPr="00B54A75">
              <w:rPr>
                <w:rFonts w:ascii="Calibri" w:eastAsia="Times New Roman" w:hAnsi="Calibri" w:cs="Calibri"/>
                <w:color w:val="000000"/>
                <w:sz w:val="20"/>
                <w:szCs w:val="20"/>
                <w:u w:val="single"/>
                <w:lang w:eastAsia="en-AU"/>
              </w:rPr>
              <w:t xml:space="preserve">↑ </w:t>
            </w:r>
            <w:r w:rsidR="008A7ACA" w:rsidRPr="00B54A75">
              <w:rPr>
                <w:rFonts w:ascii="Calibri" w:eastAsia="Times New Roman" w:hAnsi="Calibri" w:cs="Calibri"/>
                <w:color w:val="000000"/>
                <w:sz w:val="20"/>
                <w:szCs w:val="20"/>
                <w:u w:val="single"/>
                <w:lang w:eastAsia="en-AU"/>
              </w:rPr>
              <w:t>VIT-D</w:t>
            </w:r>
            <w:r w:rsidRPr="00B54A75">
              <w:rPr>
                <w:rFonts w:ascii="Calibri" w:eastAsia="Times New Roman" w:hAnsi="Calibri" w:cs="Calibri"/>
                <w:color w:val="000000"/>
                <w:sz w:val="20"/>
                <w:szCs w:val="20"/>
                <w:u w:val="single"/>
                <w:lang w:eastAsia="en-AU"/>
              </w:rPr>
              <w:t xml:space="preserve"> levels</w:t>
            </w:r>
            <w:r w:rsidRPr="00B54A75">
              <w:rPr>
                <w:rFonts w:ascii="Calibri" w:eastAsia="Times New Roman" w:hAnsi="Calibri" w:cs="Calibri"/>
                <w:color w:val="000000"/>
                <w:sz w:val="20"/>
                <w:szCs w:val="20"/>
                <w:lang w:eastAsia="en-AU"/>
              </w:rPr>
              <w:t xml:space="preserve"> were associated with:</w:t>
            </w:r>
            <w:r w:rsidRPr="00B54A75">
              <w:rPr>
                <w:rFonts w:ascii="Calibri" w:eastAsia="Times New Roman" w:hAnsi="Calibri" w:cs="Calibri"/>
                <w:color w:val="000000"/>
                <w:sz w:val="20"/>
                <w:szCs w:val="20"/>
                <w:lang w:eastAsia="en-AU"/>
              </w:rPr>
              <w:br/>
              <w:t xml:space="preserve">           ↓ C-thin within </w:t>
            </w:r>
            <w:proofErr w:type="spellStart"/>
            <w:r w:rsidRPr="00B54A75">
              <w:rPr>
                <w:rFonts w:ascii="Calibri" w:eastAsia="Times New Roman" w:hAnsi="Calibri" w:cs="Calibri"/>
                <w:color w:val="000000"/>
                <w:sz w:val="20"/>
                <w:szCs w:val="20"/>
                <w:lang w:eastAsia="en-AU"/>
              </w:rPr>
              <w:t>rLPFC</w:t>
            </w:r>
            <w:proofErr w:type="spellEnd"/>
          </w:p>
        </w:tc>
      </w:tr>
      <w:tr w:rsidR="009321E8" w:rsidRPr="00B54A75" w:rsidTr="00222F25">
        <w:trPr>
          <w:trHeight w:val="360"/>
        </w:trPr>
        <w:tc>
          <w:tcPr>
            <w:tcW w:w="1840" w:type="dxa"/>
            <w:tcBorders>
              <w:top w:val="nil"/>
              <w:left w:val="nil"/>
              <w:bottom w:val="nil"/>
              <w:right w:val="nil"/>
            </w:tcBorders>
            <w:shd w:val="clear" w:color="auto" w:fill="auto"/>
            <w:noWrap/>
            <w:vAlign w:val="bottom"/>
            <w:hideMark/>
          </w:tcPr>
          <w:p w:rsidR="00112011" w:rsidRPr="00B54A75" w:rsidRDefault="00112011" w:rsidP="00112011">
            <w:pPr>
              <w:spacing w:after="0" w:line="240" w:lineRule="auto"/>
              <w:rPr>
                <w:rFonts w:ascii="Calibri" w:eastAsia="Times New Roman" w:hAnsi="Calibri" w:cs="Calibri"/>
                <w:b/>
                <w:bCs/>
                <w:iCs/>
                <w:color w:val="000000"/>
                <w:sz w:val="20"/>
                <w:szCs w:val="20"/>
                <w:lang w:eastAsia="en-AU"/>
              </w:rPr>
            </w:pPr>
            <w:r w:rsidRPr="00B54A75">
              <w:rPr>
                <w:rFonts w:ascii="Calibri" w:eastAsia="Times New Roman" w:hAnsi="Calibri" w:cs="Calibri"/>
                <w:b/>
                <w:bCs/>
                <w:iCs/>
                <w:color w:val="000000"/>
                <w:sz w:val="20"/>
                <w:szCs w:val="20"/>
                <w:lang w:eastAsia="en-AU"/>
              </w:rPr>
              <w:t>Nutrient Patterns</w:t>
            </w:r>
          </w:p>
        </w:tc>
        <w:tc>
          <w:tcPr>
            <w:tcW w:w="1049"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b/>
                <w:bCs/>
                <w:iCs/>
                <w:color w:val="000000"/>
                <w:sz w:val="20"/>
                <w:szCs w:val="20"/>
                <w:lang w:eastAsia="en-AU"/>
              </w:rPr>
            </w:pPr>
          </w:p>
        </w:tc>
        <w:tc>
          <w:tcPr>
            <w:tcW w:w="1082"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Times New Roman" w:eastAsia="Times New Roman" w:hAnsi="Times New Roman" w:cs="Times New Roman"/>
                <w:sz w:val="20"/>
                <w:szCs w:val="20"/>
                <w:lang w:eastAsia="en-AU"/>
              </w:rPr>
            </w:pPr>
          </w:p>
        </w:tc>
        <w:tc>
          <w:tcPr>
            <w:tcW w:w="1274"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Times New Roman" w:eastAsia="Times New Roman" w:hAnsi="Times New Roman" w:cs="Times New Roman"/>
                <w:sz w:val="20"/>
                <w:szCs w:val="20"/>
                <w:lang w:eastAsia="en-AU"/>
              </w:rPr>
            </w:pPr>
          </w:p>
        </w:tc>
        <w:tc>
          <w:tcPr>
            <w:tcW w:w="1328"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Times New Roman" w:eastAsia="Times New Roman" w:hAnsi="Times New Roman" w:cs="Times New Roman"/>
                <w:sz w:val="20"/>
                <w:szCs w:val="20"/>
                <w:lang w:eastAsia="en-AU"/>
              </w:rPr>
            </w:pPr>
          </w:p>
        </w:tc>
        <w:tc>
          <w:tcPr>
            <w:tcW w:w="1418"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Times New Roman" w:eastAsia="Times New Roman" w:hAnsi="Times New Roman" w:cs="Times New Roman"/>
                <w:sz w:val="20"/>
                <w:szCs w:val="20"/>
                <w:lang w:eastAsia="en-AU"/>
              </w:rPr>
            </w:pPr>
          </w:p>
        </w:tc>
        <w:tc>
          <w:tcPr>
            <w:tcW w:w="1417" w:type="dxa"/>
            <w:tcBorders>
              <w:top w:val="nil"/>
              <w:left w:val="nil"/>
              <w:bottom w:val="nil"/>
              <w:right w:val="nil"/>
            </w:tcBorders>
            <w:shd w:val="clear" w:color="auto" w:fill="auto"/>
            <w:noWrap/>
            <w:vAlign w:val="bottom"/>
            <w:hideMark/>
          </w:tcPr>
          <w:p w:rsidR="00112011" w:rsidRPr="00B54A75" w:rsidRDefault="00112011" w:rsidP="00112011">
            <w:pPr>
              <w:spacing w:after="0" w:line="240" w:lineRule="auto"/>
              <w:rPr>
                <w:rFonts w:ascii="Times New Roman" w:eastAsia="Times New Roman" w:hAnsi="Times New Roman" w:cs="Times New Roman"/>
                <w:sz w:val="20"/>
                <w:szCs w:val="20"/>
                <w:lang w:eastAsia="en-AU"/>
              </w:rPr>
            </w:pPr>
          </w:p>
        </w:tc>
        <w:tc>
          <w:tcPr>
            <w:tcW w:w="5760"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Times New Roman" w:eastAsia="Times New Roman" w:hAnsi="Times New Roman" w:cs="Times New Roman"/>
                <w:sz w:val="20"/>
                <w:szCs w:val="20"/>
                <w:lang w:eastAsia="en-AU"/>
              </w:rPr>
            </w:pPr>
          </w:p>
        </w:tc>
      </w:tr>
      <w:tr w:rsidR="008251F9" w:rsidRPr="00B54A75" w:rsidTr="00222F25">
        <w:trPr>
          <w:trHeight w:val="2100"/>
        </w:trPr>
        <w:tc>
          <w:tcPr>
            <w:tcW w:w="1840" w:type="dxa"/>
            <w:tcBorders>
              <w:top w:val="nil"/>
              <w:left w:val="nil"/>
              <w:bottom w:val="nil"/>
              <w:right w:val="nil"/>
            </w:tcBorders>
            <w:shd w:val="clear" w:color="000000" w:fill="D9D9D9"/>
            <w:vAlign w:val="bottom"/>
            <w:hideMark/>
          </w:tcPr>
          <w:p w:rsidR="00112011" w:rsidRPr="00B54A75" w:rsidRDefault="00A85A6A" w:rsidP="001E46D5">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Gu et al.</w:t>
            </w:r>
            <w:r w:rsidR="0090349C" w:rsidRPr="00B54A75">
              <w:rPr>
                <w:rFonts w:ascii="Calibri" w:eastAsia="Times New Roman" w:hAnsi="Calibri" w:cs="Calibri"/>
                <w:color w:val="000000"/>
                <w:sz w:val="20"/>
                <w:szCs w:val="20"/>
                <w:lang w:eastAsia="en-AU"/>
              </w:rPr>
              <w:fldChar w:fldCharType="begin" w:fldLock="1"/>
            </w:r>
            <w:r w:rsidR="00C73D5C">
              <w:rPr>
                <w:rFonts w:ascii="Calibri" w:eastAsia="Times New Roman" w:hAnsi="Calibri" w:cs="Calibri"/>
                <w:color w:val="000000"/>
                <w:sz w:val="20"/>
                <w:szCs w:val="20"/>
                <w:lang w:eastAsia="en-AU"/>
              </w:rPr>
              <w:instrText>ADDIN CSL_CITATION { "citationItems" : [ { "id" : "ITEM-1", "itemData" : { "DOI" : "10.1002/ana.24674", "author" : [ { "dropping-particle" : "", "family" : "Gu", "given" : "Yian", "non-dropping-particle" : "", "parse-names" : false, "suffix" : "" }, { "dropping-particle" : "", "family" : "Vorburger", "given" : "Robert S", "non-dropping-particle" : "", "parse-names" : false, "suffix" : "" }, { "dropping-particle" : "", "family" : "Gazes", "given" : "Yunglin", "non-dropping-particle" : "", "parse-names" : false, "suffix" : "" }, { "dropping-particle" : "", "family" : "Habeck", "given" : "Christian G", "non-dropping-particle" : "", "parse-names" : false, "suffix" : "" }, { "dropping-particle" : "", "family" : "Stern", "given" : "Yaakov", "non-dropping-particle" : "", "parse-names" : false, "suffix" : "" }, { "dropping-particle" : "", "family" : "Luchsinger", "given" : "A", "non-dropping-particle" : "", "parse-names" : false, "suffix" : "" }, { "dropping-particle" : "", "family" : "Manly", "given" : "Jennifer J", "non-dropping-particle" : "", "parse-names" : false, "suffix" : "" }, { "dropping-particle" : "", "family" : "Schupf", "given" : "Nicole", "non-dropping-particle" : "", "parse-names" : false, "suffix" : "" } ], "container-title" : "Annals of Neurology", "id" : "ITEM-1", "issued" : { "date-parts" : [ [ "2016" ] ] }, "page" : "1014-1025", "title" : "White Matter Integrity as a Mediator in the Relationship between Dietary Nutrients and Cognition in the Elderly", "type" : "article-journal", "volume" : "79" }, "uris" : [ "http://www.mendeley.com/documents/?uuid=406dcfe8-8be0-4bd5-83d9-5d25d9b72931" ] } ], "mendeley" : { "formattedCitation" : "&lt;sup&gt;(34)&lt;/sup&gt;", "plainTextFormattedCitation" : "(34)", "previouslyFormattedCitation" : "&lt;sup&gt;(34)&lt;/sup&gt;" }, "properties" : { "noteIndex" : 0 }, "schema" : "https://github.com/citation-style-language/schema/raw/master/csl-citation.json" }</w:instrText>
            </w:r>
            <w:r w:rsidR="0090349C" w:rsidRPr="00B54A75">
              <w:rPr>
                <w:rFonts w:ascii="Calibri" w:eastAsia="Times New Roman" w:hAnsi="Calibri" w:cs="Calibri"/>
                <w:color w:val="000000"/>
                <w:sz w:val="20"/>
                <w:szCs w:val="20"/>
                <w:lang w:eastAsia="en-AU"/>
              </w:rPr>
              <w:fldChar w:fldCharType="separate"/>
            </w:r>
            <w:r w:rsidR="00B54A75" w:rsidRPr="00B54A75">
              <w:rPr>
                <w:rFonts w:ascii="Calibri" w:eastAsia="Times New Roman" w:hAnsi="Calibri" w:cs="Calibri"/>
                <w:noProof/>
                <w:color w:val="000000"/>
                <w:sz w:val="20"/>
                <w:szCs w:val="20"/>
                <w:vertAlign w:val="superscript"/>
                <w:lang w:eastAsia="en-AU"/>
              </w:rPr>
              <w:t>(34)</w:t>
            </w:r>
            <w:r w:rsidR="0090349C" w:rsidRPr="00B54A75">
              <w:rPr>
                <w:rFonts w:ascii="Calibri" w:eastAsia="Times New Roman" w:hAnsi="Calibri" w:cs="Calibri"/>
                <w:color w:val="000000"/>
                <w:sz w:val="20"/>
                <w:szCs w:val="20"/>
                <w:lang w:eastAsia="en-AU"/>
              </w:rPr>
              <w:fldChar w:fldCharType="end"/>
            </w:r>
          </w:p>
        </w:tc>
        <w:tc>
          <w:tcPr>
            <w:tcW w:w="1049"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NP (FFQ)</w:t>
            </w:r>
          </w:p>
        </w:tc>
        <w:tc>
          <w:tcPr>
            <w:tcW w:w="1082"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Mixed</w:t>
            </w:r>
            <w:r w:rsidR="00BD13B8" w:rsidRPr="00B54A75">
              <w:rPr>
                <w:rFonts w:cstheme="minorHAnsi"/>
                <w:b/>
              </w:rPr>
              <w:t>**</w:t>
            </w:r>
          </w:p>
        </w:tc>
        <w:tc>
          <w:tcPr>
            <w:tcW w:w="1274"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239</w:t>
            </w:r>
          </w:p>
        </w:tc>
        <w:tc>
          <w:tcPr>
            <w:tcW w:w="1328"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≥65.0</w:t>
            </w:r>
          </w:p>
        </w:tc>
        <w:tc>
          <w:tcPr>
            <w:tcW w:w="1418"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84.10</w:t>
            </w:r>
          </w:p>
        </w:tc>
        <w:tc>
          <w:tcPr>
            <w:tcW w:w="1417"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5.10</w:t>
            </w:r>
          </w:p>
        </w:tc>
        <w:tc>
          <w:tcPr>
            <w:tcW w:w="5760"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b/>
                <w:bCs/>
                <w:iCs/>
                <w:color w:val="000000"/>
                <w:sz w:val="20"/>
                <w:szCs w:val="20"/>
                <w:lang w:eastAsia="en-AU"/>
              </w:rPr>
              <w:t>Cross sectional (MRI)</w:t>
            </w:r>
            <w:r w:rsidRPr="00B54A75">
              <w:rPr>
                <w:rFonts w:ascii="Calibri" w:eastAsia="Times New Roman" w:hAnsi="Calibri" w:cs="Calibri"/>
                <w:color w:val="000000"/>
                <w:sz w:val="20"/>
                <w:szCs w:val="20"/>
                <w:lang w:eastAsia="en-AU"/>
              </w:rPr>
              <w:br/>
            </w:r>
            <w:r w:rsidR="008A7ACA" w:rsidRPr="00B54A75">
              <w:rPr>
                <w:rFonts w:ascii="Calibri" w:eastAsia="Times New Roman" w:hAnsi="Calibri" w:cs="Calibri"/>
                <w:color w:val="000000"/>
                <w:sz w:val="20"/>
                <w:szCs w:val="20"/>
                <w:u w:val="single"/>
                <w:lang w:eastAsia="en-AU"/>
              </w:rPr>
              <w:t>↑NP (ω3-FA, ω6-FA, &amp; VIT-</w:t>
            </w:r>
            <w:r w:rsidRPr="00B54A75">
              <w:rPr>
                <w:rFonts w:ascii="Calibri" w:eastAsia="Times New Roman" w:hAnsi="Calibri" w:cs="Calibri"/>
                <w:color w:val="000000"/>
                <w:sz w:val="20"/>
                <w:szCs w:val="20"/>
                <w:u w:val="single"/>
                <w:lang w:eastAsia="en-AU"/>
              </w:rPr>
              <w:t>E</w:t>
            </w:r>
            <w:r w:rsidRPr="00B54A75">
              <w:rPr>
                <w:rFonts w:ascii="Calibri" w:eastAsia="Times New Roman" w:hAnsi="Calibri" w:cs="Calibri"/>
                <w:color w:val="000000"/>
                <w:sz w:val="20"/>
                <w:szCs w:val="20"/>
                <w:lang w:eastAsia="en-AU"/>
              </w:rPr>
              <w:t>) score was associated with:</w:t>
            </w:r>
            <w:r w:rsidRPr="00B54A75">
              <w:rPr>
                <w:rFonts w:ascii="Calibri" w:eastAsia="Times New Roman" w:hAnsi="Calibri" w:cs="Calibri"/>
                <w:color w:val="000000"/>
                <w:sz w:val="20"/>
                <w:szCs w:val="20"/>
                <w:lang w:eastAsia="en-AU"/>
              </w:rPr>
              <w:br/>
              <w:t xml:space="preserve">           ↑ Mean cerebral WM microstructure</w:t>
            </w:r>
            <w:r w:rsidRPr="00B54A75">
              <w:rPr>
                <w:rFonts w:ascii="Calibri" w:eastAsia="Times New Roman" w:hAnsi="Calibri" w:cs="Calibri"/>
                <w:color w:val="000000"/>
                <w:sz w:val="20"/>
                <w:szCs w:val="20"/>
                <w:lang w:eastAsia="en-AU"/>
              </w:rPr>
              <w:br/>
              <w:t>Only es</w:t>
            </w:r>
            <w:r w:rsidR="00AC73C6" w:rsidRPr="00B54A75">
              <w:rPr>
                <w:rFonts w:ascii="Calibri" w:eastAsia="Times New Roman" w:hAnsi="Calibri" w:cs="Calibri"/>
                <w:color w:val="000000"/>
                <w:sz w:val="20"/>
                <w:szCs w:val="20"/>
                <w:lang w:eastAsia="en-AU"/>
              </w:rPr>
              <w:t>timated intake of ω3-FA or VIT-</w:t>
            </w:r>
            <w:r w:rsidRPr="00B54A75">
              <w:rPr>
                <w:rFonts w:ascii="Calibri" w:eastAsia="Times New Roman" w:hAnsi="Calibri" w:cs="Calibri"/>
                <w:color w:val="000000"/>
                <w:sz w:val="20"/>
                <w:szCs w:val="20"/>
                <w:lang w:eastAsia="en-AU"/>
              </w:rPr>
              <w:t>E, was associated with:</w:t>
            </w:r>
            <w:r w:rsidRPr="00B54A75">
              <w:rPr>
                <w:rFonts w:ascii="Calibri" w:eastAsia="Times New Roman" w:hAnsi="Calibri" w:cs="Calibri"/>
                <w:color w:val="000000"/>
                <w:sz w:val="20"/>
                <w:szCs w:val="20"/>
                <w:lang w:eastAsia="en-AU"/>
              </w:rPr>
              <w:br/>
              <w:t xml:space="preserve">           ↑ WM microstructural integrity</w:t>
            </w:r>
            <w:r w:rsidRPr="00B54A75">
              <w:rPr>
                <w:rFonts w:ascii="Calibri" w:eastAsia="Times New Roman" w:hAnsi="Calibri" w:cs="Calibri"/>
                <w:color w:val="000000"/>
                <w:sz w:val="20"/>
                <w:szCs w:val="20"/>
                <w:lang w:eastAsia="en-AU"/>
              </w:rPr>
              <w:br/>
            </w:r>
            <w:r w:rsidRPr="00B54A75">
              <w:rPr>
                <w:rFonts w:ascii="Calibri" w:eastAsia="Times New Roman" w:hAnsi="Calibri" w:cs="Calibri"/>
                <w:color w:val="000000"/>
                <w:sz w:val="20"/>
                <w:szCs w:val="20"/>
                <w:lang w:eastAsia="en-AU"/>
              </w:rPr>
              <w:br/>
              <w:t>After excluding dementia cases, NP (ω3-FA, ω6-FA, &amp; VIT-E) score or ω3-FA intake remained associated with WM microstructure</w:t>
            </w:r>
          </w:p>
        </w:tc>
      </w:tr>
      <w:tr w:rsidR="009321E8" w:rsidRPr="00B54A75" w:rsidTr="00222F25">
        <w:trPr>
          <w:trHeight w:val="2655"/>
        </w:trPr>
        <w:tc>
          <w:tcPr>
            <w:tcW w:w="1840" w:type="dxa"/>
            <w:tcBorders>
              <w:top w:val="nil"/>
              <w:left w:val="nil"/>
              <w:bottom w:val="nil"/>
              <w:right w:val="nil"/>
            </w:tcBorders>
            <w:shd w:val="clear" w:color="auto" w:fill="auto"/>
            <w:vAlign w:val="bottom"/>
            <w:hideMark/>
          </w:tcPr>
          <w:p w:rsidR="00112011" w:rsidRPr="00B54A75" w:rsidRDefault="00A85A6A" w:rsidP="001E46D5">
            <w:pPr>
              <w:spacing w:after="0" w:line="240" w:lineRule="auto"/>
              <w:rPr>
                <w:rFonts w:ascii="Calibri" w:eastAsia="Times New Roman" w:hAnsi="Calibri" w:cs="Calibri"/>
                <w:color w:val="000000"/>
                <w:sz w:val="20"/>
                <w:szCs w:val="20"/>
                <w:lang w:eastAsia="en-AU"/>
              </w:rPr>
            </w:pPr>
            <w:proofErr w:type="spellStart"/>
            <w:r w:rsidRPr="00B54A75">
              <w:rPr>
                <w:rFonts w:ascii="Calibri" w:eastAsia="Times New Roman" w:hAnsi="Calibri" w:cs="Calibri"/>
                <w:color w:val="000000"/>
                <w:sz w:val="20"/>
                <w:szCs w:val="20"/>
                <w:lang w:eastAsia="en-AU"/>
              </w:rPr>
              <w:lastRenderedPageBreak/>
              <w:t>Berti</w:t>
            </w:r>
            <w:proofErr w:type="spellEnd"/>
            <w:r w:rsidRPr="00B54A75">
              <w:rPr>
                <w:rFonts w:ascii="Calibri" w:eastAsia="Times New Roman" w:hAnsi="Calibri" w:cs="Calibri"/>
                <w:color w:val="000000"/>
                <w:sz w:val="20"/>
                <w:szCs w:val="20"/>
                <w:lang w:eastAsia="en-AU"/>
              </w:rPr>
              <w:t xml:space="preserve"> et al.</w:t>
            </w:r>
            <w:r w:rsidR="0090349C" w:rsidRPr="00B54A75">
              <w:rPr>
                <w:rFonts w:ascii="Calibri" w:eastAsia="Times New Roman" w:hAnsi="Calibri" w:cs="Calibri"/>
                <w:color w:val="000000"/>
                <w:sz w:val="20"/>
                <w:szCs w:val="20"/>
                <w:lang w:eastAsia="en-AU"/>
              </w:rPr>
              <w:fldChar w:fldCharType="begin" w:fldLock="1"/>
            </w:r>
            <w:r w:rsidR="00C73D5C">
              <w:rPr>
                <w:rFonts w:ascii="Calibri" w:eastAsia="Times New Roman" w:hAnsi="Calibri" w:cs="Calibri"/>
                <w:color w:val="000000"/>
                <w:sz w:val="20"/>
                <w:szCs w:val="20"/>
                <w:lang w:eastAsia="en-AU"/>
              </w:rPr>
              <w:instrText>ADDIN CSL_CITATION { "citationItems" : [ { "id" : "ITEM-1", "itemData" : { "DOI" : "10.1007/s12603-014-0534-0", "ISSN" : "1760-4788", "PMID" : "25809805", "abstract" : "OBJECTIVES: Epidemiological evidence linking diet, one of the most important modifiable lifestyle factors, and risk of Alzheimer's disease (AD) is rapidly increasing. However, there is little or no evidence for a direct association between dietary nutrients and brain biomarkers of AD. This study identifies nutrient patterns associated with major brain AD biomarkers in a cohort of clinically and cognitively normal (NL) individuals at risk for AD. DESIGN: Cross-sectional study. SETTING: Manhattan (broader area). PARTICIPANTS: Fifty-two NL individuals (age 54+12 y, 70% women, Clinical Dementia Rating=0, MMSE&gt;27, neuropsychological test performance within norms by age and education) with complete dietary information and cross-sectional, 3D T1-weighted Magnetic Resonance Imaging (MRI; gray matter volumes, GMV, a marker of brain atrophy), 11C-Pittsburgh compound-B (PiB; a marker of fibrillar amyloid-\u03b2, A\u03b2) and 18F-fluorodeoxyglucose (FDG; a marker of glucose metabolism, METglc) Positron Emission Tomography (PET) scans were examined. MEASUREMENTS: Dietary intake of 35 nutrients associated with cognitive function and AD was assessed using the Harvard/Willet Food Frequency Questionnaire. Principal component analysis was used to generate nutrient patterns (NP) from the full nutrient panel. Statistical parametric mapping and voxel based morphometry were used to assess the associations of the identified NPs with AD biomarkers. RESULTS: None of the participants were diabetics, smokers, or met criteria for obesity. Five NPs were identified: NP1 was characterized by most B-vitamins and several minerals [VitB and Minerals]; NP2 by monounsaturated and polyunsaturated fats, including \u03c9-3 and \u03c9-6 PUFA, and vitamin E [VitE and PUFA]; NP3 by vitamin A, vitamin C, carotenoids and dietary fibers [Anti-oxidants and Fibers]; NP4 by vitamin B12, vitamin D and zinc [VitB12 and D]; NP5 by saturated, trans-saturated fats, cholesterol and sodium [Fats]. Voxel-based analysis showed that NP4 scores [VitB12 and D] were positively associated with METglc and GMV, and negatively associated with PiB retention in AD-vulnerable regions (p&lt;0.001). In addition, both METglc and GMV were positively associated with NP2 scores [VitE and PUFA], and negatively associated with NP5 scores [Fats] (p&lt;0.001), and METglc was positively associated with higher NP3 scores [Anti-oxidants and Fibers] (p&lt;0.001). Adjusting for age, gender, ethnicity, education, caloric intake, BMI, alcohol consumption, family hi\u2026", "author" : [ { "dropping-particle" : "", "family" : "Berti", "given" : "V", "non-dropping-particle" : "", "parse-names" : false, "suffix" : "" }, { "dropping-particle" : "", "family" : "Murray", "given" : "J", "non-dropping-particle" : "", "parse-names" : false, "suffix" : "" }, { "dropping-particle" : "", "family" : "Davies", "given" : "M", "non-dropping-particle" : "", "parse-names" : false, "suffix" : "" }, { "dropping-particle" : "", "family" : "Spector", "given" : "N", "non-dropping-particle" : "", "parse-names" : false, "suffix" : "" }, { "dropping-particle" : "", "family" : "Tsui", "given" : "W H", "non-dropping-particle" : "", "parse-names" : false, "suffix" : "" }, { "dropping-particle" : "", "family" : "Li", "given" : "Y", "non-dropping-particle" : "", "parse-names" : false, "suffix" : "" }, { "dropping-particle" : "", "family" : "Williams", "given" : "S", "non-dropping-particle" : "", "parse-names" : false, "suffix" : "" }, { "dropping-particle" : "", "family" : "Pirraglia", "given" : "E", "non-dropping-particle" : "", "parse-names" : false, "suffix" : "" }, { "dropping-particle" : "", "family" : "Vallabhajosula", "given" : "S", "non-dropping-particle" : "", "parse-names" : false, "suffix" : "" }, { "dropping-particle" : "", "family" : "McHugh", "given" : "P", "non-dropping-particle" : "", "parse-names" : false, "suffix" : "" }, { "dropping-particle" : "", "family" : "Pupi", "given" : "A", "non-dropping-particle" : "", "parse-names" : false, "suffix" : "" }, { "dropping-particle" : "", "family" : "Leon", "given" : "M J", "non-dropping-particle" : "de", "parse-names" : false, "suffix" : "" }, { "dropping-particle" : "", "family" : "Mosconi", "given" : "L", "non-dropping-particle" : "", "parse-names" : false, "suffix" : "" } ], "container-title" : "The Journal of Nutrition, Health &amp; Aging", "id" : "ITEM-1", "issued" : { "date-parts" : [ [ "2015", "4" ] ] }, "page" : "413-423", "title" : "Nutrient patterns and brain biomarkers of Alzheimer's disease in cognitively normal individuals", "type" : "article-journal", "volume" : "19" }, "uris" : [ "http://www.mendeley.com/documents/?uuid=6ac8ffe6-b5f4-4b78-b6ab-504721fd947b" ] } ], "mendeley" : { "formattedCitation" : "&lt;sup&gt;(35)&lt;/sup&gt;", "plainTextFormattedCitation" : "(35)", "previouslyFormattedCitation" : "&lt;sup&gt;(35)&lt;/sup&gt;" }, "properties" : { "noteIndex" : 0 }, "schema" : "https://github.com/citation-style-language/schema/raw/master/csl-citation.json" }</w:instrText>
            </w:r>
            <w:r w:rsidR="0090349C" w:rsidRPr="00B54A75">
              <w:rPr>
                <w:rFonts w:ascii="Calibri" w:eastAsia="Times New Roman" w:hAnsi="Calibri" w:cs="Calibri"/>
                <w:color w:val="000000"/>
                <w:sz w:val="20"/>
                <w:szCs w:val="20"/>
                <w:lang w:eastAsia="en-AU"/>
              </w:rPr>
              <w:fldChar w:fldCharType="separate"/>
            </w:r>
            <w:r w:rsidR="00B54A75" w:rsidRPr="00B54A75">
              <w:rPr>
                <w:rFonts w:ascii="Calibri" w:eastAsia="Times New Roman" w:hAnsi="Calibri" w:cs="Calibri"/>
                <w:noProof/>
                <w:color w:val="000000"/>
                <w:sz w:val="20"/>
                <w:szCs w:val="20"/>
                <w:vertAlign w:val="superscript"/>
                <w:lang w:eastAsia="en-AU"/>
              </w:rPr>
              <w:t>(35)</w:t>
            </w:r>
            <w:r w:rsidR="0090349C" w:rsidRPr="00B54A75">
              <w:rPr>
                <w:rFonts w:ascii="Calibri" w:eastAsia="Times New Roman" w:hAnsi="Calibri" w:cs="Calibri"/>
                <w:color w:val="000000"/>
                <w:sz w:val="20"/>
                <w:szCs w:val="20"/>
                <w:lang w:eastAsia="en-AU"/>
              </w:rPr>
              <w:fldChar w:fldCharType="end"/>
            </w:r>
          </w:p>
        </w:tc>
        <w:tc>
          <w:tcPr>
            <w:tcW w:w="1049"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NP (FFQ)</w:t>
            </w:r>
          </w:p>
        </w:tc>
        <w:tc>
          <w:tcPr>
            <w:tcW w:w="1082"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CN</w:t>
            </w:r>
          </w:p>
        </w:tc>
        <w:tc>
          <w:tcPr>
            <w:tcW w:w="1274"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52</w:t>
            </w:r>
          </w:p>
        </w:tc>
        <w:tc>
          <w:tcPr>
            <w:tcW w:w="1328"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25.0 - 72.0</w:t>
            </w:r>
          </w:p>
        </w:tc>
        <w:tc>
          <w:tcPr>
            <w:tcW w:w="1418"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54.0</w:t>
            </w:r>
          </w:p>
        </w:tc>
        <w:tc>
          <w:tcPr>
            <w:tcW w:w="1417"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11.0</w:t>
            </w:r>
          </w:p>
        </w:tc>
        <w:tc>
          <w:tcPr>
            <w:tcW w:w="5760"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b/>
                <w:bCs/>
                <w:iCs/>
                <w:color w:val="000000"/>
                <w:sz w:val="20"/>
                <w:szCs w:val="20"/>
                <w:lang w:eastAsia="en-AU"/>
              </w:rPr>
              <w:t>Cross sectional (MRI)</w:t>
            </w:r>
            <w:r w:rsidRPr="00B54A75">
              <w:rPr>
                <w:rFonts w:ascii="Calibri" w:eastAsia="Times New Roman" w:hAnsi="Calibri" w:cs="Calibri"/>
                <w:color w:val="000000"/>
                <w:sz w:val="20"/>
                <w:szCs w:val="20"/>
                <w:lang w:eastAsia="en-AU"/>
              </w:rPr>
              <w:br/>
              <w:t>Of the 5 NP identified (3 associated with cerebral structure)</w:t>
            </w:r>
            <w:r w:rsidRPr="00B54A75">
              <w:rPr>
                <w:rFonts w:ascii="Calibri" w:eastAsia="Times New Roman" w:hAnsi="Calibri" w:cs="Calibri"/>
                <w:color w:val="000000"/>
                <w:sz w:val="20"/>
                <w:szCs w:val="20"/>
                <w:lang w:eastAsia="en-AU"/>
              </w:rPr>
              <w:br/>
            </w:r>
            <w:r w:rsidRPr="00B54A75">
              <w:rPr>
                <w:rFonts w:ascii="Calibri" w:eastAsia="Times New Roman" w:hAnsi="Calibri" w:cs="Calibri"/>
                <w:color w:val="000000"/>
                <w:sz w:val="20"/>
                <w:szCs w:val="20"/>
                <w:lang w:eastAsia="en-AU"/>
              </w:rPr>
              <w:br/>
            </w:r>
            <w:r w:rsidR="00AC73C6" w:rsidRPr="00B54A75">
              <w:rPr>
                <w:rFonts w:ascii="Calibri" w:eastAsia="Times New Roman" w:hAnsi="Calibri" w:cs="Calibri"/>
                <w:color w:val="000000"/>
                <w:sz w:val="20"/>
                <w:szCs w:val="20"/>
                <w:u w:val="single"/>
                <w:lang w:eastAsia="en-AU"/>
              </w:rPr>
              <w:t>↑ NP-1 (VIT-</w:t>
            </w:r>
            <w:r w:rsidRPr="00B54A75">
              <w:rPr>
                <w:rFonts w:ascii="Calibri" w:eastAsia="Times New Roman" w:hAnsi="Calibri" w:cs="Calibri"/>
                <w:color w:val="000000"/>
                <w:sz w:val="20"/>
                <w:szCs w:val="20"/>
                <w:u w:val="single"/>
                <w:lang w:eastAsia="en-AU"/>
              </w:rPr>
              <w:t>B</w:t>
            </w:r>
            <w:r w:rsidRPr="00B54A75">
              <w:rPr>
                <w:rFonts w:ascii="Calibri" w:eastAsia="Times New Roman" w:hAnsi="Calibri" w:cs="Calibri"/>
                <w:color w:val="000000"/>
                <w:sz w:val="20"/>
                <w:szCs w:val="20"/>
                <w:u w:val="single"/>
                <w:vertAlign w:val="subscript"/>
                <w:lang w:eastAsia="en-AU"/>
              </w:rPr>
              <w:t>1</w:t>
            </w:r>
            <w:r w:rsidRPr="00B54A75">
              <w:rPr>
                <w:rFonts w:ascii="Calibri" w:eastAsia="Times New Roman" w:hAnsi="Calibri" w:cs="Calibri"/>
                <w:color w:val="000000"/>
                <w:sz w:val="20"/>
                <w:szCs w:val="20"/>
                <w:u w:val="single"/>
                <w:lang w:eastAsia="en-AU"/>
              </w:rPr>
              <w:t xml:space="preserve">, </w:t>
            </w:r>
            <w:r w:rsidR="00B14009">
              <w:rPr>
                <w:rFonts w:ascii="Calibri" w:eastAsia="Times New Roman" w:hAnsi="Calibri" w:cs="Calibri"/>
                <w:color w:val="000000"/>
                <w:sz w:val="20"/>
                <w:szCs w:val="20"/>
                <w:u w:val="single"/>
                <w:lang w:eastAsia="en-AU"/>
              </w:rPr>
              <w:t>VIT-</w:t>
            </w:r>
            <w:r w:rsidRPr="00B54A75">
              <w:rPr>
                <w:rFonts w:ascii="Calibri" w:eastAsia="Times New Roman" w:hAnsi="Calibri" w:cs="Calibri"/>
                <w:color w:val="000000"/>
                <w:sz w:val="20"/>
                <w:szCs w:val="20"/>
                <w:u w:val="single"/>
                <w:lang w:eastAsia="en-AU"/>
              </w:rPr>
              <w:t>B</w:t>
            </w:r>
            <w:r w:rsidRPr="00B54A75">
              <w:rPr>
                <w:rFonts w:ascii="Calibri" w:eastAsia="Times New Roman" w:hAnsi="Calibri" w:cs="Calibri"/>
                <w:color w:val="000000"/>
                <w:sz w:val="20"/>
                <w:szCs w:val="20"/>
                <w:u w:val="single"/>
                <w:vertAlign w:val="subscript"/>
                <w:lang w:eastAsia="en-AU"/>
              </w:rPr>
              <w:t>2</w:t>
            </w:r>
            <w:r w:rsidRPr="00B54A75">
              <w:rPr>
                <w:rFonts w:ascii="Calibri" w:eastAsia="Times New Roman" w:hAnsi="Calibri" w:cs="Calibri"/>
                <w:color w:val="000000"/>
                <w:sz w:val="20"/>
                <w:szCs w:val="20"/>
                <w:u w:val="single"/>
                <w:lang w:eastAsia="en-AU"/>
              </w:rPr>
              <w:t xml:space="preserve">, </w:t>
            </w:r>
            <w:r w:rsidR="00B14009">
              <w:rPr>
                <w:rFonts w:ascii="Calibri" w:eastAsia="Times New Roman" w:hAnsi="Calibri" w:cs="Calibri"/>
                <w:color w:val="000000"/>
                <w:sz w:val="20"/>
                <w:szCs w:val="20"/>
                <w:u w:val="single"/>
                <w:lang w:eastAsia="en-AU"/>
              </w:rPr>
              <w:t>VIT-</w:t>
            </w:r>
            <w:r w:rsidRPr="00B54A75">
              <w:rPr>
                <w:rFonts w:ascii="Calibri" w:eastAsia="Times New Roman" w:hAnsi="Calibri" w:cs="Calibri"/>
                <w:color w:val="000000"/>
                <w:sz w:val="20"/>
                <w:szCs w:val="20"/>
                <w:u w:val="single"/>
                <w:lang w:eastAsia="en-AU"/>
              </w:rPr>
              <w:t>B</w:t>
            </w:r>
            <w:r w:rsidRPr="00B54A75">
              <w:rPr>
                <w:rFonts w:ascii="Calibri" w:eastAsia="Times New Roman" w:hAnsi="Calibri" w:cs="Calibri"/>
                <w:color w:val="000000"/>
                <w:sz w:val="20"/>
                <w:szCs w:val="20"/>
                <w:u w:val="single"/>
                <w:vertAlign w:val="subscript"/>
                <w:lang w:eastAsia="en-AU"/>
              </w:rPr>
              <w:t>3</w:t>
            </w:r>
            <w:r w:rsidRPr="00B54A75">
              <w:rPr>
                <w:rFonts w:ascii="Calibri" w:eastAsia="Times New Roman" w:hAnsi="Calibri" w:cs="Calibri"/>
                <w:color w:val="000000"/>
                <w:sz w:val="20"/>
                <w:szCs w:val="20"/>
                <w:u w:val="single"/>
                <w:lang w:eastAsia="en-AU"/>
              </w:rPr>
              <w:t xml:space="preserve">, </w:t>
            </w:r>
            <w:r w:rsidR="00B14009">
              <w:rPr>
                <w:rFonts w:ascii="Calibri" w:eastAsia="Times New Roman" w:hAnsi="Calibri" w:cs="Calibri"/>
                <w:color w:val="000000"/>
                <w:sz w:val="20"/>
                <w:szCs w:val="20"/>
                <w:u w:val="single"/>
                <w:lang w:eastAsia="en-AU"/>
              </w:rPr>
              <w:t>VIT-</w:t>
            </w:r>
            <w:r w:rsidRPr="00B54A75">
              <w:rPr>
                <w:rFonts w:ascii="Calibri" w:eastAsia="Times New Roman" w:hAnsi="Calibri" w:cs="Calibri"/>
                <w:color w:val="000000"/>
                <w:sz w:val="20"/>
                <w:szCs w:val="20"/>
                <w:u w:val="single"/>
                <w:lang w:eastAsia="en-AU"/>
              </w:rPr>
              <w:t>B</w:t>
            </w:r>
            <w:r w:rsidRPr="00B54A75">
              <w:rPr>
                <w:rFonts w:ascii="Calibri" w:eastAsia="Times New Roman" w:hAnsi="Calibri" w:cs="Calibri"/>
                <w:color w:val="000000"/>
                <w:sz w:val="20"/>
                <w:szCs w:val="20"/>
                <w:u w:val="single"/>
                <w:vertAlign w:val="subscript"/>
                <w:lang w:eastAsia="en-AU"/>
              </w:rPr>
              <w:t>6</w:t>
            </w:r>
            <w:r w:rsidRPr="00B54A75">
              <w:rPr>
                <w:rFonts w:ascii="Calibri" w:eastAsia="Times New Roman" w:hAnsi="Calibri" w:cs="Calibri"/>
                <w:color w:val="000000"/>
                <w:sz w:val="20"/>
                <w:szCs w:val="20"/>
                <w:u w:val="single"/>
                <w:lang w:eastAsia="en-AU"/>
              </w:rPr>
              <w:t xml:space="preserve"> &amp; folic acid</w:t>
            </w:r>
            <w:r w:rsidRPr="00B54A75">
              <w:rPr>
                <w:rFonts w:ascii="Calibri" w:eastAsia="Times New Roman" w:hAnsi="Calibri" w:cs="Calibri"/>
                <w:color w:val="000000"/>
                <w:sz w:val="20"/>
                <w:szCs w:val="20"/>
                <w:lang w:eastAsia="en-AU"/>
              </w:rPr>
              <w:t>) score was associated with:</w:t>
            </w:r>
            <w:r w:rsidRPr="00B54A75">
              <w:rPr>
                <w:rFonts w:ascii="Calibri" w:eastAsia="Times New Roman" w:hAnsi="Calibri" w:cs="Calibri"/>
                <w:color w:val="000000"/>
                <w:sz w:val="20"/>
                <w:szCs w:val="20"/>
                <w:lang w:eastAsia="en-AU"/>
              </w:rPr>
              <w:br/>
              <w:t xml:space="preserve">            ↑ </w:t>
            </w:r>
            <w:proofErr w:type="spellStart"/>
            <w:r w:rsidRPr="00B54A75">
              <w:rPr>
                <w:rFonts w:ascii="Calibri" w:eastAsia="Times New Roman" w:hAnsi="Calibri" w:cs="Calibri"/>
                <w:color w:val="000000"/>
                <w:sz w:val="20"/>
                <w:szCs w:val="20"/>
                <w:lang w:eastAsia="en-AU"/>
              </w:rPr>
              <w:t>GMv</w:t>
            </w:r>
            <w:proofErr w:type="spellEnd"/>
            <w:r w:rsidRPr="00B54A75">
              <w:rPr>
                <w:rFonts w:ascii="Calibri" w:eastAsia="Times New Roman" w:hAnsi="Calibri" w:cs="Calibri"/>
                <w:color w:val="000000"/>
                <w:sz w:val="20"/>
                <w:szCs w:val="20"/>
                <w:lang w:eastAsia="en-AU"/>
              </w:rPr>
              <w:t xml:space="preserve"> within FL</w:t>
            </w:r>
            <w:r w:rsidRPr="00B54A75">
              <w:rPr>
                <w:rFonts w:ascii="Calibri" w:eastAsia="Times New Roman" w:hAnsi="Calibri" w:cs="Calibri"/>
                <w:color w:val="000000"/>
                <w:sz w:val="20"/>
                <w:szCs w:val="20"/>
                <w:lang w:eastAsia="en-AU"/>
              </w:rPr>
              <w:br/>
            </w:r>
            <w:r w:rsidRPr="00B54A75">
              <w:rPr>
                <w:rFonts w:ascii="Calibri" w:eastAsia="Times New Roman" w:hAnsi="Calibri" w:cs="Calibri"/>
                <w:color w:val="000000"/>
                <w:sz w:val="20"/>
                <w:szCs w:val="20"/>
                <w:u w:val="single"/>
                <w:lang w:eastAsia="en-AU"/>
              </w:rPr>
              <w:t>↑ NP-4 (VIT-B</w:t>
            </w:r>
            <w:r w:rsidRPr="00B54A75">
              <w:rPr>
                <w:rFonts w:ascii="Calibri" w:eastAsia="Times New Roman" w:hAnsi="Calibri" w:cs="Calibri"/>
                <w:color w:val="000000"/>
                <w:sz w:val="20"/>
                <w:szCs w:val="20"/>
                <w:u w:val="single"/>
                <w:vertAlign w:val="subscript"/>
                <w:lang w:eastAsia="en-AU"/>
              </w:rPr>
              <w:t>12</w:t>
            </w:r>
            <w:r w:rsidRPr="00B54A75">
              <w:rPr>
                <w:rFonts w:ascii="Calibri" w:eastAsia="Times New Roman" w:hAnsi="Calibri" w:cs="Calibri"/>
                <w:color w:val="000000"/>
                <w:sz w:val="20"/>
                <w:szCs w:val="20"/>
                <w:u w:val="single"/>
                <w:lang w:eastAsia="en-AU"/>
              </w:rPr>
              <w:t>, VIT-D &amp; Zinc)</w:t>
            </w:r>
            <w:r w:rsidRPr="00B54A75">
              <w:rPr>
                <w:rFonts w:ascii="Calibri" w:eastAsia="Times New Roman" w:hAnsi="Calibri" w:cs="Calibri"/>
                <w:color w:val="000000"/>
                <w:sz w:val="20"/>
                <w:szCs w:val="20"/>
                <w:lang w:eastAsia="en-AU"/>
              </w:rPr>
              <w:t xml:space="preserve"> score was associated with:</w:t>
            </w:r>
            <w:r w:rsidRPr="00B54A75">
              <w:rPr>
                <w:rFonts w:ascii="Calibri" w:eastAsia="Times New Roman" w:hAnsi="Calibri" w:cs="Calibri"/>
                <w:color w:val="000000"/>
                <w:sz w:val="20"/>
                <w:szCs w:val="20"/>
                <w:lang w:eastAsia="en-AU"/>
              </w:rPr>
              <w:br/>
              <w:t xml:space="preserve">            ↑ </w:t>
            </w:r>
            <w:proofErr w:type="spellStart"/>
            <w:r w:rsidRPr="00B54A75">
              <w:rPr>
                <w:rFonts w:ascii="Calibri" w:eastAsia="Times New Roman" w:hAnsi="Calibri" w:cs="Calibri"/>
                <w:color w:val="000000"/>
                <w:sz w:val="20"/>
                <w:szCs w:val="20"/>
                <w:lang w:eastAsia="en-AU"/>
              </w:rPr>
              <w:t>GMv</w:t>
            </w:r>
            <w:proofErr w:type="spellEnd"/>
            <w:r w:rsidRPr="00B54A75">
              <w:rPr>
                <w:rFonts w:ascii="Calibri" w:eastAsia="Times New Roman" w:hAnsi="Calibri" w:cs="Calibri"/>
                <w:color w:val="000000"/>
                <w:sz w:val="20"/>
                <w:szCs w:val="20"/>
                <w:lang w:eastAsia="en-AU"/>
              </w:rPr>
              <w:t xml:space="preserve"> within FL &amp; TL                           </w:t>
            </w:r>
            <w:r w:rsidRPr="00B54A75">
              <w:rPr>
                <w:rFonts w:ascii="Calibri" w:eastAsia="Times New Roman" w:hAnsi="Calibri" w:cs="Calibri"/>
                <w:color w:val="000000"/>
                <w:sz w:val="20"/>
                <w:szCs w:val="20"/>
                <w:lang w:eastAsia="en-AU"/>
              </w:rPr>
              <w:br/>
            </w:r>
            <w:r w:rsidRPr="00B54A75">
              <w:rPr>
                <w:rFonts w:ascii="Calibri" w:eastAsia="Times New Roman" w:hAnsi="Calibri" w:cs="Calibri"/>
                <w:color w:val="000000"/>
                <w:sz w:val="20"/>
                <w:szCs w:val="20"/>
                <w:u w:val="single"/>
                <w:lang w:eastAsia="en-AU"/>
              </w:rPr>
              <w:t>↑ NP-5 (S-Fat, T-Fat, cholesterol &amp; sodium)</w:t>
            </w:r>
            <w:r w:rsidRPr="00B54A75">
              <w:rPr>
                <w:rFonts w:ascii="Calibri" w:eastAsia="Times New Roman" w:hAnsi="Calibri" w:cs="Calibri"/>
                <w:color w:val="000000"/>
                <w:sz w:val="20"/>
                <w:szCs w:val="20"/>
                <w:lang w:eastAsia="en-AU"/>
              </w:rPr>
              <w:t xml:space="preserve"> score  was associated with:</w:t>
            </w:r>
            <w:r w:rsidRPr="00B54A75">
              <w:rPr>
                <w:rFonts w:ascii="Calibri" w:eastAsia="Times New Roman" w:hAnsi="Calibri" w:cs="Calibri"/>
                <w:color w:val="000000"/>
                <w:sz w:val="20"/>
                <w:szCs w:val="20"/>
                <w:lang w:eastAsia="en-AU"/>
              </w:rPr>
              <w:br/>
              <w:t xml:space="preserve">            ↓ </w:t>
            </w:r>
            <w:proofErr w:type="spellStart"/>
            <w:r w:rsidRPr="00B54A75">
              <w:rPr>
                <w:rFonts w:ascii="Calibri" w:eastAsia="Times New Roman" w:hAnsi="Calibri" w:cs="Calibri"/>
                <w:color w:val="000000"/>
                <w:sz w:val="20"/>
                <w:szCs w:val="20"/>
                <w:lang w:eastAsia="en-AU"/>
              </w:rPr>
              <w:t>GMv</w:t>
            </w:r>
            <w:proofErr w:type="spellEnd"/>
            <w:r w:rsidRPr="00B54A75">
              <w:rPr>
                <w:rFonts w:ascii="Calibri" w:eastAsia="Times New Roman" w:hAnsi="Calibri" w:cs="Calibri"/>
                <w:color w:val="000000"/>
                <w:sz w:val="20"/>
                <w:szCs w:val="20"/>
                <w:lang w:eastAsia="en-AU"/>
              </w:rPr>
              <w:t xml:space="preserve"> within FL &amp; LL</w:t>
            </w:r>
          </w:p>
        </w:tc>
      </w:tr>
      <w:tr w:rsidR="008251F9" w:rsidRPr="00B54A75" w:rsidTr="00222F25">
        <w:trPr>
          <w:trHeight w:val="2685"/>
        </w:trPr>
        <w:tc>
          <w:tcPr>
            <w:tcW w:w="1840" w:type="dxa"/>
            <w:tcBorders>
              <w:top w:val="nil"/>
              <w:left w:val="nil"/>
              <w:bottom w:val="nil"/>
              <w:right w:val="nil"/>
            </w:tcBorders>
            <w:shd w:val="clear" w:color="000000" w:fill="D9D9D9"/>
            <w:vAlign w:val="bottom"/>
            <w:hideMark/>
          </w:tcPr>
          <w:p w:rsidR="00112011" w:rsidRPr="00B54A75" w:rsidRDefault="00B54A75" w:rsidP="001E46D5">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Bowman et al.</w:t>
            </w:r>
            <w:r w:rsidR="0090349C" w:rsidRPr="00B54A75">
              <w:rPr>
                <w:rFonts w:ascii="Calibri" w:eastAsia="Times New Roman" w:hAnsi="Calibri" w:cs="Calibri"/>
                <w:color w:val="000000"/>
                <w:sz w:val="20"/>
                <w:szCs w:val="20"/>
                <w:lang w:eastAsia="en-AU"/>
              </w:rPr>
              <w:fldChar w:fldCharType="begin" w:fldLock="1"/>
            </w:r>
            <w:r w:rsidR="00C73D5C">
              <w:rPr>
                <w:rFonts w:ascii="Calibri" w:eastAsia="Times New Roman" w:hAnsi="Calibri" w:cs="Calibri"/>
                <w:color w:val="000000"/>
                <w:sz w:val="20"/>
                <w:szCs w:val="20"/>
                <w:lang w:eastAsia="en-AU"/>
              </w:rPr>
              <w:instrText>ADDIN CSL_CITATION { "citationItems" : [ { "id" : "ITEM-1", "itemData" : { "author" : [ { "dropping-particle" : "", "family" : "Bowman", "given" : "G L", "non-dropping-particle" : "", "parse-names" : false, "suffix" : "" }, { "dropping-particle" : "", "family" : "Howieson", "given" : "D", "non-dropping-particle" : "", "parse-names" : false, "suffix" : "" }, { "dropping-particle" : "", "family" : "Traber", "given" : "M G", "non-dropping-particle" : "", "parse-names" : false, "suffix" : "" }, { "dropping-particle" : "", "family" : "Shannon", "given" : "J", "non-dropping-particle" : "", "parse-names" : false, "suffix" : "" }, { "dropping-particle" : "", "family" : "Quinn", "given" : "J F", "non-dropping-particle" : "", "parse-names" : false, "suffix" : "" } ], "container-title" : "Neurology", "id" : "ITEM-1", "issued" : { "date-parts" : [ [ "2012" ] ] }, "page" : "241-249", "title" : "Nutrient biomarker patterns, cognitive function, and MRI measures of brain aging", "type" : "article-journal", "volume" : "78" }, "uris" : [ "http://www.mendeley.com/documents/?uuid=310c8ca2-ad9b-482a-9813-6382a75cfbc7" ] } ], "mendeley" : { "formattedCitation" : "&lt;sup&gt;(36)&lt;/sup&gt;", "plainTextFormattedCitation" : "(36)", "previouslyFormattedCitation" : "&lt;sup&gt;(36)&lt;/sup&gt;" }, "properties" : { "noteIndex" : 0 }, "schema" : "https://github.com/citation-style-language/schema/raw/master/csl-citation.json" }</w:instrText>
            </w:r>
            <w:r w:rsidR="0090349C" w:rsidRPr="00B54A75">
              <w:rPr>
                <w:rFonts w:ascii="Calibri" w:eastAsia="Times New Roman" w:hAnsi="Calibri" w:cs="Calibri"/>
                <w:color w:val="000000"/>
                <w:sz w:val="20"/>
                <w:szCs w:val="20"/>
                <w:lang w:eastAsia="en-AU"/>
              </w:rPr>
              <w:fldChar w:fldCharType="separate"/>
            </w:r>
            <w:r w:rsidRPr="00B54A75">
              <w:rPr>
                <w:rFonts w:ascii="Calibri" w:eastAsia="Times New Roman" w:hAnsi="Calibri" w:cs="Calibri"/>
                <w:noProof/>
                <w:color w:val="000000"/>
                <w:sz w:val="20"/>
                <w:szCs w:val="20"/>
                <w:vertAlign w:val="superscript"/>
                <w:lang w:eastAsia="en-AU"/>
              </w:rPr>
              <w:t>(36)</w:t>
            </w:r>
            <w:r w:rsidR="0090349C" w:rsidRPr="00B54A75">
              <w:rPr>
                <w:rFonts w:ascii="Calibri" w:eastAsia="Times New Roman" w:hAnsi="Calibri" w:cs="Calibri"/>
                <w:color w:val="000000"/>
                <w:sz w:val="20"/>
                <w:szCs w:val="20"/>
                <w:lang w:eastAsia="en-AU"/>
              </w:rPr>
              <w:fldChar w:fldCharType="end"/>
            </w:r>
          </w:p>
        </w:tc>
        <w:tc>
          <w:tcPr>
            <w:tcW w:w="1049"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NBP</w:t>
            </w:r>
          </w:p>
        </w:tc>
        <w:tc>
          <w:tcPr>
            <w:tcW w:w="1082"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DF</w:t>
            </w:r>
          </w:p>
        </w:tc>
        <w:tc>
          <w:tcPr>
            <w:tcW w:w="1274"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104</w:t>
            </w:r>
          </w:p>
        </w:tc>
        <w:tc>
          <w:tcPr>
            <w:tcW w:w="1328"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≥65.0</w:t>
            </w:r>
          </w:p>
        </w:tc>
        <w:tc>
          <w:tcPr>
            <w:tcW w:w="1418"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87.0</w:t>
            </w:r>
          </w:p>
        </w:tc>
        <w:tc>
          <w:tcPr>
            <w:tcW w:w="1417"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10.0</w:t>
            </w:r>
          </w:p>
        </w:tc>
        <w:tc>
          <w:tcPr>
            <w:tcW w:w="5760"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b/>
                <w:bCs/>
                <w:iCs/>
                <w:color w:val="000000"/>
                <w:sz w:val="20"/>
                <w:szCs w:val="20"/>
                <w:lang w:eastAsia="en-AU"/>
              </w:rPr>
              <w:t xml:space="preserve">Cross sectional (MRI) </w:t>
            </w:r>
            <w:r w:rsidRPr="00B54A75">
              <w:rPr>
                <w:rFonts w:ascii="Calibri" w:eastAsia="Times New Roman" w:hAnsi="Calibri" w:cs="Calibri"/>
                <w:color w:val="000000"/>
                <w:sz w:val="20"/>
                <w:szCs w:val="20"/>
                <w:lang w:eastAsia="en-AU"/>
              </w:rPr>
              <w:br/>
              <w:t>8 NBP identified (3 associated with cerebral structure)</w:t>
            </w:r>
            <w:r w:rsidRPr="00B54A75">
              <w:rPr>
                <w:rFonts w:ascii="Calibri" w:eastAsia="Times New Roman" w:hAnsi="Calibri" w:cs="Calibri"/>
                <w:color w:val="000000"/>
                <w:sz w:val="20"/>
                <w:szCs w:val="20"/>
                <w:lang w:eastAsia="en-AU"/>
              </w:rPr>
              <w:br/>
            </w:r>
            <w:r w:rsidRPr="00B54A75">
              <w:rPr>
                <w:rFonts w:ascii="Calibri" w:eastAsia="Times New Roman" w:hAnsi="Calibri" w:cs="Calibri"/>
                <w:color w:val="000000"/>
                <w:sz w:val="20"/>
                <w:szCs w:val="20"/>
                <w:lang w:eastAsia="en-AU"/>
              </w:rPr>
              <w:br/>
            </w:r>
            <w:r w:rsidR="00B14009">
              <w:rPr>
                <w:rFonts w:ascii="Calibri" w:eastAsia="Times New Roman" w:hAnsi="Calibri" w:cs="Calibri"/>
                <w:color w:val="000000"/>
                <w:sz w:val="20"/>
                <w:szCs w:val="20"/>
                <w:u w:val="single"/>
                <w:lang w:eastAsia="en-AU"/>
              </w:rPr>
              <w:t>↑NBP-1 (VIT-</w:t>
            </w:r>
            <w:r w:rsidRPr="00B54A75">
              <w:rPr>
                <w:rFonts w:ascii="Calibri" w:eastAsia="Times New Roman" w:hAnsi="Calibri" w:cs="Calibri"/>
                <w:color w:val="000000"/>
                <w:sz w:val="20"/>
                <w:szCs w:val="20"/>
                <w:u w:val="single"/>
                <w:lang w:eastAsia="en-AU"/>
              </w:rPr>
              <w:t>B</w:t>
            </w:r>
            <w:r w:rsidRPr="00B54A75">
              <w:rPr>
                <w:rFonts w:ascii="Calibri" w:eastAsia="Times New Roman" w:hAnsi="Calibri" w:cs="Calibri"/>
                <w:color w:val="000000"/>
                <w:sz w:val="20"/>
                <w:szCs w:val="20"/>
                <w:u w:val="single"/>
                <w:vertAlign w:val="subscript"/>
                <w:lang w:eastAsia="en-AU"/>
              </w:rPr>
              <w:t>1</w:t>
            </w:r>
            <w:r w:rsidRPr="00B54A75">
              <w:rPr>
                <w:rFonts w:ascii="Calibri" w:eastAsia="Times New Roman" w:hAnsi="Calibri" w:cs="Calibri"/>
                <w:color w:val="000000"/>
                <w:sz w:val="20"/>
                <w:szCs w:val="20"/>
                <w:u w:val="single"/>
                <w:lang w:eastAsia="en-AU"/>
              </w:rPr>
              <w:t xml:space="preserve">, </w:t>
            </w:r>
            <w:r w:rsidR="00B14009">
              <w:rPr>
                <w:rFonts w:ascii="Calibri" w:eastAsia="Times New Roman" w:hAnsi="Calibri" w:cs="Calibri"/>
                <w:color w:val="000000"/>
                <w:sz w:val="20"/>
                <w:szCs w:val="20"/>
                <w:u w:val="single"/>
                <w:lang w:eastAsia="en-AU"/>
              </w:rPr>
              <w:t>VIT-</w:t>
            </w:r>
            <w:r w:rsidRPr="00B54A75">
              <w:rPr>
                <w:rFonts w:ascii="Calibri" w:eastAsia="Times New Roman" w:hAnsi="Calibri" w:cs="Calibri"/>
                <w:color w:val="000000"/>
                <w:sz w:val="20"/>
                <w:szCs w:val="20"/>
                <w:u w:val="single"/>
                <w:lang w:eastAsia="en-AU"/>
              </w:rPr>
              <w:t>B</w:t>
            </w:r>
            <w:r w:rsidRPr="00B54A75">
              <w:rPr>
                <w:rFonts w:ascii="Calibri" w:eastAsia="Times New Roman" w:hAnsi="Calibri" w:cs="Calibri"/>
                <w:color w:val="000000"/>
                <w:sz w:val="20"/>
                <w:szCs w:val="20"/>
                <w:u w:val="single"/>
                <w:vertAlign w:val="subscript"/>
                <w:lang w:eastAsia="en-AU"/>
              </w:rPr>
              <w:t>2</w:t>
            </w:r>
            <w:r w:rsidRPr="00B54A75">
              <w:rPr>
                <w:rFonts w:ascii="Calibri" w:eastAsia="Times New Roman" w:hAnsi="Calibri" w:cs="Calibri"/>
                <w:color w:val="000000"/>
                <w:sz w:val="20"/>
                <w:szCs w:val="20"/>
                <w:u w:val="single"/>
                <w:lang w:eastAsia="en-AU"/>
              </w:rPr>
              <w:t xml:space="preserve">, </w:t>
            </w:r>
            <w:r w:rsidR="00B14009">
              <w:rPr>
                <w:rFonts w:ascii="Calibri" w:eastAsia="Times New Roman" w:hAnsi="Calibri" w:cs="Calibri"/>
                <w:color w:val="000000"/>
                <w:sz w:val="20"/>
                <w:szCs w:val="20"/>
                <w:u w:val="single"/>
                <w:lang w:eastAsia="en-AU"/>
              </w:rPr>
              <w:t>VIT-</w:t>
            </w:r>
            <w:r w:rsidRPr="00B54A75">
              <w:rPr>
                <w:rFonts w:ascii="Calibri" w:eastAsia="Times New Roman" w:hAnsi="Calibri" w:cs="Calibri"/>
                <w:color w:val="000000"/>
                <w:sz w:val="20"/>
                <w:szCs w:val="20"/>
                <w:u w:val="single"/>
                <w:lang w:eastAsia="en-AU"/>
              </w:rPr>
              <w:t>B</w:t>
            </w:r>
            <w:r w:rsidRPr="00B54A75">
              <w:rPr>
                <w:rFonts w:ascii="Calibri" w:eastAsia="Times New Roman" w:hAnsi="Calibri" w:cs="Calibri"/>
                <w:color w:val="000000"/>
                <w:sz w:val="20"/>
                <w:szCs w:val="20"/>
                <w:u w:val="single"/>
                <w:vertAlign w:val="subscript"/>
                <w:lang w:eastAsia="en-AU"/>
              </w:rPr>
              <w:t>6</w:t>
            </w:r>
            <w:r w:rsidRPr="00B54A75">
              <w:rPr>
                <w:rFonts w:ascii="Calibri" w:eastAsia="Times New Roman" w:hAnsi="Calibri" w:cs="Calibri"/>
                <w:color w:val="000000"/>
                <w:sz w:val="20"/>
                <w:szCs w:val="20"/>
                <w:u w:val="single"/>
                <w:lang w:eastAsia="en-AU"/>
              </w:rPr>
              <w:t xml:space="preserve">, </w:t>
            </w:r>
            <w:r w:rsidR="00B14009">
              <w:rPr>
                <w:rFonts w:ascii="Calibri" w:eastAsia="Times New Roman" w:hAnsi="Calibri" w:cs="Calibri"/>
                <w:color w:val="000000"/>
                <w:sz w:val="20"/>
                <w:szCs w:val="20"/>
                <w:u w:val="single"/>
                <w:lang w:eastAsia="en-AU"/>
              </w:rPr>
              <w:t>VIT-</w:t>
            </w:r>
            <w:r w:rsidRPr="00B54A75">
              <w:rPr>
                <w:rFonts w:ascii="Calibri" w:eastAsia="Times New Roman" w:hAnsi="Calibri" w:cs="Calibri"/>
                <w:color w:val="000000"/>
                <w:sz w:val="20"/>
                <w:szCs w:val="20"/>
                <w:u w:val="single"/>
                <w:lang w:eastAsia="en-AU"/>
              </w:rPr>
              <w:t>B</w:t>
            </w:r>
            <w:r w:rsidRPr="00B54A75">
              <w:rPr>
                <w:rFonts w:ascii="Calibri" w:eastAsia="Times New Roman" w:hAnsi="Calibri" w:cs="Calibri"/>
                <w:color w:val="000000"/>
                <w:sz w:val="20"/>
                <w:szCs w:val="20"/>
                <w:u w:val="single"/>
                <w:vertAlign w:val="subscript"/>
                <w:lang w:eastAsia="en-AU"/>
              </w:rPr>
              <w:t>12</w:t>
            </w:r>
            <w:r w:rsidRPr="00B54A75">
              <w:rPr>
                <w:rFonts w:ascii="Calibri" w:eastAsia="Times New Roman" w:hAnsi="Calibri" w:cs="Calibri"/>
                <w:color w:val="000000"/>
                <w:sz w:val="20"/>
                <w:szCs w:val="20"/>
                <w:u w:val="single"/>
                <w:lang w:eastAsia="en-AU"/>
              </w:rPr>
              <w:t xml:space="preserve">, folate, </w:t>
            </w:r>
            <w:r w:rsidR="009F3693">
              <w:rPr>
                <w:rFonts w:ascii="Calibri" w:eastAsia="Times New Roman" w:hAnsi="Calibri" w:cs="Calibri"/>
                <w:color w:val="000000"/>
                <w:sz w:val="20"/>
                <w:szCs w:val="20"/>
                <w:u w:val="single"/>
                <w:lang w:eastAsia="en-AU"/>
              </w:rPr>
              <w:t>VIT-</w:t>
            </w:r>
            <w:r w:rsidRPr="00B54A75">
              <w:rPr>
                <w:rFonts w:ascii="Calibri" w:eastAsia="Times New Roman" w:hAnsi="Calibri" w:cs="Calibri"/>
                <w:color w:val="000000"/>
                <w:sz w:val="20"/>
                <w:szCs w:val="20"/>
                <w:u w:val="single"/>
                <w:lang w:eastAsia="en-AU"/>
              </w:rPr>
              <w:t xml:space="preserve">C, </w:t>
            </w:r>
            <w:r w:rsidR="009F3693">
              <w:rPr>
                <w:rFonts w:ascii="Calibri" w:eastAsia="Times New Roman" w:hAnsi="Calibri" w:cs="Calibri"/>
                <w:color w:val="000000"/>
                <w:sz w:val="20"/>
                <w:szCs w:val="20"/>
                <w:u w:val="single"/>
                <w:lang w:eastAsia="en-AU"/>
              </w:rPr>
              <w:t>VIT-</w:t>
            </w:r>
            <w:r w:rsidRPr="00B54A75">
              <w:rPr>
                <w:rFonts w:ascii="Calibri" w:eastAsia="Times New Roman" w:hAnsi="Calibri" w:cs="Calibri"/>
                <w:color w:val="000000"/>
                <w:sz w:val="20"/>
                <w:szCs w:val="20"/>
                <w:u w:val="single"/>
                <w:lang w:eastAsia="en-AU"/>
              </w:rPr>
              <w:t xml:space="preserve">D, &amp; </w:t>
            </w:r>
            <w:r w:rsidR="009F3693">
              <w:rPr>
                <w:rFonts w:ascii="Calibri" w:eastAsia="Times New Roman" w:hAnsi="Calibri" w:cs="Calibri"/>
                <w:color w:val="000000"/>
                <w:sz w:val="20"/>
                <w:szCs w:val="20"/>
                <w:u w:val="single"/>
                <w:lang w:eastAsia="en-AU"/>
              </w:rPr>
              <w:t>VIT-</w:t>
            </w:r>
            <w:r w:rsidRPr="00B54A75">
              <w:rPr>
                <w:rFonts w:ascii="Calibri" w:eastAsia="Times New Roman" w:hAnsi="Calibri" w:cs="Calibri"/>
                <w:color w:val="000000"/>
                <w:sz w:val="20"/>
                <w:szCs w:val="20"/>
                <w:u w:val="single"/>
                <w:lang w:eastAsia="en-AU"/>
              </w:rPr>
              <w:t>E</w:t>
            </w:r>
            <w:r w:rsidRPr="00B54A75">
              <w:rPr>
                <w:rFonts w:ascii="Calibri" w:eastAsia="Times New Roman" w:hAnsi="Calibri" w:cs="Calibri"/>
                <w:color w:val="000000"/>
                <w:sz w:val="20"/>
                <w:szCs w:val="20"/>
                <w:lang w:eastAsia="en-AU"/>
              </w:rPr>
              <w:t xml:space="preserve">) score was associated with: </w:t>
            </w:r>
            <w:r w:rsidRPr="00B54A75">
              <w:rPr>
                <w:rFonts w:ascii="Calibri" w:eastAsia="Times New Roman" w:hAnsi="Calibri" w:cs="Calibri"/>
                <w:color w:val="000000"/>
                <w:sz w:val="20"/>
                <w:szCs w:val="20"/>
                <w:lang w:eastAsia="en-AU"/>
              </w:rPr>
              <w:br/>
              <w:t xml:space="preserve">           ↑ </w:t>
            </w:r>
            <w:proofErr w:type="spellStart"/>
            <w:r w:rsidRPr="00B54A75">
              <w:rPr>
                <w:rFonts w:ascii="Calibri" w:eastAsia="Times New Roman" w:hAnsi="Calibri" w:cs="Calibri"/>
                <w:color w:val="000000"/>
                <w:sz w:val="20"/>
                <w:szCs w:val="20"/>
                <w:lang w:eastAsia="en-AU"/>
              </w:rPr>
              <w:t>TCv</w:t>
            </w:r>
            <w:proofErr w:type="spellEnd"/>
            <w:r w:rsidRPr="00B54A75">
              <w:rPr>
                <w:rFonts w:ascii="Calibri" w:eastAsia="Times New Roman" w:hAnsi="Calibri" w:cs="Calibri"/>
                <w:color w:val="000000"/>
                <w:sz w:val="20"/>
                <w:szCs w:val="20"/>
                <w:lang w:eastAsia="en-AU"/>
              </w:rPr>
              <w:br/>
            </w:r>
            <w:r w:rsidRPr="00B54A75">
              <w:rPr>
                <w:rFonts w:ascii="Calibri" w:eastAsia="Times New Roman" w:hAnsi="Calibri" w:cs="Calibri"/>
                <w:color w:val="000000"/>
                <w:sz w:val="20"/>
                <w:szCs w:val="20"/>
                <w:u w:val="single"/>
                <w:lang w:eastAsia="en-AU"/>
              </w:rPr>
              <w:t>↑ NBP-5 (ω3-FA)</w:t>
            </w:r>
            <w:r w:rsidRPr="00B54A75">
              <w:rPr>
                <w:rFonts w:ascii="Calibri" w:eastAsia="Times New Roman" w:hAnsi="Calibri" w:cs="Calibri"/>
                <w:color w:val="000000"/>
                <w:sz w:val="20"/>
                <w:szCs w:val="20"/>
                <w:lang w:eastAsia="en-AU"/>
              </w:rPr>
              <w:t xml:space="preserve"> score was associated with:</w:t>
            </w:r>
            <w:r w:rsidRPr="00B54A75">
              <w:rPr>
                <w:rFonts w:ascii="Calibri" w:eastAsia="Times New Roman" w:hAnsi="Calibri" w:cs="Calibri"/>
                <w:color w:val="000000"/>
                <w:sz w:val="20"/>
                <w:szCs w:val="20"/>
                <w:lang w:eastAsia="en-AU"/>
              </w:rPr>
              <w:br/>
              <w:t xml:space="preserve">           ↓ </w:t>
            </w:r>
            <w:proofErr w:type="spellStart"/>
            <w:r w:rsidRPr="00B54A75">
              <w:rPr>
                <w:rFonts w:ascii="Calibri" w:eastAsia="Times New Roman" w:hAnsi="Calibri" w:cs="Calibri"/>
                <w:color w:val="000000"/>
                <w:sz w:val="20"/>
                <w:szCs w:val="20"/>
                <w:lang w:eastAsia="en-AU"/>
              </w:rPr>
              <w:t>WMHv</w:t>
            </w:r>
            <w:proofErr w:type="spellEnd"/>
            <w:r w:rsidRPr="00B54A75">
              <w:rPr>
                <w:rFonts w:ascii="Calibri" w:eastAsia="Times New Roman" w:hAnsi="Calibri" w:cs="Calibri"/>
                <w:color w:val="000000"/>
                <w:sz w:val="20"/>
                <w:szCs w:val="20"/>
                <w:lang w:eastAsia="en-AU"/>
              </w:rPr>
              <w:t xml:space="preserve"> </w:t>
            </w:r>
            <w:r w:rsidRPr="00B54A75">
              <w:rPr>
                <w:rFonts w:ascii="Calibri" w:eastAsia="Times New Roman" w:hAnsi="Calibri" w:cs="Calibri"/>
                <w:color w:val="000000"/>
                <w:sz w:val="20"/>
                <w:szCs w:val="20"/>
                <w:lang w:eastAsia="en-AU"/>
              </w:rPr>
              <w:br/>
            </w:r>
            <w:r w:rsidRPr="00B54A75">
              <w:rPr>
                <w:rFonts w:ascii="Calibri" w:eastAsia="Times New Roman" w:hAnsi="Calibri" w:cs="Calibri"/>
                <w:color w:val="000000"/>
                <w:sz w:val="20"/>
                <w:szCs w:val="20"/>
                <w:u w:val="single"/>
                <w:lang w:eastAsia="en-AU"/>
              </w:rPr>
              <w:t>↑ NBP-8 (T-Fat)</w:t>
            </w:r>
            <w:r w:rsidRPr="00B54A75">
              <w:rPr>
                <w:rFonts w:ascii="Calibri" w:eastAsia="Times New Roman" w:hAnsi="Calibri" w:cs="Calibri"/>
                <w:color w:val="000000"/>
                <w:sz w:val="20"/>
                <w:szCs w:val="20"/>
                <w:lang w:eastAsia="en-AU"/>
              </w:rPr>
              <w:t xml:space="preserve"> score was associated with</w:t>
            </w:r>
            <w:r w:rsidRPr="00B54A75">
              <w:rPr>
                <w:rFonts w:ascii="Calibri" w:eastAsia="Times New Roman" w:hAnsi="Calibri" w:cs="Calibri"/>
                <w:color w:val="000000"/>
                <w:sz w:val="20"/>
                <w:szCs w:val="20"/>
                <w:lang w:eastAsia="en-AU"/>
              </w:rPr>
              <w:br/>
              <w:t xml:space="preserve">           ↓ </w:t>
            </w:r>
            <w:proofErr w:type="spellStart"/>
            <w:r w:rsidRPr="00B54A75">
              <w:rPr>
                <w:rFonts w:ascii="Calibri" w:eastAsia="Times New Roman" w:hAnsi="Calibri" w:cs="Calibri"/>
                <w:color w:val="000000"/>
                <w:sz w:val="20"/>
                <w:szCs w:val="20"/>
                <w:lang w:eastAsia="en-AU"/>
              </w:rPr>
              <w:t>TCv</w:t>
            </w:r>
            <w:proofErr w:type="spellEnd"/>
          </w:p>
        </w:tc>
      </w:tr>
      <w:tr w:rsidR="009321E8" w:rsidRPr="00B54A75" w:rsidTr="002C1387">
        <w:trPr>
          <w:trHeight w:val="517"/>
        </w:trPr>
        <w:tc>
          <w:tcPr>
            <w:tcW w:w="2889" w:type="dxa"/>
            <w:gridSpan w:val="2"/>
            <w:tcBorders>
              <w:top w:val="nil"/>
              <w:left w:val="nil"/>
              <w:bottom w:val="nil"/>
              <w:right w:val="nil"/>
            </w:tcBorders>
            <w:shd w:val="clear" w:color="auto" w:fill="auto"/>
            <w:noWrap/>
            <w:vAlign w:val="bottom"/>
            <w:hideMark/>
          </w:tcPr>
          <w:p w:rsidR="00112011" w:rsidRPr="00B54A75" w:rsidRDefault="0090349C" w:rsidP="00112011">
            <w:pPr>
              <w:spacing w:after="0" w:line="240" w:lineRule="auto"/>
              <w:rPr>
                <w:rFonts w:ascii="Calibri" w:eastAsia="Times New Roman" w:hAnsi="Calibri" w:cs="Calibri"/>
                <w:b/>
                <w:bCs/>
                <w:iCs/>
                <w:color w:val="000000"/>
                <w:sz w:val="20"/>
                <w:szCs w:val="20"/>
                <w:lang w:eastAsia="en-AU"/>
              </w:rPr>
            </w:pPr>
            <w:r w:rsidRPr="00B54A75">
              <w:rPr>
                <w:rFonts w:ascii="Calibri" w:eastAsia="Times New Roman" w:hAnsi="Calibri" w:cs="Calibri"/>
                <w:b/>
                <w:bCs/>
                <w:iCs/>
                <w:color w:val="000000"/>
                <w:sz w:val="20"/>
                <w:szCs w:val="20"/>
                <w:lang w:eastAsia="en-AU"/>
              </w:rPr>
              <w:t>Mediterranean</w:t>
            </w:r>
            <w:r w:rsidR="00112011" w:rsidRPr="00B54A75">
              <w:rPr>
                <w:rFonts w:ascii="Calibri" w:eastAsia="Times New Roman" w:hAnsi="Calibri" w:cs="Calibri"/>
                <w:b/>
                <w:bCs/>
                <w:iCs/>
                <w:color w:val="000000"/>
                <w:sz w:val="20"/>
                <w:szCs w:val="20"/>
                <w:lang w:eastAsia="en-AU"/>
              </w:rPr>
              <w:t xml:space="preserve"> style diet</w:t>
            </w:r>
          </w:p>
        </w:tc>
        <w:tc>
          <w:tcPr>
            <w:tcW w:w="1082"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b/>
                <w:bCs/>
                <w:iCs/>
                <w:color w:val="000000"/>
                <w:sz w:val="20"/>
                <w:szCs w:val="20"/>
                <w:lang w:eastAsia="en-AU"/>
              </w:rPr>
            </w:pPr>
          </w:p>
        </w:tc>
        <w:tc>
          <w:tcPr>
            <w:tcW w:w="1274"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Times New Roman" w:eastAsia="Times New Roman" w:hAnsi="Times New Roman" w:cs="Times New Roman"/>
                <w:sz w:val="20"/>
                <w:szCs w:val="20"/>
                <w:lang w:eastAsia="en-AU"/>
              </w:rPr>
            </w:pPr>
          </w:p>
        </w:tc>
        <w:tc>
          <w:tcPr>
            <w:tcW w:w="1328"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Times New Roman" w:eastAsia="Times New Roman" w:hAnsi="Times New Roman" w:cs="Times New Roman"/>
                <w:sz w:val="20"/>
                <w:szCs w:val="20"/>
                <w:lang w:eastAsia="en-AU"/>
              </w:rPr>
            </w:pPr>
          </w:p>
        </w:tc>
        <w:tc>
          <w:tcPr>
            <w:tcW w:w="1418"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Times New Roman" w:eastAsia="Times New Roman" w:hAnsi="Times New Roman" w:cs="Times New Roman"/>
                <w:sz w:val="20"/>
                <w:szCs w:val="20"/>
                <w:lang w:eastAsia="en-AU"/>
              </w:rPr>
            </w:pPr>
          </w:p>
        </w:tc>
        <w:tc>
          <w:tcPr>
            <w:tcW w:w="1417" w:type="dxa"/>
            <w:tcBorders>
              <w:top w:val="nil"/>
              <w:left w:val="nil"/>
              <w:bottom w:val="nil"/>
              <w:right w:val="nil"/>
            </w:tcBorders>
            <w:shd w:val="clear" w:color="auto" w:fill="auto"/>
            <w:noWrap/>
            <w:vAlign w:val="bottom"/>
            <w:hideMark/>
          </w:tcPr>
          <w:p w:rsidR="00112011" w:rsidRPr="00B54A75" w:rsidRDefault="00112011" w:rsidP="00112011">
            <w:pPr>
              <w:spacing w:after="0" w:line="240" w:lineRule="auto"/>
              <w:rPr>
                <w:rFonts w:ascii="Times New Roman" w:eastAsia="Times New Roman" w:hAnsi="Times New Roman" w:cs="Times New Roman"/>
                <w:sz w:val="20"/>
                <w:szCs w:val="20"/>
                <w:lang w:eastAsia="en-AU"/>
              </w:rPr>
            </w:pPr>
          </w:p>
        </w:tc>
        <w:tc>
          <w:tcPr>
            <w:tcW w:w="5760"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Times New Roman" w:eastAsia="Times New Roman" w:hAnsi="Times New Roman" w:cs="Times New Roman"/>
                <w:sz w:val="20"/>
                <w:szCs w:val="20"/>
                <w:lang w:eastAsia="en-AU"/>
              </w:rPr>
            </w:pPr>
          </w:p>
        </w:tc>
      </w:tr>
      <w:tr w:rsidR="008251F9" w:rsidRPr="00B54A75" w:rsidTr="002C1387">
        <w:trPr>
          <w:trHeight w:val="923"/>
        </w:trPr>
        <w:tc>
          <w:tcPr>
            <w:tcW w:w="1840" w:type="dxa"/>
            <w:tcBorders>
              <w:top w:val="nil"/>
              <w:left w:val="nil"/>
              <w:bottom w:val="nil"/>
              <w:right w:val="nil"/>
            </w:tcBorders>
            <w:shd w:val="clear" w:color="000000" w:fill="D9D9D9"/>
            <w:vAlign w:val="bottom"/>
            <w:hideMark/>
          </w:tcPr>
          <w:p w:rsidR="00112011" w:rsidRPr="00B54A75" w:rsidRDefault="00B54A75" w:rsidP="001E46D5">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Luciano et al.</w:t>
            </w:r>
            <w:r w:rsidR="0090349C" w:rsidRPr="00B54A75">
              <w:rPr>
                <w:rFonts w:ascii="Calibri" w:eastAsia="Times New Roman" w:hAnsi="Calibri" w:cs="Calibri"/>
                <w:color w:val="000000"/>
                <w:sz w:val="20"/>
                <w:szCs w:val="20"/>
                <w:lang w:eastAsia="en-AU"/>
              </w:rPr>
              <w:fldChar w:fldCharType="begin" w:fldLock="1"/>
            </w:r>
            <w:r w:rsidR="00C73D5C">
              <w:rPr>
                <w:rFonts w:ascii="Calibri" w:eastAsia="Times New Roman" w:hAnsi="Calibri" w:cs="Calibri"/>
                <w:color w:val="000000"/>
                <w:sz w:val="20"/>
                <w:szCs w:val="20"/>
                <w:lang w:eastAsia="en-AU"/>
              </w:rPr>
              <w:instrText>ADDIN CSL_CITATION { "citationItems" : [ { "id" : "ITEM-1", "itemData" : { "author" : [ { "dropping-particle" : "", "family" : "Luciano", "given" : "Michelle", "non-dropping-particle" : "", "parse-names" : false, "suffix" : "" }, { "dropping-particle" : "", "family" : "Corley", "given" : "Janie", "non-dropping-particle" : "", "parse-names" : false, "suffix" : "" }, { "dropping-particle" : "", "family" : "Cox", "given" : "Simon R", "non-dropping-particle" : "", "parse-names" : false, "suffix" : "" }, { "dropping-particle" : "", "family" : "Hernandez", "given" : "M.C.V.", "non-dropping-particle" : "", "parse-names" : false, "suffix" : "" }, { "dropping-particle" : "", "family" : "Craig", "given" : "Leone C A", "non-dropping-particle" : "", "parse-names" : false, "suffix" : "" }, { "dropping-particle" : "", "family" : "Dickie", "given" : "David Alexander", "non-dropping-particle" : "", "parse-names" : false, "suffix" : "" }, { "dropping-particle" : "", "family" : "Karama", "given" : "S.", "non-dropping-particle" : "", "parse-names" : false, "suffix" : "" }, { "dropping-particle" : "", "family" : "McNeill", "given" : "Geraldine M", "non-dropping-particle" : "", "parse-names" : false, "suffix" : "" }, { "dropping-particle" : "", "family" : "Bastin", "given" : "Mark E", "non-dropping-particle" : "", "parse-names" : false, "suffix" : "" }, { "dropping-particle" : "", "family" : "Wardlaw", "given" : "Joanna M", "non-dropping-particle" : "", "parse-names" : false, "suffix" : "" }, { "dropping-particle" : "", "family" : "Deary", "given" : "I.J.", "non-dropping-particle" : "", "parse-names" : false, "suffix" : "" } ], "container-title" : "Neurology", "id" : "ITEM-1", "issued" : { "date-parts" : [ [ "2017" ] ] }, "page" : "449-456", "title" : "Mediterranean-type diet and brain structural change from 73 to 76 years in a Scottish cohort", "type" : "article-journal", "volume" : "88" }, "uris" : [ "http://www.mendeley.com/documents/?uuid=7b69c185-5a77-4ff3-bab1-a8b0cd4db31d" ] } ], "mendeley" : { "formattedCitation" : "&lt;sup&gt;(37)&lt;/sup&gt;", "plainTextFormattedCitation" : "(37)", "previouslyFormattedCitation" : "&lt;sup&gt;(37)&lt;/sup&gt;" }, "properties" : { "noteIndex" : 0 }, "schema" : "https://github.com/citation-style-language/schema/raw/master/csl-citation.json" }</w:instrText>
            </w:r>
            <w:r w:rsidR="0090349C" w:rsidRPr="00B54A75">
              <w:rPr>
                <w:rFonts w:ascii="Calibri" w:eastAsia="Times New Roman" w:hAnsi="Calibri" w:cs="Calibri"/>
                <w:color w:val="000000"/>
                <w:sz w:val="20"/>
                <w:szCs w:val="20"/>
                <w:lang w:eastAsia="en-AU"/>
              </w:rPr>
              <w:fldChar w:fldCharType="separate"/>
            </w:r>
            <w:r w:rsidRPr="00B54A75">
              <w:rPr>
                <w:rFonts w:ascii="Calibri" w:eastAsia="Times New Roman" w:hAnsi="Calibri" w:cs="Calibri"/>
                <w:noProof/>
                <w:color w:val="000000"/>
                <w:sz w:val="20"/>
                <w:szCs w:val="20"/>
                <w:vertAlign w:val="superscript"/>
                <w:lang w:eastAsia="en-AU"/>
              </w:rPr>
              <w:t>(37)</w:t>
            </w:r>
            <w:r w:rsidR="0090349C" w:rsidRPr="00B54A75">
              <w:rPr>
                <w:rFonts w:ascii="Calibri" w:eastAsia="Times New Roman" w:hAnsi="Calibri" w:cs="Calibri"/>
                <w:color w:val="000000"/>
                <w:sz w:val="20"/>
                <w:szCs w:val="20"/>
                <w:lang w:eastAsia="en-AU"/>
              </w:rPr>
              <w:fldChar w:fldCharType="end"/>
            </w:r>
          </w:p>
        </w:tc>
        <w:tc>
          <w:tcPr>
            <w:tcW w:w="1049"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proofErr w:type="spellStart"/>
            <w:r w:rsidRPr="00B54A75">
              <w:rPr>
                <w:rFonts w:ascii="Calibri" w:eastAsia="Times New Roman" w:hAnsi="Calibri" w:cs="Calibri"/>
                <w:color w:val="000000"/>
                <w:sz w:val="20"/>
                <w:szCs w:val="20"/>
                <w:lang w:eastAsia="en-AU"/>
              </w:rPr>
              <w:t>MeDI</w:t>
            </w:r>
            <w:proofErr w:type="spellEnd"/>
            <w:r w:rsidRPr="00B54A75">
              <w:rPr>
                <w:rFonts w:ascii="Calibri" w:eastAsia="Times New Roman" w:hAnsi="Calibri" w:cs="Calibri"/>
                <w:color w:val="000000"/>
                <w:sz w:val="20"/>
                <w:szCs w:val="20"/>
                <w:lang w:eastAsia="en-AU"/>
              </w:rPr>
              <w:t xml:space="preserve"> (FFQ)</w:t>
            </w:r>
          </w:p>
        </w:tc>
        <w:tc>
          <w:tcPr>
            <w:tcW w:w="1082" w:type="dxa"/>
            <w:tcBorders>
              <w:top w:val="nil"/>
              <w:left w:val="nil"/>
              <w:bottom w:val="nil"/>
              <w:right w:val="nil"/>
            </w:tcBorders>
            <w:shd w:val="clear" w:color="000000" w:fill="D9D9D9"/>
            <w:vAlign w:val="bottom"/>
            <w:hideMark/>
          </w:tcPr>
          <w:p w:rsidR="00112011" w:rsidRPr="00B54A75" w:rsidRDefault="00CA60C8"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H</w:t>
            </w:r>
          </w:p>
        </w:tc>
        <w:tc>
          <w:tcPr>
            <w:tcW w:w="1274"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562</w:t>
            </w:r>
          </w:p>
        </w:tc>
        <w:tc>
          <w:tcPr>
            <w:tcW w:w="1328"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Approx. 70.0 (at FFQ)</w:t>
            </w:r>
          </w:p>
        </w:tc>
        <w:tc>
          <w:tcPr>
            <w:tcW w:w="1418"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72.65</w:t>
            </w:r>
          </w:p>
        </w:tc>
        <w:tc>
          <w:tcPr>
            <w:tcW w:w="1417"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0.72</w:t>
            </w:r>
          </w:p>
        </w:tc>
        <w:tc>
          <w:tcPr>
            <w:tcW w:w="5760"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b/>
                <w:bCs/>
                <w:color w:val="000000"/>
                <w:sz w:val="20"/>
                <w:szCs w:val="20"/>
                <w:lang w:eastAsia="en-AU"/>
              </w:rPr>
            </w:pPr>
            <w:r w:rsidRPr="00B54A75">
              <w:rPr>
                <w:rFonts w:ascii="Calibri" w:eastAsia="Times New Roman" w:hAnsi="Calibri" w:cs="Calibri"/>
                <w:b/>
                <w:bCs/>
                <w:iCs/>
                <w:color w:val="000000"/>
                <w:sz w:val="20"/>
                <w:szCs w:val="20"/>
                <w:lang w:eastAsia="en-AU"/>
              </w:rPr>
              <w:t xml:space="preserve">Longitudinal </w:t>
            </w:r>
            <w:r w:rsidRPr="00B54A75">
              <w:rPr>
                <w:rFonts w:ascii="Calibri" w:eastAsia="Times New Roman" w:hAnsi="Calibri" w:cs="Calibri"/>
                <w:b/>
                <w:bCs/>
                <w:color w:val="000000"/>
                <w:sz w:val="20"/>
                <w:szCs w:val="20"/>
                <w:lang w:eastAsia="en-AU"/>
              </w:rPr>
              <w:t>(MRI; 3 years</w:t>
            </w:r>
            <w:r w:rsidRPr="00B54A75">
              <w:rPr>
                <w:rFonts w:ascii="Calibri" w:eastAsia="Times New Roman" w:hAnsi="Calibri" w:cs="Calibri"/>
                <w:color w:val="000000"/>
                <w:sz w:val="20"/>
                <w:szCs w:val="20"/>
                <w:lang w:eastAsia="en-AU"/>
              </w:rPr>
              <w:t>)</w:t>
            </w:r>
            <w:r w:rsidRPr="00B54A75">
              <w:rPr>
                <w:rFonts w:ascii="Calibri" w:eastAsia="Times New Roman" w:hAnsi="Calibri" w:cs="Calibri"/>
                <w:color w:val="000000"/>
                <w:sz w:val="20"/>
                <w:szCs w:val="20"/>
                <w:lang w:eastAsia="en-AU"/>
              </w:rPr>
              <w:br/>
            </w:r>
            <w:r w:rsidRPr="00B54A75">
              <w:rPr>
                <w:rFonts w:ascii="Calibri" w:eastAsia="Times New Roman" w:hAnsi="Calibri" w:cs="Calibri"/>
                <w:color w:val="000000"/>
                <w:sz w:val="20"/>
                <w:szCs w:val="20"/>
                <w:u w:val="single"/>
                <w:lang w:eastAsia="en-AU"/>
              </w:rPr>
              <w:t xml:space="preserve">↓ </w:t>
            </w:r>
            <w:proofErr w:type="spellStart"/>
            <w:r w:rsidRPr="00B54A75">
              <w:rPr>
                <w:rFonts w:ascii="Calibri" w:eastAsia="Times New Roman" w:hAnsi="Calibri" w:cs="Calibri"/>
                <w:color w:val="000000"/>
                <w:sz w:val="20"/>
                <w:szCs w:val="20"/>
                <w:u w:val="single"/>
                <w:lang w:eastAsia="en-AU"/>
              </w:rPr>
              <w:t>MeDI</w:t>
            </w:r>
            <w:proofErr w:type="spellEnd"/>
            <w:r w:rsidRPr="00B54A75">
              <w:rPr>
                <w:rFonts w:ascii="Calibri" w:eastAsia="Times New Roman" w:hAnsi="Calibri" w:cs="Calibri"/>
                <w:color w:val="000000"/>
                <w:sz w:val="20"/>
                <w:szCs w:val="20"/>
                <w:u w:val="single"/>
                <w:lang w:eastAsia="en-AU"/>
              </w:rPr>
              <w:t xml:space="preserve"> score</w:t>
            </w:r>
            <w:r w:rsidRPr="00B54A75">
              <w:rPr>
                <w:rFonts w:ascii="Calibri" w:eastAsia="Times New Roman" w:hAnsi="Calibri" w:cs="Calibri"/>
                <w:color w:val="000000"/>
                <w:sz w:val="20"/>
                <w:szCs w:val="20"/>
                <w:lang w:eastAsia="en-AU"/>
              </w:rPr>
              <w:t xml:space="preserve"> was associated with</w:t>
            </w:r>
            <w:r w:rsidRPr="00B54A75">
              <w:rPr>
                <w:rFonts w:ascii="Calibri" w:eastAsia="Times New Roman" w:hAnsi="Calibri" w:cs="Calibri"/>
                <w:color w:val="000000"/>
                <w:sz w:val="20"/>
                <w:szCs w:val="20"/>
                <w:lang w:eastAsia="en-AU"/>
              </w:rPr>
              <w:br/>
              <w:t xml:space="preserve">           ↑ </w:t>
            </w:r>
            <w:proofErr w:type="gramStart"/>
            <w:r w:rsidRPr="00B54A75">
              <w:rPr>
                <w:rFonts w:ascii="Calibri" w:eastAsia="Times New Roman" w:hAnsi="Calibri" w:cs="Calibri"/>
                <w:color w:val="000000"/>
                <w:sz w:val="20"/>
                <w:szCs w:val="20"/>
                <w:lang w:eastAsia="en-AU"/>
              </w:rPr>
              <w:t>3 year</w:t>
            </w:r>
            <w:proofErr w:type="gramEnd"/>
            <w:r w:rsidRPr="00B54A75">
              <w:rPr>
                <w:rFonts w:ascii="Calibri" w:eastAsia="Times New Roman" w:hAnsi="Calibri" w:cs="Calibri"/>
                <w:color w:val="000000"/>
                <w:sz w:val="20"/>
                <w:szCs w:val="20"/>
                <w:lang w:eastAsia="en-AU"/>
              </w:rPr>
              <w:t xml:space="preserve"> reduction in </w:t>
            </w:r>
            <w:proofErr w:type="spellStart"/>
            <w:r w:rsidRPr="00B54A75">
              <w:rPr>
                <w:rFonts w:ascii="Calibri" w:eastAsia="Times New Roman" w:hAnsi="Calibri" w:cs="Calibri"/>
                <w:color w:val="000000"/>
                <w:sz w:val="20"/>
                <w:szCs w:val="20"/>
                <w:lang w:eastAsia="en-AU"/>
              </w:rPr>
              <w:t>TCv</w:t>
            </w:r>
            <w:proofErr w:type="spellEnd"/>
            <w:r w:rsidRPr="00B54A75">
              <w:rPr>
                <w:rFonts w:ascii="Calibri" w:eastAsia="Times New Roman" w:hAnsi="Calibri" w:cs="Calibri"/>
                <w:color w:val="000000"/>
                <w:sz w:val="20"/>
                <w:szCs w:val="20"/>
                <w:lang w:eastAsia="en-AU"/>
              </w:rPr>
              <w:t xml:space="preserve">       </w:t>
            </w:r>
          </w:p>
        </w:tc>
      </w:tr>
      <w:tr w:rsidR="009321E8" w:rsidRPr="00B54A75" w:rsidTr="00222F25">
        <w:trPr>
          <w:trHeight w:val="2700"/>
        </w:trPr>
        <w:tc>
          <w:tcPr>
            <w:tcW w:w="1840" w:type="dxa"/>
            <w:tcBorders>
              <w:top w:val="nil"/>
              <w:left w:val="nil"/>
              <w:bottom w:val="nil"/>
              <w:right w:val="nil"/>
            </w:tcBorders>
            <w:shd w:val="clear" w:color="auto" w:fill="auto"/>
            <w:vAlign w:val="bottom"/>
            <w:hideMark/>
          </w:tcPr>
          <w:p w:rsidR="00112011" w:rsidRPr="00B54A75" w:rsidRDefault="00B54A75" w:rsidP="001E46D5">
            <w:pPr>
              <w:spacing w:after="0" w:line="240" w:lineRule="auto"/>
              <w:rPr>
                <w:rFonts w:ascii="Calibri" w:eastAsia="Times New Roman" w:hAnsi="Calibri" w:cs="Calibri"/>
                <w:color w:val="000000"/>
                <w:sz w:val="20"/>
                <w:szCs w:val="20"/>
                <w:lang w:eastAsia="en-AU"/>
              </w:rPr>
            </w:pPr>
            <w:proofErr w:type="spellStart"/>
            <w:r w:rsidRPr="00B54A75">
              <w:rPr>
                <w:rFonts w:ascii="Calibri" w:eastAsia="Times New Roman" w:hAnsi="Calibri" w:cs="Calibri"/>
                <w:color w:val="000000"/>
                <w:sz w:val="20"/>
                <w:szCs w:val="20"/>
                <w:lang w:eastAsia="en-AU"/>
              </w:rPr>
              <w:lastRenderedPageBreak/>
              <w:t>Staubo</w:t>
            </w:r>
            <w:proofErr w:type="spellEnd"/>
            <w:r w:rsidRPr="00B54A75">
              <w:rPr>
                <w:rFonts w:ascii="Calibri" w:eastAsia="Times New Roman" w:hAnsi="Calibri" w:cs="Calibri"/>
                <w:color w:val="000000"/>
                <w:sz w:val="20"/>
                <w:szCs w:val="20"/>
                <w:lang w:eastAsia="en-AU"/>
              </w:rPr>
              <w:t xml:space="preserve"> et al.</w:t>
            </w:r>
            <w:r w:rsidR="00CA60C8" w:rsidRPr="00B54A75">
              <w:rPr>
                <w:rFonts w:ascii="Calibri" w:eastAsia="Times New Roman" w:hAnsi="Calibri" w:cs="Calibri"/>
                <w:color w:val="000000"/>
                <w:sz w:val="20"/>
                <w:szCs w:val="20"/>
                <w:lang w:eastAsia="en-AU"/>
              </w:rPr>
              <w:fldChar w:fldCharType="begin" w:fldLock="1"/>
            </w:r>
            <w:r w:rsidR="00C73D5C">
              <w:rPr>
                <w:rFonts w:ascii="Calibri" w:eastAsia="Times New Roman" w:hAnsi="Calibri" w:cs="Calibri"/>
                <w:color w:val="000000"/>
                <w:sz w:val="20"/>
                <w:szCs w:val="20"/>
                <w:lang w:eastAsia="en-AU"/>
              </w:rPr>
              <w:instrText>ADDIN CSL_CITATION { "citationItems" : [ { "id" : "ITEM-1", "itemData" : { "DOI" : "10.1016/j.jalz.2016.06.2359", "ISSN" : "1552-5279", "PMID" : "27461490", "abstract" : "INTRODUCTION: The Mediterranean diet (MeDi) is associated with reduced risk of cognitive impairment, but it is unclear whether it is associated with better brain imaging biomarkers. METHODS: Among 672 cognitively normal participants (mean age, 79.8 years, 52.5% men), we investigated associations of MeDi score and MeDi components with magnetic resonance imaging measures of cortical thickness for the four lobes separately and averaged (average lobar). RESULTS: Higher MeDi score was associated with larger frontal, parietal, occipital, and average lobar cortical thickness. Higher legume and fish intakes were associated with larger cortical thickness: legumes with larger superior parietal, inferior parietal, precuneus, parietal, occipital, lingual, and fish with larger precuneus, superior parietal, posterior cingulate, parietal, and inferior parietal. Higher carbohydrate and sugar intakes were associated with lower entorhinal cortical thickness. DISCUSSION: In this sample of elderly persons, higher adherence to MeDi was associated with larger cortical thickness. These cross-sectional findings require validation in prospective studies.", "author" : [ { "dropping-particle" : "", "family" : "Staubo", "given" : "Sara C", "non-dropping-particle" : "", "parse-names" : false, "suffix" : "" }, { "dropping-particle" : "", "family" : "Aakre", "given" : "Jeremiah a", "non-dropping-particle" : "", "parse-names" : false, "suffix" : "" }, { "dropping-particle" : "", "family" : "Vemuri", "given" : "Prashanthi", "non-dropping-particle" : "", "parse-names" : false, "suffix" : "" }, { "dropping-particle" : "", "family" : "Syrjanen", "given" : "Jeremy A", "non-dropping-particle" : "", "parse-names" : false, "suffix" : "" }, { "dropping-particle" : "", "family" : "Mielke", "given" : "Michelle M", "non-dropping-particle" : "", "parse-names" : false, "suffix" : "" }, { "dropping-particle" : "", "family" : "Geda", "given" : "Yonas E", "non-dropping-particle" : "", "parse-names" : false, "suffix" : "" }, { "dropping-particle" : "", "family" : "Kremers", "given" : "Walter K", "non-dropping-particle" : "", "parse-names" : false, "suffix" : "" }, { "dropping-particle" : "", "family" : "Machulda", "given" : "Mary M", "non-dropping-particle" : "", "parse-names" : false, "suffix" : "" }, { "dropping-particle" : "", "family" : "Knopman", "given" : "David S", "non-dropping-particle" : "", "parse-names" : false, "suffix" : "" }, { "dropping-particle" : "", "family" : "Petersen", "given" : "Ronald C", "non-dropping-particle" : "", "parse-names" : false, "suffix" : "" }, { "dropping-particle" : "", "family" : "Jack", "given" : "Clifford R", "non-dropping-particle" : "", "parse-names" : false, "suffix" : "" }, { "dropping-particle" : "", "family" : "Roberts", "given" : "Rosebud O", "non-dropping-particle" : "", "parse-names" : false, "suffix" : "" } ], "container-title" : "Alzheimer's &amp; Dementia", "id" : "ITEM-1", "issued" : { "date-parts" : [ [ "2017", "7" ] ] }, "page" : "168-177", "publisher" : "Elsevier Inc.", "title" : "Mediterranean diet, micronutrients and macronutrients, and MRI measures of cortical thickness", "type" : "article-journal", "volume" : "13" }, "uris" : [ "http://www.mendeley.com/documents/?uuid=72da7314-4d18-4c8d-ab33-ed77d48c7e89" ] } ], "mendeley" : { "formattedCitation" : "&lt;sup&gt;(38)&lt;/sup&gt;", "plainTextFormattedCitation" : "(38)", "previouslyFormattedCitation" : "&lt;sup&gt;(38)&lt;/sup&gt;" }, "properties" : { "noteIndex" : 0 }, "schema" : "https://github.com/citation-style-language/schema/raw/master/csl-citation.json" }</w:instrText>
            </w:r>
            <w:r w:rsidR="00CA60C8" w:rsidRPr="00B54A75">
              <w:rPr>
                <w:rFonts w:ascii="Calibri" w:eastAsia="Times New Roman" w:hAnsi="Calibri" w:cs="Calibri"/>
                <w:color w:val="000000"/>
                <w:sz w:val="20"/>
                <w:szCs w:val="20"/>
                <w:lang w:eastAsia="en-AU"/>
              </w:rPr>
              <w:fldChar w:fldCharType="separate"/>
            </w:r>
            <w:r w:rsidRPr="00B54A75">
              <w:rPr>
                <w:rFonts w:ascii="Calibri" w:eastAsia="Times New Roman" w:hAnsi="Calibri" w:cs="Calibri"/>
                <w:noProof/>
                <w:color w:val="000000"/>
                <w:sz w:val="20"/>
                <w:szCs w:val="20"/>
                <w:vertAlign w:val="superscript"/>
                <w:lang w:eastAsia="en-AU"/>
              </w:rPr>
              <w:t>(38)</w:t>
            </w:r>
            <w:r w:rsidR="00CA60C8" w:rsidRPr="00B54A75">
              <w:rPr>
                <w:rFonts w:ascii="Calibri" w:eastAsia="Times New Roman" w:hAnsi="Calibri" w:cs="Calibri"/>
                <w:color w:val="000000"/>
                <w:sz w:val="20"/>
                <w:szCs w:val="20"/>
                <w:lang w:eastAsia="en-AU"/>
              </w:rPr>
              <w:fldChar w:fldCharType="end"/>
            </w:r>
          </w:p>
        </w:tc>
        <w:tc>
          <w:tcPr>
            <w:tcW w:w="1049"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proofErr w:type="spellStart"/>
            <w:r w:rsidRPr="00B54A75">
              <w:rPr>
                <w:rFonts w:ascii="Calibri" w:eastAsia="Times New Roman" w:hAnsi="Calibri" w:cs="Calibri"/>
                <w:color w:val="000000"/>
                <w:sz w:val="20"/>
                <w:szCs w:val="20"/>
                <w:lang w:eastAsia="en-AU"/>
              </w:rPr>
              <w:t>MeDI</w:t>
            </w:r>
            <w:proofErr w:type="spellEnd"/>
            <w:r w:rsidRPr="00B54A75">
              <w:rPr>
                <w:rFonts w:ascii="Calibri" w:eastAsia="Times New Roman" w:hAnsi="Calibri" w:cs="Calibri"/>
                <w:color w:val="000000"/>
                <w:sz w:val="20"/>
                <w:szCs w:val="20"/>
                <w:lang w:eastAsia="en-AU"/>
              </w:rPr>
              <w:t xml:space="preserve"> (FFQ)</w:t>
            </w:r>
          </w:p>
        </w:tc>
        <w:tc>
          <w:tcPr>
            <w:tcW w:w="1082" w:type="dxa"/>
            <w:tcBorders>
              <w:top w:val="nil"/>
              <w:left w:val="nil"/>
              <w:bottom w:val="nil"/>
              <w:right w:val="nil"/>
            </w:tcBorders>
            <w:shd w:val="clear" w:color="auto" w:fill="auto"/>
            <w:vAlign w:val="bottom"/>
            <w:hideMark/>
          </w:tcPr>
          <w:p w:rsidR="00112011" w:rsidRPr="00B54A75" w:rsidRDefault="002C1387" w:rsidP="00112011">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CN</w:t>
            </w:r>
          </w:p>
        </w:tc>
        <w:tc>
          <w:tcPr>
            <w:tcW w:w="1274"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672</w:t>
            </w:r>
          </w:p>
        </w:tc>
        <w:tc>
          <w:tcPr>
            <w:tcW w:w="1328"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70.0 - 89.0</w:t>
            </w:r>
          </w:p>
        </w:tc>
        <w:tc>
          <w:tcPr>
            <w:tcW w:w="1418"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79.80</w:t>
            </w:r>
          </w:p>
        </w:tc>
        <w:tc>
          <w:tcPr>
            <w:tcW w:w="1417"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5.0</w:t>
            </w:r>
          </w:p>
        </w:tc>
        <w:tc>
          <w:tcPr>
            <w:tcW w:w="5760"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b/>
                <w:bCs/>
                <w:iCs/>
                <w:color w:val="000000"/>
                <w:sz w:val="20"/>
                <w:szCs w:val="20"/>
                <w:lang w:eastAsia="en-AU"/>
              </w:rPr>
              <w:t>Cross sectional</w:t>
            </w:r>
            <w:r w:rsidRPr="00B54A75">
              <w:rPr>
                <w:rFonts w:ascii="Calibri" w:eastAsia="Times New Roman" w:hAnsi="Calibri" w:cs="Calibri"/>
                <w:b/>
                <w:bCs/>
                <w:color w:val="000000"/>
                <w:sz w:val="20"/>
                <w:szCs w:val="20"/>
                <w:lang w:eastAsia="en-AU"/>
              </w:rPr>
              <w:t xml:space="preserve"> (MRI)</w:t>
            </w:r>
            <w:r w:rsidRPr="00B54A75">
              <w:rPr>
                <w:rFonts w:ascii="Calibri" w:eastAsia="Times New Roman" w:hAnsi="Calibri" w:cs="Calibri"/>
                <w:color w:val="000000"/>
                <w:sz w:val="20"/>
                <w:szCs w:val="20"/>
                <w:lang w:eastAsia="en-AU"/>
              </w:rPr>
              <w:br/>
            </w:r>
            <w:r w:rsidRPr="00B54A75">
              <w:rPr>
                <w:rFonts w:ascii="Calibri" w:eastAsia="Times New Roman" w:hAnsi="Calibri" w:cs="Calibri"/>
                <w:color w:val="000000"/>
                <w:sz w:val="20"/>
                <w:szCs w:val="20"/>
                <w:u w:val="single"/>
                <w:lang w:eastAsia="en-AU"/>
              </w:rPr>
              <w:t xml:space="preserve">↑ </w:t>
            </w:r>
            <w:proofErr w:type="spellStart"/>
            <w:r w:rsidRPr="00B54A75">
              <w:rPr>
                <w:rFonts w:ascii="Calibri" w:eastAsia="Times New Roman" w:hAnsi="Calibri" w:cs="Calibri"/>
                <w:color w:val="000000"/>
                <w:sz w:val="20"/>
                <w:szCs w:val="20"/>
                <w:u w:val="single"/>
                <w:lang w:eastAsia="en-AU"/>
              </w:rPr>
              <w:t>MeDI</w:t>
            </w:r>
            <w:proofErr w:type="spellEnd"/>
            <w:r w:rsidRPr="00B54A75">
              <w:rPr>
                <w:rFonts w:ascii="Calibri" w:eastAsia="Times New Roman" w:hAnsi="Calibri" w:cs="Calibri"/>
                <w:color w:val="000000"/>
                <w:sz w:val="20"/>
                <w:szCs w:val="20"/>
                <w:u w:val="single"/>
                <w:lang w:eastAsia="en-AU"/>
              </w:rPr>
              <w:t xml:space="preserve"> score</w:t>
            </w:r>
            <w:r w:rsidRPr="00B54A75">
              <w:rPr>
                <w:rFonts w:ascii="Calibri" w:eastAsia="Times New Roman" w:hAnsi="Calibri" w:cs="Calibri"/>
                <w:color w:val="000000"/>
                <w:sz w:val="20"/>
                <w:szCs w:val="20"/>
                <w:lang w:eastAsia="en-AU"/>
              </w:rPr>
              <w:t xml:space="preserve"> was associated with:</w:t>
            </w:r>
            <w:r w:rsidRPr="00B54A75">
              <w:rPr>
                <w:rFonts w:ascii="Calibri" w:eastAsia="Times New Roman" w:hAnsi="Calibri" w:cs="Calibri"/>
                <w:color w:val="000000"/>
                <w:sz w:val="20"/>
                <w:szCs w:val="20"/>
                <w:lang w:eastAsia="en-AU"/>
              </w:rPr>
              <w:br/>
              <w:t xml:space="preserve">           ↑ CT within FL, PL, TL, &amp; OL</w:t>
            </w:r>
            <w:r w:rsidRPr="00B54A75">
              <w:rPr>
                <w:rFonts w:ascii="Calibri" w:eastAsia="Times New Roman" w:hAnsi="Calibri" w:cs="Calibri"/>
                <w:iCs/>
                <w:color w:val="000000"/>
                <w:sz w:val="20"/>
                <w:szCs w:val="20"/>
                <w:lang w:eastAsia="en-AU"/>
              </w:rPr>
              <w:br/>
            </w:r>
            <w:r w:rsidRPr="00B54A75">
              <w:rPr>
                <w:rFonts w:ascii="Calibri" w:eastAsia="Times New Roman" w:hAnsi="Calibri" w:cs="Calibri"/>
                <w:color w:val="000000"/>
                <w:sz w:val="20"/>
                <w:szCs w:val="20"/>
                <w:u w:val="single"/>
                <w:lang w:eastAsia="en-AU"/>
              </w:rPr>
              <w:t>↑ Fish, legume, vegetable, &amp; whole grain/cereal intake</w:t>
            </w:r>
            <w:r w:rsidRPr="00B54A75">
              <w:rPr>
                <w:rFonts w:ascii="Calibri" w:eastAsia="Times New Roman" w:hAnsi="Calibri" w:cs="Calibri"/>
                <w:color w:val="000000"/>
                <w:sz w:val="20"/>
                <w:szCs w:val="20"/>
                <w:lang w:eastAsia="en-AU"/>
              </w:rPr>
              <w:t xml:space="preserve"> was associated with: </w:t>
            </w:r>
            <w:r w:rsidRPr="00B54A75">
              <w:rPr>
                <w:rFonts w:ascii="Calibri" w:eastAsia="Times New Roman" w:hAnsi="Calibri" w:cs="Calibri"/>
                <w:color w:val="000000"/>
                <w:sz w:val="20"/>
                <w:szCs w:val="20"/>
                <w:lang w:eastAsia="en-AU"/>
              </w:rPr>
              <w:br/>
              <w:t xml:space="preserve">           ↑ CT within FL, PL, TL &amp; OL</w:t>
            </w:r>
            <w:r w:rsidRPr="00B54A75">
              <w:rPr>
                <w:rFonts w:ascii="Calibri" w:eastAsia="Times New Roman" w:hAnsi="Calibri" w:cs="Calibri"/>
                <w:color w:val="000000"/>
                <w:sz w:val="20"/>
                <w:szCs w:val="20"/>
                <w:lang w:eastAsia="en-AU"/>
              </w:rPr>
              <w:br/>
            </w:r>
            <w:r w:rsidRPr="00B54A75">
              <w:rPr>
                <w:rFonts w:ascii="Calibri" w:eastAsia="Times New Roman" w:hAnsi="Calibri" w:cs="Calibri"/>
                <w:color w:val="000000"/>
                <w:sz w:val="20"/>
                <w:szCs w:val="20"/>
                <w:u w:val="single"/>
                <w:lang w:eastAsia="en-AU"/>
              </w:rPr>
              <w:t>↑ Fruit intake</w:t>
            </w:r>
            <w:r w:rsidRPr="00B54A75">
              <w:rPr>
                <w:rFonts w:ascii="Calibri" w:eastAsia="Times New Roman" w:hAnsi="Calibri" w:cs="Calibri"/>
                <w:color w:val="000000"/>
                <w:sz w:val="20"/>
                <w:szCs w:val="20"/>
                <w:lang w:eastAsia="en-AU"/>
              </w:rPr>
              <w:t xml:space="preserve"> was associated with:</w:t>
            </w:r>
            <w:r w:rsidRPr="00B54A75">
              <w:rPr>
                <w:rFonts w:ascii="Calibri" w:eastAsia="Times New Roman" w:hAnsi="Calibri" w:cs="Calibri"/>
                <w:color w:val="000000"/>
                <w:sz w:val="20"/>
                <w:szCs w:val="20"/>
                <w:lang w:eastAsia="en-AU"/>
              </w:rPr>
              <w:br/>
              <w:t xml:space="preserve">           ↓ CT within PL</w:t>
            </w:r>
            <w:r w:rsidRPr="00B54A75">
              <w:rPr>
                <w:rFonts w:ascii="Calibri" w:eastAsia="Times New Roman" w:hAnsi="Calibri" w:cs="Calibri"/>
                <w:iCs/>
                <w:color w:val="000000"/>
                <w:sz w:val="20"/>
                <w:szCs w:val="20"/>
                <w:lang w:eastAsia="en-AU"/>
              </w:rPr>
              <w:br/>
            </w:r>
            <w:r w:rsidRPr="00B54A75">
              <w:rPr>
                <w:rFonts w:ascii="Calibri" w:eastAsia="Times New Roman" w:hAnsi="Calibri" w:cs="Calibri"/>
                <w:color w:val="000000"/>
                <w:sz w:val="20"/>
                <w:szCs w:val="20"/>
                <w:u w:val="single"/>
                <w:lang w:eastAsia="en-AU"/>
              </w:rPr>
              <w:t>↑ Red meat intake</w:t>
            </w:r>
            <w:r w:rsidRPr="00B54A75">
              <w:rPr>
                <w:rFonts w:ascii="Calibri" w:eastAsia="Times New Roman" w:hAnsi="Calibri" w:cs="Calibri"/>
                <w:color w:val="000000"/>
                <w:sz w:val="20"/>
                <w:szCs w:val="20"/>
                <w:lang w:eastAsia="en-AU"/>
              </w:rPr>
              <w:t xml:space="preserve"> was associated with:</w:t>
            </w:r>
            <w:r w:rsidRPr="00B54A75">
              <w:rPr>
                <w:rFonts w:ascii="Calibri" w:eastAsia="Times New Roman" w:hAnsi="Calibri" w:cs="Calibri"/>
                <w:color w:val="000000"/>
                <w:sz w:val="20"/>
                <w:szCs w:val="20"/>
                <w:lang w:eastAsia="en-AU"/>
              </w:rPr>
              <w:br/>
              <w:t xml:space="preserve">           ↑ CT of ERC</w:t>
            </w:r>
          </w:p>
        </w:tc>
      </w:tr>
      <w:tr w:rsidR="008251F9" w:rsidRPr="00B54A75" w:rsidTr="00222F25">
        <w:trPr>
          <w:trHeight w:val="2940"/>
        </w:trPr>
        <w:tc>
          <w:tcPr>
            <w:tcW w:w="1840" w:type="dxa"/>
            <w:tcBorders>
              <w:top w:val="nil"/>
              <w:left w:val="nil"/>
              <w:bottom w:val="nil"/>
              <w:right w:val="nil"/>
            </w:tcBorders>
            <w:shd w:val="clear" w:color="000000" w:fill="D9D9D9"/>
            <w:vAlign w:val="bottom"/>
            <w:hideMark/>
          </w:tcPr>
          <w:p w:rsidR="00112011" w:rsidRPr="00B54A75" w:rsidRDefault="00B54A75" w:rsidP="001E46D5">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Gu et al.</w:t>
            </w:r>
            <w:r w:rsidR="00CA60C8" w:rsidRPr="00B54A75">
              <w:rPr>
                <w:rFonts w:ascii="Calibri" w:eastAsia="Times New Roman" w:hAnsi="Calibri" w:cs="Calibri"/>
                <w:color w:val="000000"/>
                <w:sz w:val="20"/>
                <w:szCs w:val="20"/>
                <w:lang w:eastAsia="en-AU"/>
              </w:rPr>
              <w:fldChar w:fldCharType="begin" w:fldLock="1"/>
            </w:r>
            <w:r w:rsidR="00C73D5C">
              <w:rPr>
                <w:rFonts w:ascii="Calibri" w:eastAsia="Times New Roman" w:hAnsi="Calibri" w:cs="Calibri"/>
                <w:color w:val="000000"/>
                <w:sz w:val="20"/>
                <w:szCs w:val="20"/>
                <w:lang w:eastAsia="en-AU"/>
              </w:rPr>
              <w:instrText>ADDIN CSL_CITATION { "citationItems" : [ { "id" : "ITEM-1", "itemData" : { "ISBN" : "0000000000", "author" : [ { "dropping-particle" : "", "family" : "Gu", "given" : "Yian", "non-dropping-particle" : "", "parse-names" : false, "suffix" : "" }, { "dropping-particle" : "", "family" : "Brickman", "given" : "Adam M", "non-dropping-particle" : "", "parse-names" : false, "suffix" : "" }, { "dropping-particle" : "", "family" : "Stern", "given" : "Yaakov", "non-dropping-particle" : "", "parse-names" : false, "suffix" : "" }, { "dropping-particle" : "", "family" : "Habeck", "given" : "Christian G", "non-dropping-particle" : "", "parse-names" : false, "suffix" : "" }, { "dropping-particle" : "", "family" : "Manly", "given" : "Jennifer J", "non-dropping-particle" : "", "parse-names" : false, "suffix" : "" }, { "dropping-particle" : "", "family" : "Schupf", "given" : "Nicole", "non-dropping-particle" : "", "parse-names" : false, "suffix" : "" }, { "dropping-particle" : "", "family" : "Mayeux", "given" : "Richard", "non-dropping-particle" : "", "parse-names" : false, "suffix" : "" } ], "container-title" : "Neurology", "id" : "ITEM-1", "issued" : { "date-parts" : [ [ "2015" ] ] }, "page" : "1-8", "title" : "Mediterranean diet and brain structure in a multiethnic elderly cohort", "type" : "article-journal", "volume" : "85" }, "uris" : [ "http://www.mendeley.com/documents/?uuid=365d134c-ac30-43bc-899e-12bdcbf94f40" ] } ], "mendeley" : { "formattedCitation" : "&lt;sup&gt;(39)&lt;/sup&gt;", "plainTextFormattedCitation" : "(39)", "previouslyFormattedCitation" : "&lt;sup&gt;(39)&lt;/sup&gt;" }, "properties" : { "noteIndex" : 0 }, "schema" : "https://github.com/citation-style-language/schema/raw/master/csl-citation.json" }</w:instrText>
            </w:r>
            <w:r w:rsidR="00CA60C8" w:rsidRPr="00B54A75">
              <w:rPr>
                <w:rFonts w:ascii="Calibri" w:eastAsia="Times New Roman" w:hAnsi="Calibri" w:cs="Calibri"/>
                <w:color w:val="000000"/>
                <w:sz w:val="20"/>
                <w:szCs w:val="20"/>
                <w:lang w:eastAsia="en-AU"/>
              </w:rPr>
              <w:fldChar w:fldCharType="separate"/>
            </w:r>
            <w:r w:rsidRPr="00B54A75">
              <w:rPr>
                <w:rFonts w:ascii="Calibri" w:eastAsia="Times New Roman" w:hAnsi="Calibri" w:cs="Calibri"/>
                <w:noProof/>
                <w:color w:val="000000"/>
                <w:sz w:val="20"/>
                <w:szCs w:val="20"/>
                <w:vertAlign w:val="superscript"/>
                <w:lang w:eastAsia="en-AU"/>
              </w:rPr>
              <w:t>(39)</w:t>
            </w:r>
            <w:r w:rsidR="00CA60C8" w:rsidRPr="00B54A75">
              <w:rPr>
                <w:rFonts w:ascii="Calibri" w:eastAsia="Times New Roman" w:hAnsi="Calibri" w:cs="Calibri"/>
                <w:color w:val="000000"/>
                <w:sz w:val="20"/>
                <w:szCs w:val="20"/>
                <w:lang w:eastAsia="en-AU"/>
              </w:rPr>
              <w:fldChar w:fldCharType="end"/>
            </w:r>
          </w:p>
        </w:tc>
        <w:tc>
          <w:tcPr>
            <w:tcW w:w="1049"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proofErr w:type="spellStart"/>
            <w:r w:rsidRPr="00B54A75">
              <w:rPr>
                <w:rFonts w:ascii="Calibri" w:eastAsia="Times New Roman" w:hAnsi="Calibri" w:cs="Calibri"/>
                <w:color w:val="000000"/>
                <w:sz w:val="20"/>
                <w:szCs w:val="20"/>
                <w:lang w:eastAsia="en-AU"/>
              </w:rPr>
              <w:t>MeDI</w:t>
            </w:r>
            <w:proofErr w:type="spellEnd"/>
            <w:r w:rsidRPr="00B54A75">
              <w:rPr>
                <w:rFonts w:ascii="Calibri" w:eastAsia="Times New Roman" w:hAnsi="Calibri" w:cs="Calibri"/>
                <w:color w:val="000000"/>
                <w:sz w:val="20"/>
                <w:szCs w:val="20"/>
                <w:lang w:eastAsia="en-AU"/>
              </w:rPr>
              <w:t xml:space="preserve"> (FFQ)</w:t>
            </w:r>
          </w:p>
        </w:tc>
        <w:tc>
          <w:tcPr>
            <w:tcW w:w="1082"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DF</w:t>
            </w:r>
          </w:p>
        </w:tc>
        <w:tc>
          <w:tcPr>
            <w:tcW w:w="1274"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674</w:t>
            </w:r>
          </w:p>
        </w:tc>
        <w:tc>
          <w:tcPr>
            <w:tcW w:w="1328"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≥65.0</w:t>
            </w:r>
          </w:p>
        </w:tc>
        <w:tc>
          <w:tcPr>
            <w:tcW w:w="1418"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80.10</w:t>
            </w:r>
          </w:p>
        </w:tc>
        <w:tc>
          <w:tcPr>
            <w:tcW w:w="1417"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5.60</w:t>
            </w:r>
          </w:p>
        </w:tc>
        <w:tc>
          <w:tcPr>
            <w:tcW w:w="5760"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b/>
                <w:bCs/>
                <w:color w:val="000000"/>
                <w:sz w:val="20"/>
                <w:szCs w:val="20"/>
                <w:lang w:eastAsia="en-AU"/>
              </w:rPr>
            </w:pPr>
            <w:r w:rsidRPr="00B54A75">
              <w:rPr>
                <w:rFonts w:ascii="Calibri" w:eastAsia="Times New Roman" w:hAnsi="Calibri" w:cs="Calibri"/>
                <w:b/>
                <w:bCs/>
                <w:iCs/>
                <w:color w:val="000000"/>
                <w:sz w:val="20"/>
                <w:szCs w:val="20"/>
                <w:lang w:eastAsia="en-AU"/>
              </w:rPr>
              <w:t xml:space="preserve">Cross sectional </w:t>
            </w:r>
            <w:r w:rsidRPr="00B54A75">
              <w:rPr>
                <w:rFonts w:ascii="Calibri" w:eastAsia="Times New Roman" w:hAnsi="Calibri" w:cs="Calibri"/>
                <w:b/>
                <w:bCs/>
                <w:color w:val="000000"/>
                <w:sz w:val="20"/>
                <w:szCs w:val="20"/>
                <w:lang w:eastAsia="en-AU"/>
              </w:rPr>
              <w:t>(MRI)</w:t>
            </w:r>
            <w:r w:rsidRPr="00B54A75">
              <w:rPr>
                <w:rFonts w:ascii="Calibri" w:eastAsia="Times New Roman" w:hAnsi="Calibri" w:cs="Calibri"/>
                <w:color w:val="000000"/>
                <w:sz w:val="20"/>
                <w:szCs w:val="20"/>
                <w:lang w:eastAsia="en-AU"/>
              </w:rPr>
              <w:br/>
            </w:r>
            <w:proofErr w:type="spellStart"/>
            <w:r w:rsidRPr="00B54A75">
              <w:rPr>
                <w:rFonts w:ascii="Calibri" w:eastAsia="Times New Roman" w:hAnsi="Calibri" w:cs="Calibri"/>
                <w:color w:val="000000"/>
                <w:sz w:val="20"/>
                <w:szCs w:val="20"/>
                <w:u w:val="single"/>
                <w:lang w:eastAsia="en-AU"/>
              </w:rPr>
              <w:t>MeDI</w:t>
            </w:r>
            <w:proofErr w:type="spellEnd"/>
            <w:r w:rsidRPr="00B54A75">
              <w:rPr>
                <w:rFonts w:ascii="Calibri" w:eastAsia="Times New Roman" w:hAnsi="Calibri" w:cs="Calibri"/>
                <w:color w:val="000000"/>
                <w:sz w:val="20"/>
                <w:szCs w:val="20"/>
                <w:u w:val="single"/>
                <w:lang w:eastAsia="en-AU"/>
              </w:rPr>
              <w:t xml:space="preserve"> score (≥5)</w:t>
            </w:r>
            <w:r w:rsidRPr="00B54A75">
              <w:rPr>
                <w:rFonts w:ascii="Calibri" w:eastAsia="Times New Roman" w:hAnsi="Calibri" w:cs="Calibri"/>
                <w:color w:val="000000"/>
                <w:sz w:val="20"/>
                <w:szCs w:val="20"/>
                <w:lang w:eastAsia="en-AU"/>
              </w:rPr>
              <w:t xml:space="preserve"> was associated with:</w:t>
            </w:r>
            <w:r w:rsidRPr="00B54A75">
              <w:rPr>
                <w:rFonts w:ascii="Calibri" w:eastAsia="Times New Roman" w:hAnsi="Calibri" w:cs="Calibri"/>
                <w:color w:val="000000"/>
                <w:sz w:val="20"/>
                <w:szCs w:val="20"/>
                <w:lang w:eastAsia="en-AU"/>
              </w:rPr>
              <w:br/>
              <w:t xml:space="preserve">          ↑ </w:t>
            </w:r>
            <w:proofErr w:type="spellStart"/>
            <w:r w:rsidRPr="00B54A75">
              <w:rPr>
                <w:rFonts w:ascii="Calibri" w:eastAsia="Times New Roman" w:hAnsi="Calibri" w:cs="Calibri"/>
                <w:color w:val="000000"/>
                <w:sz w:val="20"/>
                <w:szCs w:val="20"/>
                <w:lang w:eastAsia="en-AU"/>
              </w:rPr>
              <w:t>TCv</w:t>
            </w:r>
            <w:proofErr w:type="spellEnd"/>
            <w:r w:rsidRPr="00B54A75">
              <w:rPr>
                <w:rFonts w:ascii="Calibri" w:eastAsia="Times New Roman" w:hAnsi="Calibri" w:cs="Calibri"/>
                <w:color w:val="000000"/>
                <w:sz w:val="20"/>
                <w:szCs w:val="20"/>
                <w:lang w:eastAsia="en-AU"/>
              </w:rPr>
              <w:br/>
              <w:t xml:space="preserve">          ↑ TC-</w:t>
            </w:r>
            <w:proofErr w:type="spellStart"/>
            <w:r w:rsidRPr="00B54A75">
              <w:rPr>
                <w:rFonts w:ascii="Calibri" w:eastAsia="Times New Roman" w:hAnsi="Calibri" w:cs="Calibri"/>
                <w:color w:val="000000"/>
                <w:sz w:val="20"/>
                <w:szCs w:val="20"/>
                <w:lang w:eastAsia="en-AU"/>
              </w:rPr>
              <w:t>GMv</w:t>
            </w:r>
            <w:proofErr w:type="spellEnd"/>
            <w:r w:rsidRPr="00B54A75">
              <w:rPr>
                <w:rFonts w:ascii="Calibri" w:eastAsia="Times New Roman" w:hAnsi="Calibri" w:cs="Calibri"/>
                <w:color w:val="000000"/>
                <w:sz w:val="20"/>
                <w:szCs w:val="20"/>
                <w:lang w:eastAsia="en-AU"/>
              </w:rPr>
              <w:br/>
              <w:t xml:space="preserve">          ↑ TC-</w:t>
            </w:r>
            <w:proofErr w:type="spellStart"/>
            <w:r w:rsidRPr="00B54A75">
              <w:rPr>
                <w:rFonts w:ascii="Calibri" w:eastAsia="Times New Roman" w:hAnsi="Calibri" w:cs="Calibri"/>
                <w:color w:val="000000"/>
                <w:sz w:val="20"/>
                <w:szCs w:val="20"/>
                <w:lang w:eastAsia="en-AU"/>
              </w:rPr>
              <w:t>WMv</w:t>
            </w:r>
            <w:proofErr w:type="spellEnd"/>
            <w:r w:rsidRPr="00B54A75">
              <w:rPr>
                <w:rFonts w:ascii="Calibri" w:eastAsia="Times New Roman" w:hAnsi="Calibri" w:cs="Calibri"/>
                <w:color w:val="000000"/>
                <w:sz w:val="20"/>
                <w:szCs w:val="20"/>
                <w:lang w:eastAsia="en-AU"/>
              </w:rPr>
              <w:br/>
            </w:r>
            <w:r w:rsidRPr="00B54A75">
              <w:rPr>
                <w:rFonts w:ascii="Calibri" w:eastAsia="Times New Roman" w:hAnsi="Calibri" w:cs="Calibri"/>
                <w:color w:val="000000"/>
                <w:sz w:val="20"/>
                <w:szCs w:val="20"/>
                <w:u w:val="single"/>
                <w:lang w:eastAsia="en-AU"/>
              </w:rPr>
              <w:t>↑ Fish intake</w:t>
            </w:r>
            <w:r w:rsidRPr="00B54A75">
              <w:rPr>
                <w:rFonts w:ascii="Calibri" w:eastAsia="Times New Roman" w:hAnsi="Calibri" w:cs="Calibri"/>
                <w:color w:val="000000"/>
                <w:sz w:val="20"/>
                <w:szCs w:val="20"/>
                <w:lang w:eastAsia="en-AU"/>
              </w:rPr>
              <w:t xml:space="preserve"> was associated with:</w:t>
            </w:r>
            <w:r w:rsidRPr="00B54A75">
              <w:rPr>
                <w:rFonts w:ascii="Calibri" w:eastAsia="Times New Roman" w:hAnsi="Calibri" w:cs="Calibri"/>
                <w:color w:val="000000"/>
                <w:sz w:val="20"/>
                <w:szCs w:val="20"/>
                <w:lang w:eastAsia="en-AU"/>
              </w:rPr>
              <w:br/>
              <w:t xml:space="preserve">          ↑ TC-</w:t>
            </w:r>
            <w:proofErr w:type="spellStart"/>
            <w:r w:rsidRPr="00B54A75">
              <w:rPr>
                <w:rFonts w:ascii="Calibri" w:eastAsia="Times New Roman" w:hAnsi="Calibri" w:cs="Calibri"/>
                <w:color w:val="000000"/>
                <w:sz w:val="20"/>
                <w:szCs w:val="20"/>
                <w:lang w:eastAsia="en-AU"/>
              </w:rPr>
              <w:t>GMv</w:t>
            </w:r>
            <w:proofErr w:type="spellEnd"/>
            <w:r w:rsidRPr="00B54A75">
              <w:rPr>
                <w:rFonts w:ascii="Calibri" w:eastAsia="Times New Roman" w:hAnsi="Calibri" w:cs="Calibri"/>
                <w:color w:val="000000"/>
                <w:sz w:val="20"/>
                <w:szCs w:val="20"/>
                <w:lang w:eastAsia="en-AU"/>
              </w:rPr>
              <w:br/>
              <w:t xml:space="preserve">          ↑ Mean CT</w:t>
            </w:r>
            <w:r w:rsidRPr="00B54A75">
              <w:rPr>
                <w:rFonts w:ascii="Calibri" w:eastAsia="Times New Roman" w:hAnsi="Calibri" w:cs="Calibri"/>
                <w:color w:val="000000"/>
                <w:sz w:val="20"/>
                <w:szCs w:val="20"/>
                <w:lang w:eastAsia="en-AU"/>
              </w:rPr>
              <w:br/>
            </w:r>
            <w:r w:rsidRPr="00B54A75">
              <w:rPr>
                <w:rFonts w:ascii="Calibri" w:eastAsia="Times New Roman" w:hAnsi="Calibri" w:cs="Calibri"/>
                <w:color w:val="000000"/>
                <w:sz w:val="20"/>
                <w:szCs w:val="20"/>
                <w:u w:val="single"/>
                <w:lang w:eastAsia="en-AU"/>
              </w:rPr>
              <w:t>↓ Meat intake</w:t>
            </w:r>
            <w:r w:rsidRPr="00B54A75">
              <w:rPr>
                <w:rFonts w:ascii="Calibri" w:eastAsia="Times New Roman" w:hAnsi="Calibri" w:cs="Calibri"/>
                <w:color w:val="000000"/>
                <w:sz w:val="20"/>
                <w:szCs w:val="20"/>
                <w:lang w:eastAsia="en-AU"/>
              </w:rPr>
              <w:t xml:space="preserve"> was associated with:</w:t>
            </w:r>
            <w:r w:rsidRPr="00B54A75">
              <w:rPr>
                <w:rFonts w:ascii="Calibri" w:eastAsia="Times New Roman" w:hAnsi="Calibri" w:cs="Calibri"/>
                <w:color w:val="000000"/>
                <w:sz w:val="20"/>
                <w:szCs w:val="20"/>
                <w:lang w:eastAsia="en-AU"/>
              </w:rPr>
              <w:br/>
              <w:t xml:space="preserve">          ↓ </w:t>
            </w:r>
            <w:proofErr w:type="spellStart"/>
            <w:r w:rsidRPr="00B54A75">
              <w:rPr>
                <w:rFonts w:ascii="Calibri" w:eastAsia="Times New Roman" w:hAnsi="Calibri" w:cs="Calibri"/>
                <w:color w:val="000000"/>
                <w:sz w:val="20"/>
                <w:szCs w:val="20"/>
                <w:lang w:eastAsia="en-AU"/>
              </w:rPr>
              <w:t>TCv</w:t>
            </w:r>
            <w:proofErr w:type="spellEnd"/>
            <w:r w:rsidRPr="00B54A75">
              <w:rPr>
                <w:rFonts w:ascii="Calibri" w:eastAsia="Times New Roman" w:hAnsi="Calibri" w:cs="Calibri"/>
                <w:color w:val="000000"/>
                <w:sz w:val="20"/>
                <w:szCs w:val="20"/>
                <w:lang w:eastAsia="en-AU"/>
              </w:rPr>
              <w:br/>
              <w:t xml:space="preserve">          ↑ TC-</w:t>
            </w:r>
            <w:proofErr w:type="spellStart"/>
            <w:r w:rsidRPr="00B54A75">
              <w:rPr>
                <w:rFonts w:ascii="Calibri" w:eastAsia="Times New Roman" w:hAnsi="Calibri" w:cs="Calibri"/>
                <w:color w:val="000000"/>
                <w:sz w:val="20"/>
                <w:szCs w:val="20"/>
                <w:lang w:eastAsia="en-AU"/>
              </w:rPr>
              <w:t>GMv</w:t>
            </w:r>
            <w:proofErr w:type="spellEnd"/>
            <w:r w:rsidRPr="00B54A75">
              <w:rPr>
                <w:rFonts w:ascii="Calibri" w:eastAsia="Times New Roman" w:hAnsi="Calibri" w:cs="Calibri"/>
                <w:color w:val="000000"/>
                <w:sz w:val="20"/>
                <w:szCs w:val="20"/>
                <w:lang w:eastAsia="en-AU"/>
              </w:rPr>
              <w:t xml:space="preserve">              </w:t>
            </w:r>
          </w:p>
        </w:tc>
      </w:tr>
      <w:tr w:rsidR="009321E8" w:rsidRPr="00B54A75" w:rsidTr="00101592">
        <w:trPr>
          <w:trHeight w:val="3191"/>
        </w:trPr>
        <w:tc>
          <w:tcPr>
            <w:tcW w:w="1840" w:type="dxa"/>
            <w:tcBorders>
              <w:top w:val="nil"/>
              <w:left w:val="nil"/>
              <w:bottom w:val="nil"/>
              <w:right w:val="nil"/>
            </w:tcBorders>
            <w:shd w:val="clear" w:color="auto" w:fill="auto"/>
            <w:vAlign w:val="bottom"/>
            <w:hideMark/>
          </w:tcPr>
          <w:p w:rsidR="00112011" w:rsidRPr="00B54A75" w:rsidRDefault="00B54A75" w:rsidP="001E46D5">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Pelletier et al.</w:t>
            </w:r>
            <w:r w:rsidR="00CA60C8" w:rsidRPr="00B54A75">
              <w:rPr>
                <w:rFonts w:ascii="Calibri" w:eastAsia="Times New Roman" w:hAnsi="Calibri" w:cs="Calibri"/>
                <w:color w:val="000000"/>
                <w:sz w:val="20"/>
                <w:szCs w:val="20"/>
                <w:lang w:eastAsia="en-AU"/>
              </w:rPr>
              <w:fldChar w:fldCharType="begin" w:fldLock="1"/>
            </w:r>
            <w:r w:rsidR="00C73D5C">
              <w:rPr>
                <w:rFonts w:ascii="Calibri" w:eastAsia="Times New Roman" w:hAnsi="Calibri" w:cs="Calibri"/>
                <w:color w:val="000000"/>
                <w:sz w:val="20"/>
                <w:szCs w:val="20"/>
                <w:lang w:eastAsia="en-AU"/>
              </w:rPr>
              <w:instrText>ADDIN CSL_CITATION { "citationItems" : [ { "id" : "ITEM-1", "itemData" : { "DOI" : "10.1016/j.jalz.2015.06.1888", "author" : [ { "dropping-particle" : "", "family" : "Pelletier", "given" : "Amandine", "non-dropping-particle" : "", "parse-names" : false, "suffix" : "" }, { "dropping-particle" : "", "family" : "Barul", "given" : "Christine", "non-dropping-particle" : "", "parse-names" : false, "suffix" : "" }, { "dropping-particle" : "", "family" : "Catherine", "given" : "F", "non-dropping-particle" : "", "parse-names" : false, "suffix" : "" } ], "container-title" : "Alzheimer's &amp; Dementia", "id" : "ITEM-1", "issued" : { "date-parts" : [ [ "2015" ] ] }, "page" : "1023-1031", "title" : "Mediterranean diet and preserved brain structural connectivity in older subjects", "type" : "article-journal", "volume" : "11" }, "uris" : [ "http://www.mendeley.com/documents/?uuid=20c4cee4-007a-4484-8d6f-b62c9fe56a15" ] } ], "mendeley" : { "formattedCitation" : "&lt;sup&gt;(40)&lt;/sup&gt;", "plainTextFormattedCitation" : "(40)", "previouslyFormattedCitation" : "&lt;sup&gt;(40)&lt;/sup&gt;" }, "properties" : { "noteIndex" : 0 }, "schema" : "https://github.com/citation-style-language/schema/raw/master/csl-citation.json" }</w:instrText>
            </w:r>
            <w:r w:rsidR="00CA60C8" w:rsidRPr="00B54A75">
              <w:rPr>
                <w:rFonts w:ascii="Calibri" w:eastAsia="Times New Roman" w:hAnsi="Calibri" w:cs="Calibri"/>
                <w:color w:val="000000"/>
                <w:sz w:val="20"/>
                <w:szCs w:val="20"/>
                <w:lang w:eastAsia="en-AU"/>
              </w:rPr>
              <w:fldChar w:fldCharType="separate"/>
            </w:r>
            <w:r w:rsidRPr="00B54A75">
              <w:rPr>
                <w:rFonts w:ascii="Calibri" w:eastAsia="Times New Roman" w:hAnsi="Calibri" w:cs="Calibri"/>
                <w:noProof/>
                <w:color w:val="000000"/>
                <w:sz w:val="20"/>
                <w:szCs w:val="20"/>
                <w:vertAlign w:val="superscript"/>
                <w:lang w:eastAsia="en-AU"/>
              </w:rPr>
              <w:t>(40)</w:t>
            </w:r>
            <w:r w:rsidR="00CA60C8" w:rsidRPr="00B54A75">
              <w:rPr>
                <w:rFonts w:ascii="Calibri" w:eastAsia="Times New Roman" w:hAnsi="Calibri" w:cs="Calibri"/>
                <w:color w:val="000000"/>
                <w:sz w:val="20"/>
                <w:szCs w:val="20"/>
                <w:lang w:eastAsia="en-AU"/>
              </w:rPr>
              <w:fldChar w:fldCharType="end"/>
            </w:r>
          </w:p>
        </w:tc>
        <w:tc>
          <w:tcPr>
            <w:tcW w:w="1049"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proofErr w:type="spellStart"/>
            <w:r w:rsidRPr="00B54A75">
              <w:rPr>
                <w:rFonts w:ascii="Calibri" w:eastAsia="Times New Roman" w:hAnsi="Calibri" w:cs="Calibri"/>
                <w:color w:val="000000"/>
                <w:sz w:val="20"/>
                <w:szCs w:val="20"/>
                <w:lang w:eastAsia="en-AU"/>
              </w:rPr>
              <w:t>MeDI</w:t>
            </w:r>
            <w:proofErr w:type="spellEnd"/>
            <w:r w:rsidRPr="00B54A75">
              <w:rPr>
                <w:rFonts w:ascii="Calibri" w:eastAsia="Times New Roman" w:hAnsi="Calibri" w:cs="Calibri"/>
                <w:color w:val="000000"/>
                <w:sz w:val="20"/>
                <w:szCs w:val="20"/>
                <w:lang w:eastAsia="en-AU"/>
              </w:rPr>
              <w:t xml:space="preserve"> (FFQ &amp; 24-diet recall)</w:t>
            </w:r>
          </w:p>
        </w:tc>
        <w:tc>
          <w:tcPr>
            <w:tcW w:w="1082"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Mixed</w:t>
            </w:r>
            <w:r w:rsidR="00303DDA" w:rsidRPr="00B54A75">
              <w:rPr>
                <w:rFonts w:cstheme="minorHAnsi"/>
                <w:b/>
              </w:rPr>
              <w:t>††</w:t>
            </w:r>
          </w:p>
        </w:tc>
        <w:tc>
          <w:tcPr>
            <w:tcW w:w="1274"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146</w:t>
            </w:r>
          </w:p>
        </w:tc>
        <w:tc>
          <w:tcPr>
            <w:tcW w:w="1328"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≥65.0</w:t>
            </w:r>
          </w:p>
        </w:tc>
        <w:tc>
          <w:tcPr>
            <w:tcW w:w="1418"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73.0</w:t>
            </w:r>
          </w:p>
        </w:tc>
        <w:tc>
          <w:tcPr>
            <w:tcW w:w="1417"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NR</w:t>
            </w:r>
          </w:p>
        </w:tc>
        <w:tc>
          <w:tcPr>
            <w:tcW w:w="5760"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b/>
                <w:bCs/>
                <w:iCs/>
                <w:color w:val="000000"/>
                <w:sz w:val="20"/>
                <w:szCs w:val="20"/>
                <w:lang w:eastAsia="en-AU"/>
              </w:rPr>
              <w:t>Cross sectional</w:t>
            </w:r>
            <w:r w:rsidRPr="00B54A75">
              <w:rPr>
                <w:rFonts w:ascii="Calibri" w:eastAsia="Times New Roman" w:hAnsi="Calibri" w:cs="Calibri"/>
                <w:b/>
                <w:bCs/>
                <w:color w:val="000000"/>
                <w:sz w:val="20"/>
                <w:szCs w:val="20"/>
                <w:lang w:eastAsia="en-AU"/>
              </w:rPr>
              <w:t xml:space="preserve"> (MRI &amp; DTI)</w:t>
            </w:r>
            <w:r w:rsidRPr="00B54A75">
              <w:rPr>
                <w:rFonts w:ascii="Calibri" w:eastAsia="Times New Roman" w:hAnsi="Calibri" w:cs="Calibri"/>
                <w:color w:val="000000"/>
                <w:sz w:val="20"/>
                <w:szCs w:val="20"/>
                <w:lang w:eastAsia="en-AU"/>
              </w:rPr>
              <w:br/>
            </w:r>
            <w:r w:rsidRPr="00B54A75">
              <w:rPr>
                <w:rFonts w:ascii="Calibri" w:eastAsia="Times New Roman" w:hAnsi="Calibri" w:cs="Calibri"/>
                <w:color w:val="000000"/>
                <w:sz w:val="20"/>
                <w:szCs w:val="20"/>
                <w:u w:val="single"/>
                <w:lang w:eastAsia="en-AU"/>
              </w:rPr>
              <w:t xml:space="preserve">↑ </w:t>
            </w:r>
            <w:proofErr w:type="spellStart"/>
            <w:r w:rsidRPr="00B54A75">
              <w:rPr>
                <w:rFonts w:ascii="Calibri" w:eastAsia="Times New Roman" w:hAnsi="Calibri" w:cs="Calibri"/>
                <w:color w:val="000000"/>
                <w:sz w:val="20"/>
                <w:szCs w:val="20"/>
                <w:u w:val="single"/>
                <w:lang w:eastAsia="en-AU"/>
              </w:rPr>
              <w:t>MeDI</w:t>
            </w:r>
            <w:proofErr w:type="spellEnd"/>
            <w:r w:rsidRPr="00B54A75">
              <w:rPr>
                <w:rFonts w:ascii="Calibri" w:eastAsia="Times New Roman" w:hAnsi="Calibri" w:cs="Calibri"/>
                <w:color w:val="000000"/>
                <w:sz w:val="20"/>
                <w:szCs w:val="20"/>
                <w:u w:val="single"/>
                <w:lang w:eastAsia="en-AU"/>
              </w:rPr>
              <w:t xml:space="preserve"> score</w:t>
            </w:r>
            <w:r w:rsidRPr="00B54A75">
              <w:rPr>
                <w:rFonts w:ascii="Calibri" w:eastAsia="Times New Roman" w:hAnsi="Calibri" w:cs="Calibri"/>
                <w:color w:val="000000"/>
                <w:sz w:val="20"/>
                <w:szCs w:val="20"/>
                <w:lang w:eastAsia="en-AU"/>
              </w:rPr>
              <w:t xml:space="preserve"> was associated with:</w:t>
            </w:r>
            <w:r w:rsidRPr="00B54A75">
              <w:rPr>
                <w:rFonts w:ascii="Calibri" w:eastAsia="Times New Roman" w:hAnsi="Calibri" w:cs="Calibri"/>
                <w:color w:val="000000"/>
                <w:sz w:val="20"/>
                <w:szCs w:val="20"/>
                <w:lang w:eastAsia="en-AU"/>
              </w:rPr>
              <w:br/>
              <w:t xml:space="preserve">           ↑ Microstructural integrity within CC, </w:t>
            </w:r>
            <w:proofErr w:type="spellStart"/>
            <w:r w:rsidRPr="00B54A75">
              <w:rPr>
                <w:rFonts w:ascii="Calibri" w:eastAsia="Times New Roman" w:hAnsi="Calibri" w:cs="Calibri"/>
                <w:color w:val="000000"/>
                <w:sz w:val="20"/>
                <w:szCs w:val="20"/>
                <w:lang w:eastAsia="en-AU"/>
              </w:rPr>
              <w:t>aThR</w:t>
            </w:r>
            <w:proofErr w:type="spellEnd"/>
            <w:r w:rsidRPr="00B54A75">
              <w:rPr>
                <w:rFonts w:ascii="Calibri" w:eastAsia="Times New Roman" w:hAnsi="Calibri" w:cs="Calibri"/>
                <w:color w:val="000000"/>
                <w:sz w:val="20"/>
                <w:szCs w:val="20"/>
                <w:lang w:eastAsia="en-AU"/>
              </w:rPr>
              <w:t xml:space="preserve">, </w:t>
            </w:r>
            <w:proofErr w:type="spellStart"/>
            <w:r w:rsidRPr="00B54A75">
              <w:rPr>
                <w:rFonts w:ascii="Calibri" w:eastAsia="Times New Roman" w:hAnsi="Calibri" w:cs="Calibri"/>
                <w:color w:val="000000"/>
                <w:sz w:val="20"/>
                <w:szCs w:val="20"/>
                <w:lang w:eastAsia="en-AU"/>
              </w:rPr>
              <w:t>pThR</w:t>
            </w:r>
            <w:proofErr w:type="spellEnd"/>
            <w:r w:rsidRPr="00B54A75">
              <w:rPr>
                <w:rFonts w:ascii="Calibri" w:eastAsia="Times New Roman" w:hAnsi="Calibri" w:cs="Calibri"/>
                <w:color w:val="000000"/>
                <w:sz w:val="20"/>
                <w:szCs w:val="20"/>
                <w:lang w:eastAsia="en-AU"/>
              </w:rPr>
              <w:t>,</w:t>
            </w:r>
            <w:r w:rsidRPr="00B54A75">
              <w:rPr>
                <w:rFonts w:ascii="Calibri" w:eastAsia="Times New Roman" w:hAnsi="Calibri" w:cs="Calibri"/>
                <w:color w:val="000000"/>
                <w:sz w:val="20"/>
                <w:szCs w:val="20"/>
                <w:lang w:eastAsia="en-AU"/>
              </w:rPr>
              <w:br/>
              <w:t xml:space="preserve">               </w:t>
            </w:r>
            <w:proofErr w:type="spellStart"/>
            <w:r w:rsidR="009F3693">
              <w:rPr>
                <w:rFonts w:ascii="Calibri" w:eastAsia="Times New Roman" w:hAnsi="Calibri" w:cs="Calibri"/>
                <w:color w:val="000000"/>
                <w:sz w:val="20"/>
                <w:szCs w:val="20"/>
                <w:lang w:eastAsia="en-AU"/>
              </w:rPr>
              <w:t>pCingG</w:t>
            </w:r>
            <w:proofErr w:type="spellEnd"/>
            <w:r w:rsidR="009F3693">
              <w:rPr>
                <w:rFonts w:ascii="Calibri" w:eastAsia="Times New Roman" w:hAnsi="Calibri" w:cs="Calibri"/>
                <w:color w:val="000000"/>
                <w:sz w:val="20"/>
                <w:szCs w:val="20"/>
                <w:lang w:eastAsia="en-AU"/>
              </w:rPr>
              <w:t xml:space="preserve">, &amp; </w:t>
            </w:r>
            <w:proofErr w:type="spellStart"/>
            <w:r w:rsidR="009F3693">
              <w:rPr>
                <w:rFonts w:ascii="Calibri" w:eastAsia="Times New Roman" w:hAnsi="Calibri" w:cs="Calibri"/>
                <w:color w:val="000000"/>
                <w:sz w:val="20"/>
                <w:szCs w:val="20"/>
                <w:lang w:eastAsia="en-AU"/>
              </w:rPr>
              <w:t>Para</w:t>
            </w:r>
            <w:r w:rsidRPr="00B54A75">
              <w:rPr>
                <w:rFonts w:ascii="Calibri" w:eastAsia="Times New Roman" w:hAnsi="Calibri" w:cs="Calibri"/>
                <w:color w:val="000000"/>
                <w:sz w:val="20"/>
                <w:szCs w:val="20"/>
                <w:lang w:eastAsia="en-AU"/>
              </w:rPr>
              <w:t>HC</w:t>
            </w:r>
            <w:proofErr w:type="spellEnd"/>
            <w:r w:rsidRPr="00B54A75">
              <w:rPr>
                <w:rFonts w:ascii="Calibri" w:eastAsia="Times New Roman" w:hAnsi="Calibri" w:cs="Calibri"/>
                <w:color w:val="000000"/>
                <w:sz w:val="20"/>
                <w:szCs w:val="20"/>
                <w:lang w:eastAsia="en-AU"/>
              </w:rPr>
              <w:t>-F</w:t>
            </w:r>
            <w:r w:rsidRPr="00B54A75">
              <w:rPr>
                <w:rFonts w:ascii="Calibri" w:eastAsia="Times New Roman" w:hAnsi="Calibri" w:cs="Calibri"/>
                <w:color w:val="000000"/>
                <w:sz w:val="20"/>
                <w:szCs w:val="20"/>
                <w:lang w:eastAsia="en-AU"/>
              </w:rPr>
              <w:br/>
              <w:t xml:space="preserve">No association between </w:t>
            </w:r>
            <w:proofErr w:type="spellStart"/>
            <w:r w:rsidRPr="00B54A75">
              <w:rPr>
                <w:rFonts w:ascii="Calibri" w:eastAsia="Times New Roman" w:hAnsi="Calibri" w:cs="Calibri"/>
                <w:color w:val="000000"/>
                <w:sz w:val="20"/>
                <w:szCs w:val="20"/>
                <w:lang w:eastAsia="en-AU"/>
              </w:rPr>
              <w:t>MeDI</w:t>
            </w:r>
            <w:proofErr w:type="spellEnd"/>
            <w:r w:rsidRPr="00B54A75">
              <w:rPr>
                <w:rFonts w:ascii="Calibri" w:eastAsia="Times New Roman" w:hAnsi="Calibri" w:cs="Calibri"/>
                <w:color w:val="000000"/>
                <w:sz w:val="20"/>
                <w:szCs w:val="20"/>
                <w:lang w:eastAsia="en-AU"/>
              </w:rPr>
              <w:t xml:space="preserve"> score &amp; either TC-</w:t>
            </w:r>
            <w:proofErr w:type="spellStart"/>
            <w:r w:rsidRPr="00B54A75">
              <w:rPr>
                <w:rFonts w:ascii="Calibri" w:eastAsia="Times New Roman" w:hAnsi="Calibri" w:cs="Calibri"/>
                <w:color w:val="000000"/>
                <w:sz w:val="20"/>
                <w:szCs w:val="20"/>
                <w:lang w:eastAsia="en-AU"/>
              </w:rPr>
              <w:t>GMv</w:t>
            </w:r>
            <w:proofErr w:type="spellEnd"/>
            <w:r w:rsidRPr="00B54A75">
              <w:rPr>
                <w:rFonts w:ascii="Calibri" w:eastAsia="Times New Roman" w:hAnsi="Calibri" w:cs="Calibri"/>
                <w:color w:val="000000"/>
                <w:sz w:val="20"/>
                <w:szCs w:val="20"/>
                <w:lang w:eastAsia="en-AU"/>
              </w:rPr>
              <w:t xml:space="preserve"> or TC-</w:t>
            </w:r>
            <w:proofErr w:type="spellStart"/>
            <w:r w:rsidRPr="00B54A75">
              <w:rPr>
                <w:rFonts w:ascii="Calibri" w:eastAsia="Times New Roman" w:hAnsi="Calibri" w:cs="Calibri"/>
                <w:color w:val="000000"/>
                <w:sz w:val="20"/>
                <w:szCs w:val="20"/>
                <w:lang w:eastAsia="en-AU"/>
              </w:rPr>
              <w:t>WMv</w:t>
            </w:r>
            <w:proofErr w:type="spellEnd"/>
            <w:r w:rsidRPr="00B54A75">
              <w:rPr>
                <w:rFonts w:ascii="Calibri" w:eastAsia="Times New Roman" w:hAnsi="Calibri" w:cs="Calibri"/>
                <w:color w:val="000000"/>
                <w:sz w:val="20"/>
                <w:szCs w:val="20"/>
                <w:lang w:eastAsia="en-AU"/>
              </w:rPr>
              <w:br/>
            </w:r>
            <w:r w:rsidRPr="00B54A75">
              <w:rPr>
                <w:rFonts w:ascii="Calibri" w:eastAsia="Times New Roman" w:hAnsi="Calibri" w:cs="Calibri"/>
                <w:color w:val="000000"/>
                <w:sz w:val="20"/>
                <w:szCs w:val="20"/>
                <w:lang w:eastAsia="en-AU"/>
              </w:rPr>
              <w:br/>
            </w:r>
            <w:r w:rsidRPr="00B54A75">
              <w:rPr>
                <w:rFonts w:ascii="Calibri" w:eastAsia="Times New Roman" w:hAnsi="Calibri" w:cs="Calibri"/>
                <w:color w:val="000000"/>
                <w:sz w:val="20"/>
                <w:szCs w:val="20"/>
                <w:u w:val="single"/>
                <w:lang w:eastAsia="en-AU"/>
              </w:rPr>
              <w:t>↑ Dairy intake</w:t>
            </w:r>
            <w:r w:rsidRPr="00B54A75">
              <w:rPr>
                <w:rFonts w:ascii="Calibri" w:eastAsia="Times New Roman" w:hAnsi="Calibri" w:cs="Calibri"/>
                <w:color w:val="000000"/>
                <w:sz w:val="20"/>
                <w:szCs w:val="20"/>
                <w:lang w:eastAsia="en-AU"/>
              </w:rPr>
              <w:t xml:space="preserve"> was associated with:</w:t>
            </w:r>
            <w:r w:rsidRPr="00B54A75">
              <w:rPr>
                <w:rFonts w:ascii="Calibri" w:eastAsia="Times New Roman" w:hAnsi="Calibri" w:cs="Calibri"/>
                <w:color w:val="000000"/>
                <w:sz w:val="20"/>
                <w:szCs w:val="20"/>
                <w:lang w:eastAsia="en-AU"/>
              </w:rPr>
              <w:br/>
              <w:t xml:space="preserve">            ↓ Microstructural integrity within CC</w:t>
            </w:r>
            <w:r w:rsidRPr="00B54A75">
              <w:rPr>
                <w:rFonts w:ascii="Calibri" w:eastAsia="Times New Roman" w:hAnsi="Calibri" w:cs="Calibri"/>
                <w:color w:val="000000"/>
                <w:sz w:val="20"/>
                <w:szCs w:val="20"/>
                <w:lang w:eastAsia="en-AU"/>
              </w:rPr>
              <w:br/>
            </w:r>
            <w:r w:rsidRPr="00B54A75">
              <w:rPr>
                <w:rFonts w:ascii="Calibri" w:eastAsia="Times New Roman" w:hAnsi="Calibri" w:cs="Calibri"/>
                <w:color w:val="000000"/>
                <w:sz w:val="20"/>
                <w:szCs w:val="20"/>
                <w:u w:val="single"/>
                <w:lang w:eastAsia="en-AU"/>
              </w:rPr>
              <w:t>Moderate alcohol intake</w:t>
            </w:r>
            <w:r w:rsidRPr="00B54A75">
              <w:rPr>
                <w:rFonts w:ascii="Calibri" w:eastAsia="Times New Roman" w:hAnsi="Calibri" w:cs="Calibri"/>
                <w:color w:val="000000"/>
                <w:sz w:val="20"/>
                <w:szCs w:val="20"/>
                <w:lang w:eastAsia="en-AU"/>
              </w:rPr>
              <w:t xml:space="preserve"> was associated with:</w:t>
            </w:r>
            <w:r w:rsidRPr="00B54A75">
              <w:rPr>
                <w:rFonts w:ascii="Calibri" w:eastAsia="Times New Roman" w:hAnsi="Calibri" w:cs="Calibri"/>
                <w:color w:val="000000"/>
                <w:sz w:val="20"/>
                <w:szCs w:val="20"/>
                <w:lang w:eastAsia="en-AU"/>
              </w:rPr>
              <w:br/>
              <w:t xml:space="preserve">            ↑ Microstructural integrity within CC</w:t>
            </w:r>
            <w:r w:rsidRPr="00B54A75">
              <w:rPr>
                <w:rFonts w:ascii="Calibri" w:eastAsia="Times New Roman" w:hAnsi="Calibri" w:cs="Calibri"/>
                <w:color w:val="000000"/>
                <w:sz w:val="20"/>
                <w:szCs w:val="20"/>
                <w:lang w:eastAsia="en-AU"/>
              </w:rPr>
              <w:br/>
            </w:r>
            <w:r w:rsidRPr="00B54A75">
              <w:rPr>
                <w:rFonts w:ascii="Calibri" w:eastAsia="Times New Roman" w:hAnsi="Calibri" w:cs="Calibri"/>
                <w:color w:val="000000"/>
                <w:sz w:val="20"/>
                <w:szCs w:val="20"/>
                <w:lang w:eastAsia="en-AU"/>
              </w:rPr>
              <w:br/>
              <w:t xml:space="preserve">Association between </w:t>
            </w:r>
            <w:proofErr w:type="spellStart"/>
            <w:r w:rsidRPr="00B54A75">
              <w:rPr>
                <w:rFonts w:ascii="Calibri" w:eastAsia="Times New Roman" w:hAnsi="Calibri" w:cs="Calibri"/>
                <w:color w:val="000000"/>
                <w:sz w:val="20"/>
                <w:szCs w:val="20"/>
                <w:lang w:eastAsia="en-AU"/>
              </w:rPr>
              <w:t>MeDI</w:t>
            </w:r>
            <w:proofErr w:type="spellEnd"/>
            <w:r w:rsidRPr="00B54A75">
              <w:rPr>
                <w:rFonts w:ascii="Calibri" w:eastAsia="Times New Roman" w:hAnsi="Calibri" w:cs="Calibri"/>
                <w:color w:val="000000"/>
                <w:sz w:val="20"/>
                <w:szCs w:val="20"/>
                <w:lang w:eastAsia="en-AU"/>
              </w:rPr>
              <w:t xml:space="preserve"> score &amp; WM microstructural integrity remained significant following exclusion of dementia cases</w:t>
            </w:r>
          </w:p>
        </w:tc>
      </w:tr>
      <w:tr w:rsidR="008251F9" w:rsidRPr="00B54A75" w:rsidTr="00101592">
        <w:trPr>
          <w:trHeight w:val="1065"/>
        </w:trPr>
        <w:tc>
          <w:tcPr>
            <w:tcW w:w="1840" w:type="dxa"/>
            <w:tcBorders>
              <w:top w:val="nil"/>
              <w:left w:val="nil"/>
              <w:bottom w:val="nil"/>
              <w:right w:val="nil"/>
            </w:tcBorders>
            <w:shd w:val="clear" w:color="000000" w:fill="D9D9D9"/>
            <w:vAlign w:val="bottom"/>
            <w:hideMark/>
          </w:tcPr>
          <w:p w:rsidR="00112011" w:rsidRPr="00B54A75" w:rsidRDefault="00B54A75" w:rsidP="001E46D5">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lastRenderedPageBreak/>
              <w:t>Mosconi et al.</w:t>
            </w:r>
            <w:r w:rsidR="00CA60C8" w:rsidRPr="00B54A75">
              <w:rPr>
                <w:rFonts w:ascii="Calibri" w:eastAsia="Times New Roman" w:hAnsi="Calibri" w:cs="Calibri"/>
                <w:color w:val="000000"/>
                <w:sz w:val="20"/>
                <w:szCs w:val="20"/>
                <w:lang w:eastAsia="en-AU"/>
              </w:rPr>
              <w:fldChar w:fldCharType="begin" w:fldLock="1"/>
            </w:r>
            <w:r w:rsidR="00C73D5C">
              <w:rPr>
                <w:rFonts w:ascii="Calibri" w:eastAsia="Times New Roman" w:hAnsi="Calibri" w:cs="Calibri"/>
                <w:color w:val="000000"/>
                <w:sz w:val="20"/>
                <w:szCs w:val="20"/>
                <w:lang w:eastAsia="en-AU"/>
              </w:rPr>
              <w:instrText>ADDIN CSL_CITATION { "citationItems" : [ { "id" : "ITEM-1", "itemData" : { "author" : [ { "dropping-particle" : "", "family" : "Mosconi", "given" : "L.", "non-dropping-particle" : "", "parse-names" : false, "suffix" : "" }, { "dropping-particle" : "", "family" : "Murray", "given" : "J.", "non-dropping-particle" : "", "parse-names" : false, "suffix" : "" }, { "dropping-particle" : "", "family" : "Tsui", "given" : "W.H.", "non-dropping-particle" : "", "parse-names" : false, "suffix" : "" }, { "dropping-particle" : "", "family" : "Li", "given" : "Y.", "non-dropping-particle" : "", "parse-names" : false, "suffix" : "" }, { "dropping-particle" : "", "family" : "Davies", "given" : "M.", "non-dropping-particle" : "", "parse-names" : false, "suffix" : "" }, { "dropping-particle" : "", "family" : "Williams", "given" : "S.", "non-dropping-particle" : "", "parse-names" : false, "suffix" : "" }, { "dropping-particle" : "", "family" : "Pirraglia", "given" : "E.", "non-dropping-particle" : "", "parse-names" : false, "suffix" : "" }, { "dropping-particle" : "", "family" : "Spector", "given" : "N.", "non-dropping-particle" : "", "parse-names" : false, "suffix" : "" }, { "dropping-particle" : "", "family" : "Osorio", "given" : "R.S.", "non-dropping-particle" : "", "parse-names" : false, "suffix" : "" }, { "dropping-particle" : "", "family" : "Glodzik", "given" : "L.", "non-dropping-particle" : "", "parse-names" : false, "suffix" : "" }, { "dropping-particle" : "", "family" : "McHugh", "given" : "P.", "non-dropping-particle" : "", "parse-names" : false, "suffix" : "" }, { "dropping-particle" : "", "family" : "Leon", "given" : "M.J.", "non-dropping-particle" : "de", "parse-names" : false, "suffix" : "" } ], "container-title" : "The Journal of Prevention of Alzheimer's Disease", "id" : "ITEM-1", "issued" : { "date-parts" : [ [ "2014" ] ] }, "page" : "23-32", "title" : "Mediterranean Diet and Magnetic Resonance Imaging-Assessed Brain Atrophy in Cognitively Normal Individuals at Risk for Alzheimer's Disease", "type" : "article-journal", "volume" : "1" }, "uris" : [ "http://www.mendeley.com/documents/?uuid=0ae74fd4-ce4a-4489-bf45-62c8ace12bdf" ] } ], "mendeley" : { "formattedCitation" : "&lt;sup&gt;(41)&lt;/sup&gt;", "plainTextFormattedCitation" : "(41)", "previouslyFormattedCitation" : "&lt;sup&gt;(41)&lt;/sup&gt;" }, "properties" : { "noteIndex" : 0 }, "schema" : "https://github.com/citation-style-language/schema/raw/master/csl-citation.json" }</w:instrText>
            </w:r>
            <w:r w:rsidR="00CA60C8" w:rsidRPr="00B54A75">
              <w:rPr>
                <w:rFonts w:ascii="Calibri" w:eastAsia="Times New Roman" w:hAnsi="Calibri" w:cs="Calibri"/>
                <w:color w:val="000000"/>
                <w:sz w:val="20"/>
                <w:szCs w:val="20"/>
                <w:lang w:eastAsia="en-AU"/>
              </w:rPr>
              <w:fldChar w:fldCharType="separate"/>
            </w:r>
            <w:r w:rsidRPr="00B54A75">
              <w:rPr>
                <w:rFonts w:ascii="Calibri" w:eastAsia="Times New Roman" w:hAnsi="Calibri" w:cs="Calibri"/>
                <w:noProof/>
                <w:color w:val="000000"/>
                <w:sz w:val="20"/>
                <w:szCs w:val="20"/>
                <w:vertAlign w:val="superscript"/>
                <w:lang w:eastAsia="en-AU"/>
              </w:rPr>
              <w:t>(41)</w:t>
            </w:r>
            <w:r w:rsidR="00CA60C8" w:rsidRPr="00B54A75">
              <w:rPr>
                <w:rFonts w:ascii="Calibri" w:eastAsia="Times New Roman" w:hAnsi="Calibri" w:cs="Calibri"/>
                <w:color w:val="000000"/>
                <w:sz w:val="20"/>
                <w:szCs w:val="20"/>
                <w:lang w:eastAsia="en-AU"/>
              </w:rPr>
              <w:fldChar w:fldCharType="end"/>
            </w:r>
          </w:p>
        </w:tc>
        <w:tc>
          <w:tcPr>
            <w:tcW w:w="1049"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proofErr w:type="spellStart"/>
            <w:r w:rsidRPr="00B54A75">
              <w:rPr>
                <w:rFonts w:ascii="Calibri" w:eastAsia="Times New Roman" w:hAnsi="Calibri" w:cs="Calibri"/>
                <w:color w:val="000000"/>
                <w:sz w:val="20"/>
                <w:szCs w:val="20"/>
                <w:lang w:eastAsia="en-AU"/>
              </w:rPr>
              <w:t>MeDI</w:t>
            </w:r>
            <w:proofErr w:type="spellEnd"/>
            <w:r w:rsidRPr="00B54A75">
              <w:rPr>
                <w:rFonts w:ascii="Calibri" w:eastAsia="Times New Roman" w:hAnsi="Calibri" w:cs="Calibri"/>
                <w:color w:val="000000"/>
                <w:sz w:val="20"/>
                <w:szCs w:val="20"/>
                <w:lang w:eastAsia="en-AU"/>
              </w:rPr>
              <w:t xml:space="preserve"> (FFQ)</w:t>
            </w:r>
          </w:p>
        </w:tc>
        <w:tc>
          <w:tcPr>
            <w:tcW w:w="1082"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CN</w:t>
            </w:r>
          </w:p>
        </w:tc>
        <w:tc>
          <w:tcPr>
            <w:tcW w:w="1274" w:type="dxa"/>
            <w:tcBorders>
              <w:top w:val="nil"/>
              <w:left w:val="nil"/>
              <w:bottom w:val="nil"/>
              <w:right w:val="nil"/>
            </w:tcBorders>
            <w:shd w:val="clear" w:color="000000" w:fill="D9D9D9"/>
            <w:vAlign w:val="bottom"/>
            <w:hideMark/>
          </w:tcPr>
          <w:p w:rsidR="00112011" w:rsidRPr="00B54A75" w:rsidRDefault="00222F25"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20 (</w:t>
            </w:r>
            <w:proofErr w:type="spellStart"/>
            <w:r w:rsidRPr="00B54A75">
              <w:rPr>
                <w:rFonts w:ascii="Calibri" w:eastAsia="Times New Roman" w:hAnsi="Calibri" w:cs="Calibri"/>
                <w:color w:val="000000"/>
                <w:sz w:val="20"/>
                <w:szCs w:val="20"/>
                <w:lang w:eastAsia="en-AU"/>
              </w:rPr>
              <w:t>HMeDI</w:t>
            </w:r>
            <w:proofErr w:type="spellEnd"/>
            <w:r w:rsidRPr="00B54A75">
              <w:rPr>
                <w:rFonts w:ascii="Calibri" w:eastAsia="Times New Roman" w:hAnsi="Calibri" w:cs="Calibri"/>
                <w:color w:val="000000"/>
                <w:sz w:val="20"/>
                <w:szCs w:val="20"/>
                <w:lang w:eastAsia="en-AU"/>
              </w:rPr>
              <w:t>) 32 (</w:t>
            </w:r>
            <w:proofErr w:type="spellStart"/>
            <w:r w:rsidRPr="00B54A75">
              <w:rPr>
                <w:rFonts w:ascii="Calibri" w:eastAsia="Times New Roman" w:hAnsi="Calibri" w:cs="Calibri"/>
                <w:color w:val="000000"/>
                <w:sz w:val="20"/>
                <w:szCs w:val="20"/>
                <w:lang w:eastAsia="en-AU"/>
              </w:rPr>
              <w:t>L</w:t>
            </w:r>
            <w:r w:rsidR="00112011" w:rsidRPr="00B54A75">
              <w:rPr>
                <w:rFonts w:ascii="Calibri" w:eastAsia="Times New Roman" w:hAnsi="Calibri" w:cs="Calibri"/>
                <w:color w:val="000000"/>
                <w:sz w:val="20"/>
                <w:szCs w:val="20"/>
                <w:lang w:eastAsia="en-AU"/>
              </w:rPr>
              <w:t>MeDI</w:t>
            </w:r>
            <w:proofErr w:type="spellEnd"/>
            <w:r w:rsidR="00112011" w:rsidRPr="00B54A75">
              <w:rPr>
                <w:rFonts w:ascii="Calibri" w:eastAsia="Times New Roman" w:hAnsi="Calibri" w:cs="Calibri"/>
                <w:color w:val="000000"/>
                <w:sz w:val="20"/>
                <w:szCs w:val="20"/>
                <w:lang w:eastAsia="en-AU"/>
              </w:rPr>
              <w:t>)</w:t>
            </w:r>
          </w:p>
        </w:tc>
        <w:tc>
          <w:tcPr>
            <w:tcW w:w="1328"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25.0 - 72.0</w:t>
            </w:r>
          </w:p>
        </w:tc>
        <w:tc>
          <w:tcPr>
            <w:tcW w:w="1418" w:type="dxa"/>
            <w:tcBorders>
              <w:top w:val="nil"/>
              <w:left w:val="nil"/>
              <w:bottom w:val="nil"/>
              <w:right w:val="nil"/>
            </w:tcBorders>
            <w:shd w:val="clear" w:color="000000" w:fill="D9D9D9"/>
            <w:vAlign w:val="bottom"/>
            <w:hideMark/>
          </w:tcPr>
          <w:p w:rsidR="00112011" w:rsidRPr="00B54A75" w:rsidRDefault="00222F25"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55.0 (</w:t>
            </w:r>
            <w:proofErr w:type="spellStart"/>
            <w:r w:rsidRPr="00B54A75">
              <w:rPr>
                <w:rFonts w:ascii="Calibri" w:eastAsia="Times New Roman" w:hAnsi="Calibri" w:cs="Calibri"/>
                <w:color w:val="000000"/>
                <w:sz w:val="20"/>
                <w:szCs w:val="20"/>
                <w:lang w:eastAsia="en-AU"/>
              </w:rPr>
              <w:t>HMeDI</w:t>
            </w:r>
            <w:proofErr w:type="spellEnd"/>
            <w:r w:rsidRPr="00B54A75">
              <w:rPr>
                <w:rFonts w:ascii="Calibri" w:eastAsia="Times New Roman" w:hAnsi="Calibri" w:cs="Calibri"/>
                <w:color w:val="000000"/>
                <w:sz w:val="20"/>
                <w:szCs w:val="20"/>
                <w:lang w:eastAsia="en-AU"/>
              </w:rPr>
              <w:t>) 53.0 (</w:t>
            </w:r>
            <w:proofErr w:type="spellStart"/>
            <w:r w:rsidRPr="00B54A75">
              <w:rPr>
                <w:rFonts w:ascii="Calibri" w:eastAsia="Times New Roman" w:hAnsi="Calibri" w:cs="Calibri"/>
                <w:color w:val="000000"/>
                <w:sz w:val="20"/>
                <w:szCs w:val="20"/>
                <w:lang w:eastAsia="en-AU"/>
              </w:rPr>
              <w:t>L</w:t>
            </w:r>
            <w:r w:rsidR="00112011" w:rsidRPr="00B54A75">
              <w:rPr>
                <w:rFonts w:ascii="Calibri" w:eastAsia="Times New Roman" w:hAnsi="Calibri" w:cs="Calibri"/>
                <w:color w:val="000000"/>
                <w:sz w:val="20"/>
                <w:szCs w:val="20"/>
                <w:lang w:eastAsia="en-AU"/>
              </w:rPr>
              <w:t>MeDI</w:t>
            </w:r>
            <w:proofErr w:type="spellEnd"/>
            <w:r w:rsidR="00112011" w:rsidRPr="00B54A75">
              <w:rPr>
                <w:rFonts w:ascii="Calibri" w:eastAsia="Times New Roman" w:hAnsi="Calibri" w:cs="Calibri"/>
                <w:color w:val="000000"/>
                <w:sz w:val="20"/>
                <w:szCs w:val="20"/>
                <w:lang w:eastAsia="en-AU"/>
              </w:rPr>
              <w:t>)</w:t>
            </w:r>
          </w:p>
        </w:tc>
        <w:tc>
          <w:tcPr>
            <w:tcW w:w="1417" w:type="dxa"/>
            <w:tcBorders>
              <w:top w:val="nil"/>
              <w:left w:val="nil"/>
              <w:bottom w:val="nil"/>
              <w:right w:val="nil"/>
            </w:tcBorders>
            <w:shd w:val="clear" w:color="000000" w:fill="D9D9D9"/>
            <w:vAlign w:val="bottom"/>
            <w:hideMark/>
          </w:tcPr>
          <w:p w:rsidR="00112011" w:rsidRPr="00B54A75" w:rsidRDefault="00222F25"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12.0 (</w:t>
            </w:r>
            <w:proofErr w:type="spellStart"/>
            <w:r w:rsidRPr="00B54A75">
              <w:rPr>
                <w:rFonts w:ascii="Calibri" w:eastAsia="Times New Roman" w:hAnsi="Calibri" w:cs="Calibri"/>
                <w:color w:val="000000"/>
                <w:sz w:val="20"/>
                <w:szCs w:val="20"/>
                <w:lang w:eastAsia="en-AU"/>
              </w:rPr>
              <w:t>H</w:t>
            </w:r>
            <w:r w:rsidR="00112011" w:rsidRPr="00B54A75">
              <w:rPr>
                <w:rFonts w:ascii="Calibri" w:eastAsia="Times New Roman" w:hAnsi="Calibri" w:cs="Calibri"/>
                <w:color w:val="000000"/>
                <w:sz w:val="20"/>
                <w:szCs w:val="20"/>
                <w:lang w:eastAsia="en-AU"/>
              </w:rPr>
              <w:t>MeDI</w:t>
            </w:r>
            <w:proofErr w:type="spellEnd"/>
            <w:r w:rsidR="00112011" w:rsidRPr="00B54A75">
              <w:rPr>
                <w:rFonts w:ascii="Calibri" w:eastAsia="Times New Roman" w:hAnsi="Calibri" w:cs="Calibri"/>
                <w:color w:val="000000"/>
                <w:sz w:val="20"/>
                <w:szCs w:val="20"/>
                <w:lang w:eastAsia="en-AU"/>
              </w:rPr>
              <w:t>)</w:t>
            </w:r>
            <w:r w:rsidR="00112011" w:rsidRPr="00B54A75">
              <w:rPr>
                <w:rFonts w:ascii="Calibri" w:eastAsia="Times New Roman" w:hAnsi="Calibri" w:cs="Calibri"/>
                <w:color w:val="000000"/>
                <w:sz w:val="20"/>
                <w:szCs w:val="20"/>
                <w:lang w:eastAsia="en-AU"/>
              </w:rPr>
              <w:br/>
              <w:t>13.0 (</w:t>
            </w:r>
            <w:proofErr w:type="spellStart"/>
            <w:r w:rsidR="00112011" w:rsidRPr="00B54A75">
              <w:rPr>
                <w:rFonts w:ascii="Calibri" w:eastAsia="Times New Roman" w:hAnsi="Calibri" w:cs="Calibri"/>
                <w:color w:val="000000"/>
                <w:sz w:val="20"/>
                <w:szCs w:val="20"/>
                <w:lang w:eastAsia="en-AU"/>
              </w:rPr>
              <w:t>LMeDI</w:t>
            </w:r>
            <w:proofErr w:type="spellEnd"/>
            <w:r w:rsidR="00112011" w:rsidRPr="00B54A75">
              <w:rPr>
                <w:rFonts w:ascii="Calibri" w:eastAsia="Times New Roman" w:hAnsi="Calibri" w:cs="Calibri"/>
                <w:color w:val="000000"/>
                <w:sz w:val="20"/>
                <w:szCs w:val="20"/>
                <w:lang w:eastAsia="en-AU"/>
              </w:rPr>
              <w:t>)</w:t>
            </w:r>
          </w:p>
        </w:tc>
        <w:tc>
          <w:tcPr>
            <w:tcW w:w="5760"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b/>
                <w:bCs/>
                <w:iCs/>
                <w:color w:val="000000"/>
                <w:sz w:val="20"/>
                <w:szCs w:val="20"/>
                <w:lang w:eastAsia="en-AU"/>
              </w:rPr>
              <w:t xml:space="preserve">Cross sectional </w:t>
            </w:r>
            <w:r w:rsidRPr="00B54A75">
              <w:rPr>
                <w:rFonts w:ascii="Calibri" w:eastAsia="Times New Roman" w:hAnsi="Calibri" w:cs="Calibri"/>
                <w:b/>
                <w:bCs/>
                <w:color w:val="000000"/>
                <w:sz w:val="20"/>
                <w:szCs w:val="20"/>
                <w:lang w:eastAsia="en-AU"/>
              </w:rPr>
              <w:t>(MRI)</w:t>
            </w:r>
            <w:r w:rsidRPr="00B54A75">
              <w:rPr>
                <w:rFonts w:ascii="Calibri" w:eastAsia="Times New Roman" w:hAnsi="Calibri" w:cs="Calibri"/>
                <w:color w:val="000000"/>
                <w:sz w:val="20"/>
                <w:szCs w:val="20"/>
                <w:lang w:eastAsia="en-AU"/>
              </w:rPr>
              <w:br/>
            </w:r>
            <w:proofErr w:type="spellStart"/>
            <w:r w:rsidR="009F3693">
              <w:rPr>
                <w:rFonts w:ascii="Calibri" w:eastAsia="Times New Roman" w:hAnsi="Calibri" w:cs="Calibri"/>
                <w:color w:val="000000"/>
                <w:sz w:val="20"/>
                <w:szCs w:val="20"/>
                <w:u w:val="single"/>
                <w:lang w:eastAsia="en-AU"/>
              </w:rPr>
              <w:t>H</w:t>
            </w:r>
            <w:r w:rsidRPr="00B54A75">
              <w:rPr>
                <w:rFonts w:ascii="Calibri" w:eastAsia="Times New Roman" w:hAnsi="Calibri" w:cs="Calibri"/>
                <w:color w:val="000000"/>
                <w:sz w:val="20"/>
                <w:szCs w:val="20"/>
                <w:u w:val="single"/>
                <w:lang w:eastAsia="en-AU"/>
              </w:rPr>
              <w:t>MeDI</w:t>
            </w:r>
            <w:proofErr w:type="spellEnd"/>
            <w:r w:rsidRPr="00B54A75">
              <w:rPr>
                <w:rFonts w:ascii="Calibri" w:eastAsia="Times New Roman" w:hAnsi="Calibri" w:cs="Calibri"/>
                <w:color w:val="000000"/>
                <w:sz w:val="20"/>
                <w:szCs w:val="20"/>
                <w:u w:val="single"/>
                <w:lang w:eastAsia="en-AU"/>
              </w:rPr>
              <w:t xml:space="preserve"> score (≥5)</w:t>
            </w:r>
            <w:r w:rsidRPr="00B54A75">
              <w:rPr>
                <w:rFonts w:ascii="Calibri" w:eastAsia="Times New Roman" w:hAnsi="Calibri" w:cs="Calibri"/>
                <w:color w:val="000000"/>
                <w:sz w:val="20"/>
                <w:szCs w:val="20"/>
                <w:lang w:eastAsia="en-AU"/>
              </w:rPr>
              <w:t xml:space="preserve"> associated with:</w:t>
            </w:r>
            <w:r w:rsidRPr="00B54A75">
              <w:rPr>
                <w:rFonts w:ascii="Calibri" w:eastAsia="Times New Roman" w:hAnsi="Calibri" w:cs="Calibri"/>
                <w:color w:val="000000"/>
                <w:sz w:val="20"/>
                <w:szCs w:val="20"/>
                <w:lang w:eastAsia="en-AU"/>
              </w:rPr>
              <w:br/>
              <w:t xml:space="preserve">           ↑ CT of OFC, ERC, &amp; </w:t>
            </w:r>
            <w:proofErr w:type="spellStart"/>
            <w:r w:rsidRPr="00B54A75">
              <w:rPr>
                <w:rFonts w:ascii="Calibri" w:eastAsia="Times New Roman" w:hAnsi="Calibri" w:cs="Calibri"/>
                <w:color w:val="000000"/>
                <w:sz w:val="20"/>
                <w:szCs w:val="20"/>
                <w:lang w:eastAsia="en-AU"/>
              </w:rPr>
              <w:t>poCingC</w:t>
            </w:r>
            <w:proofErr w:type="spellEnd"/>
          </w:p>
        </w:tc>
      </w:tr>
      <w:tr w:rsidR="009321E8" w:rsidRPr="00B54A75" w:rsidTr="00101592">
        <w:trPr>
          <w:trHeight w:val="1026"/>
        </w:trPr>
        <w:tc>
          <w:tcPr>
            <w:tcW w:w="1840" w:type="dxa"/>
            <w:tcBorders>
              <w:top w:val="nil"/>
              <w:left w:val="nil"/>
              <w:bottom w:val="nil"/>
              <w:right w:val="nil"/>
            </w:tcBorders>
            <w:shd w:val="clear" w:color="auto" w:fill="auto"/>
            <w:vAlign w:val="bottom"/>
            <w:hideMark/>
          </w:tcPr>
          <w:p w:rsidR="00112011" w:rsidRPr="00B54A75" w:rsidRDefault="00B54A75" w:rsidP="001E46D5">
            <w:pPr>
              <w:spacing w:after="0" w:line="240" w:lineRule="auto"/>
              <w:rPr>
                <w:rFonts w:ascii="Calibri" w:eastAsia="Times New Roman" w:hAnsi="Calibri" w:cs="Calibri"/>
                <w:color w:val="000000"/>
                <w:sz w:val="20"/>
                <w:szCs w:val="20"/>
                <w:lang w:eastAsia="en-AU"/>
              </w:rPr>
            </w:pPr>
            <w:proofErr w:type="spellStart"/>
            <w:r w:rsidRPr="00B54A75">
              <w:rPr>
                <w:rFonts w:ascii="Calibri" w:eastAsia="Times New Roman" w:hAnsi="Calibri" w:cs="Calibri"/>
                <w:color w:val="000000"/>
                <w:sz w:val="20"/>
                <w:szCs w:val="20"/>
                <w:lang w:eastAsia="en-AU"/>
              </w:rPr>
              <w:t>Titova</w:t>
            </w:r>
            <w:proofErr w:type="spellEnd"/>
            <w:r w:rsidRPr="00B54A75">
              <w:rPr>
                <w:rFonts w:ascii="Calibri" w:eastAsia="Times New Roman" w:hAnsi="Calibri" w:cs="Calibri"/>
                <w:color w:val="000000"/>
                <w:sz w:val="20"/>
                <w:szCs w:val="20"/>
                <w:lang w:eastAsia="en-AU"/>
              </w:rPr>
              <w:t xml:space="preserve">, </w:t>
            </w:r>
            <w:proofErr w:type="spellStart"/>
            <w:r w:rsidRPr="00B54A75">
              <w:rPr>
                <w:rFonts w:ascii="Calibri" w:eastAsia="Times New Roman" w:hAnsi="Calibri" w:cs="Calibri"/>
                <w:color w:val="000000"/>
                <w:sz w:val="20"/>
                <w:szCs w:val="20"/>
                <w:lang w:eastAsia="en-AU"/>
              </w:rPr>
              <w:t>Ax</w:t>
            </w:r>
            <w:proofErr w:type="spellEnd"/>
            <w:r w:rsidRPr="00B54A75">
              <w:rPr>
                <w:rFonts w:ascii="Calibri" w:eastAsia="Times New Roman" w:hAnsi="Calibri" w:cs="Calibri"/>
                <w:color w:val="000000"/>
                <w:sz w:val="20"/>
                <w:szCs w:val="20"/>
                <w:lang w:eastAsia="en-AU"/>
              </w:rPr>
              <w:t xml:space="preserve"> et al.</w:t>
            </w:r>
            <w:r w:rsidR="00CA60C8" w:rsidRPr="00B54A75">
              <w:rPr>
                <w:rFonts w:ascii="Calibri" w:eastAsia="Times New Roman" w:hAnsi="Calibri" w:cs="Calibri"/>
                <w:color w:val="000000"/>
                <w:sz w:val="20"/>
                <w:szCs w:val="20"/>
                <w:lang w:eastAsia="en-AU"/>
              </w:rPr>
              <w:fldChar w:fldCharType="begin" w:fldLock="1"/>
            </w:r>
            <w:r w:rsidR="00C73D5C">
              <w:rPr>
                <w:rFonts w:ascii="Calibri" w:eastAsia="Times New Roman" w:hAnsi="Calibri" w:cs="Calibri"/>
                <w:color w:val="000000"/>
                <w:sz w:val="20"/>
                <w:szCs w:val="20"/>
                <w:lang w:eastAsia="en-AU"/>
              </w:rPr>
              <w:instrText>ADDIN CSL_CITATION { "citationItems" : [ { "id" : "ITEM-1", "itemData" : { "DOI" : "10.1016/j.exger.2013.10.002", "ISSN" : "1873-6815", "PMID" : "24126083", "abstract" : "To examine the association between dietary habits, cognitive functioning and brain volumes in older individuals, data from 194 cognitively healthy individuals who participated in the Prospective Investigation of the Vasculature in Uppsala Seniors cohort were used. At age 70, participants kept diaries of their food intake for 1week. These records were used to calculate a Mediterranean diet (MeDi) score (comprising dietary habits traditionally found in Mediterranean countries, e.g. high intake of fruits and low intake of meat), with higher scores indicating more pronounced MeDi-like dietary habits. Five years later, participants' cognitive capabilities were examined by the seven minute screening (7MS) (a cognitive test battery used by clinicians to screen for dementia), and their brain volumes were measured by volumetric magnetic resonance imaging. Multivariate linear regression analyses were constructed to examine the association between the total MeDi score and cognitive functioning and brain volumes. In addition, possible associations between MeDi's eight dietary features and cognitive functioning and brain volumes were investigated. From the eight dietary features included in the MeDi score, pertaining to a low consumption of meat and meat products was linked to a better performance on the 7MS test (P=0.001) and greater total brain volume (i.e. the sum of white and gray matter, P=0.03) when controlling for potential confounders (e.g. BMI) in the analysis. Integrating all dietary features into the total MeDi score explained less variance in cognitive functioning and brain volumes than its single dietary component meat intake. These observational findings suggest that keeping to a low meat intake could prove to be an impact-driven public health policy to support healthy cognitive aging, when confirmed by longitudinal studies. Further, they suggest that the MeDi score is a construct that may mask possible associations of single MeDi features with brain health domains in elderly populations.", "author" : [ { "dropping-particle" : "", "family" : "Titova", "given" : "Olga E", "non-dropping-particle" : "", "parse-names" : false, "suffix" : "" }, { "dropping-particle" : "", "family" : "Ax", "given" : "Erika", "non-dropping-particle" : "", "parse-names" : false, "suffix" : "" }, { "dropping-particle" : "", "family" : "Brooks", "given" : "Samantha J", "non-dropping-particle" : "", "parse-names" : false, "suffix" : "" }, { "dropping-particle" : "", "family" : "Sj\u00f6gren", "given" : "Per", "non-dropping-particle" : "", "parse-names" : false, "suffix" : "" }, { "dropping-particle" : "", "family" : "Cederholm", "given" : "Tommy", "non-dropping-particle" : "", "parse-names" : false, "suffix" : "" }, { "dropping-particle" : "", "family" : "Kilander", "given" : "Lena", "non-dropping-particle" : "", "parse-names" : false, "suffix" : "" }, { "dropping-particle" : "", "family" : "Kullberg", "given" : "Joel", "non-dropping-particle" : "", "parse-names" : false, "suffix" : "" }, { "dropping-particle" : "", "family" : "Larsson", "given" : "Elna-Marie", "non-dropping-particle" : "", "parse-names" : false, "suffix" : "" }, { "dropping-particle" : "", "family" : "Johansson", "given" : "Lars", "non-dropping-particle" : "", "parse-names" : false, "suffix" : "" }, { "dropping-particle" : "", "family" : "Ahlstr\u00f6m", "given" : "H\u00e5kan", "non-dropping-particle" : "", "parse-names" : false, "suffix" : "" }, { "dropping-particle" : "", "family" : "Lind", "given" : "Lars", "non-dropping-particle" : "", "parse-names" : false, "suffix" : "" }, { "dropping-particle" : "", "family" : "Schi\u00f6th", "given" : "Helgi B", "non-dropping-particle" : "", "parse-names" : false, "suffix" : "" }, { "dropping-particle" : "", "family" : "Benedict", "given" : "Christian", "non-dropping-particle" : "", "parse-names" : false, "suffix" : "" } ], "container-title" : "Experimental Gerontology", "id" : "ITEM-1", "issued" : { "date-parts" : [ [ "2013", "12" ] ] }, "page" : "1443-1448", "publisher" : "The Authors", "title" : "Mediterranean diet habits in older individuals: associations with cognitive functioning and brain volumes", "type" : "article-journal", "volume" : "48" }, "uris" : [ "http://www.mendeley.com/documents/?uuid=7fb562f5-d7f3-4112-b2dc-c6125d38f1d3" ] } ], "mendeley" : { "formattedCitation" : "&lt;sup&gt;(42)&lt;/sup&gt;", "plainTextFormattedCitation" : "(42)", "previouslyFormattedCitation" : "&lt;sup&gt;(42)&lt;/sup&gt;" }, "properties" : { "noteIndex" : 0 }, "schema" : "https://github.com/citation-style-language/schema/raw/master/csl-citation.json" }</w:instrText>
            </w:r>
            <w:r w:rsidR="00CA60C8" w:rsidRPr="00B54A75">
              <w:rPr>
                <w:rFonts w:ascii="Calibri" w:eastAsia="Times New Roman" w:hAnsi="Calibri" w:cs="Calibri"/>
                <w:color w:val="000000"/>
                <w:sz w:val="20"/>
                <w:szCs w:val="20"/>
                <w:lang w:eastAsia="en-AU"/>
              </w:rPr>
              <w:fldChar w:fldCharType="separate"/>
            </w:r>
            <w:r w:rsidRPr="00B54A75">
              <w:rPr>
                <w:rFonts w:ascii="Calibri" w:eastAsia="Times New Roman" w:hAnsi="Calibri" w:cs="Calibri"/>
                <w:noProof/>
                <w:color w:val="000000"/>
                <w:sz w:val="20"/>
                <w:szCs w:val="20"/>
                <w:vertAlign w:val="superscript"/>
                <w:lang w:eastAsia="en-AU"/>
              </w:rPr>
              <w:t>(42)</w:t>
            </w:r>
            <w:r w:rsidR="00CA60C8" w:rsidRPr="00B54A75">
              <w:rPr>
                <w:rFonts w:ascii="Calibri" w:eastAsia="Times New Roman" w:hAnsi="Calibri" w:cs="Calibri"/>
                <w:color w:val="000000"/>
                <w:sz w:val="20"/>
                <w:szCs w:val="20"/>
                <w:lang w:eastAsia="en-AU"/>
              </w:rPr>
              <w:fldChar w:fldCharType="end"/>
            </w:r>
          </w:p>
        </w:tc>
        <w:tc>
          <w:tcPr>
            <w:tcW w:w="1049"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proofErr w:type="spellStart"/>
            <w:r w:rsidRPr="00B54A75">
              <w:rPr>
                <w:rFonts w:ascii="Calibri" w:eastAsia="Times New Roman" w:hAnsi="Calibri" w:cs="Calibri"/>
                <w:color w:val="000000"/>
                <w:sz w:val="20"/>
                <w:szCs w:val="20"/>
                <w:lang w:eastAsia="en-AU"/>
              </w:rPr>
              <w:t>MeDI</w:t>
            </w:r>
            <w:proofErr w:type="spellEnd"/>
            <w:r w:rsidRPr="00B54A75">
              <w:rPr>
                <w:rFonts w:ascii="Calibri" w:eastAsia="Times New Roman" w:hAnsi="Calibri" w:cs="Calibri"/>
                <w:color w:val="000000"/>
                <w:sz w:val="20"/>
                <w:szCs w:val="20"/>
                <w:lang w:eastAsia="en-AU"/>
              </w:rPr>
              <w:t xml:space="preserve"> (7DFD)</w:t>
            </w:r>
          </w:p>
        </w:tc>
        <w:tc>
          <w:tcPr>
            <w:tcW w:w="1082"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CN</w:t>
            </w:r>
          </w:p>
        </w:tc>
        <w:tc>
          <w:tcPr>
            <w:tcW w:w="1274"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194</w:t>
            </w:r>
          </w:p>
        </w:tc>
        <w:tc>
          <w:tcPr>
            <w:tcW w:w="1328"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≥70.0</w:t>
            </w:r>
          </w:p>
        </w:tc>
        <w:tc>
          <w:tcPr>
            <w:tcW w:w="1418"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70.10</w:t>
            </w:r>
          </w:p>
        </w:tc>
        <w:tc>
          <w:tcPr>
            <w:tcW w:w="1417"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0.01</w:t>
            </w:r>
          </w:p>
        </w:tc>
        <w:tc>
          <w:tcPr>
            <w:tcW w:w="5760"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b/>
                <w:bCs/>
                <w:iCs/>
                <w:color w:val="000000"/>
                <w:sz w:val="20"/>
                <w:szCs w:val="20"/>
                <w:lang w:eastAsia="en-AU"/>
              </w:rPr>
              <w:t xml:space="preserve">Cross sectional </w:t>
            </w:r>
            <w:r w:rsidRPr="00B54A75">
              <w:rPr>
                <w:rFonts w:ascii="Calibri" w:eastAsia="Times New Roman" w:hAnsi="Calibri" w:cs="Calibri"/>
                <w:b/>
                <w:bCs/>
                <w:color w:val="000000"/>
                <w:sz w:val="20"/>
                <w:szCs w:val="20"/>
                <w:lang w:eastAsia="en-AU"/>
              </w:rPr>
              <w:t>(MRI)</w:t>
            </w:r>
            <w:r w:rsidRPr="00B54A75">
              <w:rPr>
                <w:rFonts w:ascii="Calibri" w:eastAsia="Times New Roman" w:hAnsi="Calibri" w:cs="Calibri"/>
                <w:color w:val="000000"/>
                <w:sz w:val="20"/>
                <w:szCs w:val="20"/>
                <w:lang w:eastAsia="en-AU"/>
              </w:rPr>
              <w:br/>
            </w:r>
            <w:r w:rsidRPr="00B54A75">
              <w:rPr>
                <w:rFonts w:ascii="Calibri" w:eastAsia="Times New Roman" w:hAnsi="Calibri" w:cs="Calibri"/>
                <w:color w:val="000000"/>
                <w:sz w:val="20"/>
                <w:szCs w:val="20"/>
                <w:u w:val="single"/>
                <w:lang w:eastAsia="en-AU"/>
              </w:rPr>
              <w:t>↑ Meat or meat product intake</w:t>
            </w:r>
            <w:r w:rsidRPr="00B54A75">
              <w:rPr>
                <w:rFonts w:ascii="Calibri" w:eastAsia="Times New Roman" w:hAnsi="Calibri" w:cs="Calibri"/>
                <w:color w:val="000000"/>
                <w:sz w:val="20"/>
                <w:szCs w:val="20"/>
                <w:lang w:eastAsia="en-AU"/>
              </w:rPr>
              <w:t xml:space="preserve"> associated with: </w:t>
            </w:r>
            <w:r w:rsidRPr="00B54A75">
              <w:rPr>
                <w:rFonts w:ascii="Calibri" w:eastAsia="Times New Roman" w:hAnsi="Calibri" w:cs="Calibri"/>
                <w:color w:val="000000"/>
                <w:sz w:val="20"/>
                <w:szCs w:val="20"/>
                <w:lang w:eastAsia="en-AU"/>
              </w:rPr>
              <w:br/>
              <w:t xml:space="preserve">           ↓ </w:t>
            </w:r>
            <w:proofErr w:type="spellStart"/>
            <w:r w:rsidRPr="00B54A75">
              <w:rPr>
                <w:rFonts w:ascii="Calibri" w:eastAsia="Times New Roman" w:hAnsi="Calibri" w:cs="Calibri"/>
                <w:color w:val="000000"/>
                <w:sz w:val="20"/>
                <w:szCs w:val="20"/>
                <w:lang w:eastAsia="en-AU"/>
              </w:rPr>
              <w:t>TCv</w:t>
            </w:r>
            <w:proofErr w:type="spellEnd"/>
            <w:r w:rsidRPr="00B54A75">
              <w:rPr>
                <w:rFonts w:ascii="Calibri" w:eastAsia="Times New Roman" w:hAnsi="Calibri" w:cs="Calibri"/>
                <w:color w:val="000000"/>
                <w:sz w:val="20"/>
                <w:szCs w:val="20"/>
                <w:lang w:eastAsia="en-AU"/>
              </w:rPr>
              <w:br/>
            </w:r>
            <w:proofErr w:type="spellStart"/>
            <w:r w:rsidRPr="00B54A75">
              <w:rPr>
                <w:rFonts w:ascii="Calibri" w:eastAsia="Times New Roman" w:hAnsi="Calibri" w:cs="Calibri"/>
                <w:color w:val="000000"/>
                <w:sz w:val="20"/>
                <w:szCs w:val="20"/>
                <w:u w:val="single"/>
                <w:lang w:eastAsia="en-AU"/>
              </w:rPr>
              <w:t>MeDI</w:t>
            </w:r>
            <w:proofErr w:type="spellEnd"/>
            <w:r w:rsidRPr="00B54A75">
              <w:rPr>
                <w:rFonts w:ascii="Calibri" w:eastAsia="Times New Roman" w:hAnsi="Calibri" w:cs="Calibri"/>
                <w:color w:val="000000"/>
                <w:sz w:val="20"/>
                <w:szCs w:val="20"/>
                <w:u w:val="single"/>
                <w:lang w:eastAsia="en-AU"/>
              </w:rPr>
              <w:t xml:space="preserve"> score </w:t>
            </w:r>
            <w:r w:rsidRPr="00B54A75">
              <w:rPr>
                <w:rFonts w:ascii="Calibri" w:eastAsia="Times New Roman" w:hAnsi="Calibri" w:cs="Calibri"/>
                <w:color w:val="000000"/>
                <w:sz w:val="20"/>
                <w:szCs w:val="20"/>
                <w:lang w:eastAsia="en-AU"/>
              </w:rPr>
              <w:t xml:space="preserve">not associated with </w:t>
            </w:r>
            <w:proofErr w:type="spellStart"/>
            <w:r w:rsidRPr="00B54A75">
              <w:rPr>
                <w:rFonts w:ascii="Calibri" w:eastAsia="Times New Roman" w:hAnsi="Calibri" w:cs="Calibri"/>
                <w:color w:val="000000"/>
                <w:sz w:val="20"/>
                <w:szCs w:val="20"/>
                <w:lang w:eastAsia="en-AU"/>
              </w:rPr>
              <w:t>TCv</w:t>
            </w:r>
            <w:proofErr w:type="spellEnd"/>
            <w:r w:rsidRPr="00B54A75">
              <w:rPr>
                <w:rFonts w:ascii="Calibri" w:eastAsia="Times New Roman" w:hAnsi="Calibri" w:cs="Calibri"/>
                <w:color w:val="000000"/>
                <w:sz w:val="20"/>
                <w:szCs w:val="20"/>
                <w:lang w:eastAsia="en-AU"/>
              </w:rPr>
              <w:t>, TC-</w:t>
            </w:r>
            <w:proofErr w:type="spellStart"/>
            <w:r w:rsidRPr="00B54A75">
              <w:rPr>
                <w:rFonts w:ascii="Calibri" w:eastAsia="Times New Roman" w:hAnsi="Calibri" w:cs="Calibri"/>
                <w:color w:val="000000"/>
                <w:sz w:val="20"/>
                <w:szCs w:val="20"/>
                <w:lang w:eastAsia="en-AU"/>
              </w:rPr>
              <w:t>GMv</w:t>
            </w:r>
            <w:proofErr w:type="spellEnd"/>
            <w:r w:rsidRPr="00B54A75">
              <w:rPr>
                <w:rFonts w:ascii="Calibri" w:eastAsia="Times New Roman" w:hAnsi="Calibri" w:cs="Calibri"/>
                <w:color w:val="000000"/>
                <w:sz w:val="20"/>
                <w:szCs w:val="20"/>
                <w:lang w:eastAsia="en-AU"/>
              </w:rPr>
              <w:t>, or TC-</w:t>
            </w:r>
            <w:proofErr w:type="spellStart"/>
            <w:r w:rsidRPr="00B54A75">
              <w:rPr>
                <w:rFonts w:ascii="Calibri" w:eastAsia="Times New Roman" w:hAnsi="Calibri" w:cs="Calibri"/>
                <w:color w:val="000000"/>
                <w:sz w:val="20"/>
                <w:szCs w:val="20"/>
                <w:lang w:eastAsia="en-AU"/>
              </w:rPr>
              <w:t>WMv</w:t>
            </w:r>
            <w:proofErr w:type="spellEnd"/>
            <w:r w:rsidRPr="00B54A75">
              <w:rPr>
                <w:rFonts w:ascii="Calibri" w:eastAsia="Times New Roman" w:hAnsi="Calibri" w:cs="Calibri"/>
                <w:color w:val="000000"/>
                <w:sz w:val="20"/>
                <w:szCs w:val="20"/>
                <w:lang w:eastAsia="en-AU"/>
              </w:rPr>
              <w:t>.</w:t>
            </w:r>
          </w:p>
        </w:tc>
      </w:tr>
      <w:tr w:rsidR="009321E8" w:rsidRPr="00B54A75" w:rsidTr="00101592">
        <w:trPr>
          <w:trHeight w:val="851"/>
        </w:trPr>
        <w:tc>
          <w:tcPr>
            <w:tcW w:w="1840" w:type="dxa"/>
            <w:tcBorders>
              <w:top w:val="nil"/>
              <w:left w:val="nil"/>
              <w:bottom w:val="nil"/>
              <w:right w:val="nil"/>
            </w:tcBorders>
            <w:shd w:val="clear" w:color="auto" w:fill="auto"/>
            <w:noWrap/>
            <w:vAlign w:val="bottom"/>
            <w:hideMark/>
          </w:tcPr>
          <w:p w:rsidR="00272FF1" w:rsidRDefault="00272FF1" w:rsidP="00112011">
            <w:pPr>
              <w:spacing w:after="0" w:line="240" w:lineRule="auto"/>
              <w:rPr>
                <w:rFonts w:ascii="Calibri" w:eastAsia="Times New Roman" w:hAnsi="Calibri" w:cs="Calibri"/>
                <w:b/>
                <w:bCs/>
                <w:iCs/>
                <w:color w:val="000000"/>
                <w:sz w:val="20"/>
                <w:szCs w:val="20"/>
                <w:lang w:eastAsia="en-AU"/>
              </w:rPr>
            </w:pPr>
          </w:p>
          <w:p w:rsidR="00112011" w:rsidRPr="00B54A75" w:rsidRDefault="006646B7" w:rsidP="00BB58D4">
            <w:pPr>
              <w:spacing w:after="0" w:line="240" w:lineRule="auto"/>
              <w:rPr>
                <w:rFonts w:ascii="Calibri" w:eastAsia="Times New Roman" w:hAnsi="Calibri" w:cs="Calibri"/>
                <w:b/>
                <w:bCs/>
                <w:iCs/>
                <w:color w:val="000000"/>
                <w:sz w:val="20"/>
                <w:szCs w:val="20"/>
                <w:lang w:eastAsia="en-AU"/>
              </w:rPr>
            </w:pPr>
            <w:r>
              <w:rPr>
                <w:rFonts w:ascii="Calibri" w:eastAsia="Times New Roman" w:hAnsi="Calibri" w:cs="Calibri"/>
                <w:b/>
                <w:bCs/>
                <w:iCs/>
                <w:color w:val="000000"/>
                <w:sz w:val="20"/>
                <w:szCs w:val="20"/>
                <w:lang w:eastAsia="en-AU"/>
              </w:rPr>
              <w:t>‘</w:t>
            </w:r>
            <w:r w:rsidR="00AE3412">
              <w:rPr>
                <w:rFonts w:ascii="Calibri" w:eastAsia="Times New Roman" w:hAnsi="Calibri" w:cs="Calibri"/>
                <w:b/>
                <w:bCs/>
                <w:iCs/>
                <w:color w:val="000000"/>
                <w:sz w:val="20"/>
                <w:szCs w:val="20"/>
                <w:lang w:eastAsia="en-AU"/>
              </w:rPr>
              <w:t>Prudent</w:t>
            </w:r>
            <w:r>
              <w:rPr>
                <w:rFonts w:ascii="Calibri" w:eastAsia="Times New Roman" w:hAnsi="Calibri" w:cs="Calibri"/>
                <w:b/>
                <w:bCs/>
                <w:iCs/>
                <w:color w:val="000000"/>
                <w:sz w:val="20"/>
                <w:szCs w:val="20"/>
                <w:lang w:eastAsia="en-AU"/>
              </w:rPr>
              <w:t>’</w:t>
            </w:r>
            <w:r w:rsidR="00AE3412">
              <w:rPr>
                <w:rFonts w:ascii="Calibri" w:eastAsia="Times New Roman" w:hAnsi="Calibri" w:cs="Calibri"/>
                <w:b/>
                <w:bCs/>
                <w:iCs/>
                <w:color w:val="000000"/>
                <w:sz w:val="20"/>
                <w:szCs w:val="20"/>
                <w:lang w:eastAsia="en-AU"/>
              </w:rPr>
              <w:t xml:space="preserve"> </w:t>
            </w:r>
            <w:r w:rsidR="00616522">
              <w:rPr>
                <w:rFonts w:ascii="Calibri" w:eastAsia="Times New Roman" w:hAnsi="Calibri" w:cs="Calibri"/>
                <w:b/>
                <w:bCs/>
                <w:iCs/>
                <w:color w:val="000000"/>
                <w:sz w:val="20"/>
                <w:szCs w:val="20"/>
                <w:lang w:eastAsia="en-AU"/>
              </w:rPr>
              <w:t xml:space="preserve">&amp; Western style </w:t>
            </w:r>
            <w:r w:rsidR="00112011" w:rsidRPr="00B54A75">
              <w:rPr>
                <w:rFonts w:ascii="Calibri" w:eastAsia="Times New Roman" w:hAnsi="Calibri" w:cs="Calibri"/>
                <w:b/>
                <w:bCs/>
                <w:iCs/>
                <w:color w:val="000000"/>
                <w:sz w:val="20"/>
                <w:szCs w:val="20"/>
                <w:lang w:eastAsia="en-AU"/>
              </w:rPr>
              <w:t>diet</w:t>
            </w:r>
            <w:r w:rsidR="003D110B">
              <w:rPr>
                <w:rFonts w:ascii="Calibri" w:eastAsia="Times New Roman" w:hAnsi="Calibri" w:cs="Calibri"/>
                <w:b/>
                <w:bCs/>
                <w:iCs/>
                <w:color w:val="000000"/>
                <w:sz w:val="20"/>
                <w:szCs w:val="20"/>
                <w:lang w:eastAsia="en-AU"/>
              </w:rPr>
              <w:t>s</w:t>
            </w:r>
          </w:p>
        </w:tc>
        <w:tc>
          <w:tcPr>
            <w:tcW w:w="1049"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b/>
                <w:bCs/>
                <w:iCs/>
                <w:color w:val="000000"/>
                <w:sz w:val="20"/>
                <w:szCs w:val="20"/>
                <w:lang w:eastAsia="en-AU"/>
              </w:rPr>
            </w:pPr>
          </w:p>
        </w:tc>
        <w:tc>
          <w:tcPr>
            <w:tcW w:w="1082"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Times New Roman" w:eastAsia="Times New Roman" w:hAnsi="Times New Roman" w:cs="Times New Roman"/>
                <w:sz w:val="20"/>
                <w:szCs w:val="20"/>
                <w:lang w:eastAsia="en-AU"/>
              </w:rPr>
            </w:pPr>
          </w:p>
        </w:tc>
        <w:tc>
          <w:tcPr>
            <w:tcW w:w="1274"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Times New Roman" w:eastAsia="Times New Roman" w:hAnsi="Times New Roman" w:cs="Times New Roman"/>
                <w:sz w:val="20"/>
                <w:szCs w:val="20"/>
                <w:lang w:eastAsia="en-AU"/>
              </w:rPr>
            </w:pPr>
          </w:p>
        </w:tc>
        <w:tc>
          <w:tcPr>
            <w:tcW w:w="1328"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Times New Roman" w:eastAsia="Times New Roman" w:hAnsi="Times New Roman" w:cs="Times New Roman"/>
                <w:sz w:val="20"/>
                <w:szCs w:val="20"/>
                <w:lang w:eastAsia="en-AU"/>
              </w:rPr>
            </w:pPr>
          </w:p>
        </w:tc>
        <w:tc>
          <w:tcPr>
            <w:tcW w:w="1418"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Times New Roman" w:eastAsia="Times New Roman" w:hAnsi="Times New Roman" w:cs="Times New Roman"/>
                <w:sz w:val="20"/>
                <w:szCs w:val="20"/>
                <w:lang w:eastAsia="en-AU"/>
              </w:rPr>
            </w:pPr>
          </w:p>
        </w:tc>
        <w:tc>
          <w:tcPr>
            <w:tcW w:w="1417"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Times New Roman" w:eastAsia="Times New Roman" w:hAnsi="Times New Roman" w:cs="Times New Roman"/>
                <w:sz w:val="20"/>
                <w:szCs w:val="20"/>
                <w:lang w:eastAsia="en-AU"/>
              </w:rPr>
            </w:pPr>
          </w:p>
        </w:tc>
        <w:tc>
          <w:tcPr>
            <w:tcW w:w="5760"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Times New Roman" w:eastAsia="Times New Roman" w:hAnsi="Times New Roman" w:cs="Times New Roman"/>
                <w:sz w:val="20"/>
                <w:szCs w:val="20"/>
                <w:lang w:eastAsia="en-AU"/>
              </w:rPr>
            </w:pPr>
          </w:p>
        </w:tc>
      </w:tr>
      <w:tr w:rsidR="008251F9" w:rsidRPr="00B54A75" w:rsidTr="00101592">
        <w:trPr>
          <w:trHeight w:val="1669"/>
        </w:trPr>
        <w:tc>
          <w:tcPr>
            <w:tcW w:w="1840" w:type="dxa"/>
            <w:tcBorders>
              <w:top w:val="nil"/>
              <w:left w:val="nil"/>
              <w:bottom w:val="nil"/>
              <w:right w:val="nil"/>
            </w:tcBorders>
            <w:shd w:val="clear" w:color="auto" w:fill="D9D9D9" w:themeFill="background1" w:themeFillShade="D9"/>
            <w:vAlign w:val="bottom"/>
          </w:tcPr>
          <w:p w:rsidR="00472743" w:rsidRPr="00B54A75" w:rsidRDefault="00C73D5C" w:rsidP="00C73D5C">
            <w:pPr>
              <w:spacing w:after="0" w:line="240" w:lineRule="auto"/>
              <w:rPr>
                <w:rFonts w:ascii="Calibri" w:eastAsia="Times New Roman" w:hAnsi="Calibri" w:cs="Calibri"/>
                <w:color w:val="000000"/>
                <w:sz w:val="20"/>
                <w:szCs w:val="20"/>
                <w:lang w:eastAsia="en-AU"/>
              </w:rPr>
            </w:pPr>
            <w:proofErr w:type="spellStart"/>
            <w:r>
              <w:rPr>
                <w:rFonts w:ascii="Calibri" w:eastAsia="Times New Roman" w:hAnsi="Calibri" w:cs="Calibri"/>
                <w:color w:val="000000"/>
                <w:sz w:val="20"/>
                <w:szCs w:val="20"/>
                <w:lang w:eastAsia="en-AU"/>
              </w:rPr>
              <w:t>Croll</w:t>
            </w:r>
            <w:proofErr w:type="spellEnd"/>
            <w:r>
              <w:rPr>
                <w:rFonts w:ascii="Calibri" w:eastAsia="Times New Roman" w:hAnsi="Calibri" w:cs="Calibri"/>
                <w:color w:val="000000"/>
                <w:sz w:val="20"/>
                <w:szCs w:val="20"/>
                <w:lang w:eastAsia="en-AU"/>
              </w:rPr>
              <w:t xml:space="preserve"> et al.</w:t>
            </w:r>
            <w:r>
              <w:rPr>
                <w:rFonts w:ascii="Calibri" w:eastAsia="Times New Roman" w:hAnsi="Calibri" w:cs="Calibri"/>
                <w:color w:val="000000"/>
                <w:sz w:val="20"/>
                <w:szCs w:val="20"/>
                <w:lang w:eastAsia="en-AU"/>
              </w:rPr>
              <w:fldChar w:fldCharType="begin" w:fldLock="1"/>
            </w:r>
            <w:r>
              <w:rPr>
                <w:rFonts w:ascii="Calibri" w:eastAsia="Times New Roman" w:hAnsi="Calibri" w:cs="Calibri"/>
                <w:color w:val="000000"/>
                <w:sz w:val="20"/>
                <w:szCs w:val="20"/>
                <w:lang w:eastAsia="en-AU"/>
              </w:rPr>
              <w:instrText>ADDIN CSL_CITATION { "citationItems" : [ { "id" : "ITEM-1", "itemData" : { "DOI" : "10.1212/WNL.0000000000005691", "ISBN" : "0000000000", "ISSN" : "0028-3878", "PMID" : "29769374", "abstract" : "Objective To investigate the relation of diet quality with structural brain tissue volumes and focal vascular lesions in a dementia-free population. Methods From the population-based Rotterdam Study, 4,447 participants underwent dietary assessment and brain MRI scanning between 2005 and 2015. We excluded participants with an implausible energy intake, prevalent dementia, or cortical infarcts, leaving 4,213 participants for the current analysis. A diet quality score (0\u201314) was calculated reflecting adherence to Dutch dietary guidelines. Brain MRI was performed to obtain information on brain tissue volumes, white matter lesion volume, lacunes, and cerebral microbleeds. The associations of diet quality score and separate food groups with brain structures were assessed using multivariable linear and logistic regression. Results We found that better diet quality related to larger brain volume, gray matter volume, white matter volume, and hippocampal volume. Diet quality was not associated with white matter lesion volume, lacunes, or microbleeds. High intake of vegetables, fruit, whole grains, nuts, dairy, and fish and low intake of sugar-containing beverages were associated with larger brain volumes. Conclusions A better diet quality is associated with larger brain tissue volumes. These results suggest that the effect of nutrition on neurodegeneration may act via brain structure. More research, in particular longitudinal research, is needed to unravel direct vs indirect effects between diet quality and brain health.", "author" : [ { "dropping-particle" : "", "family" : "Croll", "given" : "Pauline H.", "non-dropping-particle" : "", "parse-names" : false, "suffix" : "" }, { "dropping-particle" : "", "family" : "Voortman", "given" : "Trudy", "non-dropping-particle" : "", "parse-names" : false, "suffix" : "" }, { "dropping-particle" : "", "family" : "Ikram", "given" : "M. Arfan", "non-dropping-particle" : "", "parse-names" : false, "suffix" : "" }, { "dropping-particle" : "", "family" : "Franco", "given" : "Oscar H.", "non-dropping-particle" : "", "parse-names" : false, "suffix" : "" }, { "dropping-particle" : "", "family" : "Schoufour", "given" : "Josje D.", "non-dropping-particle" : "", "parse-names" : false, "suffix" : "" }, { "dropping-particle" : "", "family" : "Bos", "given" : "Daniel", "non-dropping-particle" : "", "parse-names" : false, "suffix" : "" }, { "dropping-particle" : "", "family" : "Vernooij", "given" : "Meike W.", "non-dropping-particle" : "", "parse-names" : false, "suffix" : "" } ], "container-title" : "Neurology", "id" : "ITEM-1", "issued" : { "date-parts" : [ [ "2018" ] ] }, "page" : "e2166-e2173", "title" : "Better diet quality relates to larger brain tissue volumes: The Rotterdam Study", "type" : "article-journal", "volume" : "90" }, "uris" : [ "http://www.mendeley.com/documents/?uuid=6f205ed0-15e6-44be-b93d-d354e90c5fda" ] } ], "mendeley" : { "formattedCitation" : "&lt;sup&gt;(43)&lt;/sup&gt;", "plainTextFormattedCitation" : "(43)", "previouslyFormattedCitation" : "&lt;sup&gt;(43)&lt;/sup&gt;" }, "properties" : { "noteIndex" : 0 }, "schema" : "https://github.com/citation-style-language/schema/raw/master/csl-citation.json" }</w:instrText>
            </w:r>
            <w:r>
              <w:rPr>
                <w:rFonts w:ascii="Calibri" w:eastAsia="Times New Roman" w:hAnsi="Calibri" w:cs="Calibri"/>
                <w:color w:val="000000"/>
                <w:sz w:val="20"/>
                <w:szCs w:val="20"/>
                <w:lang w:eastAsia="en-AU"/>
              </w:rPr>
              <w:fldChar w:fldCharType="separate"/>
            </w:r>
            <w:r w:rsidRPr="00C73D5C">
              <w:rPr>
                <w:rFonts w:ascii="Calibri" w:eastAsia="Times New Roman" w:hAnsi="Calibri" w:cs="Calibri"/>
                <w:noProof/>
                <w:color w:val="000000"/>
                <w:sz w:val="20"/>
                <w:szCs w:val="20"/>
                <w:vertAlign w:val="superscript"/>
                <w:lang w:eastAsia="en-AU"/>
              </w:rPr>
              <w:t>(43)</w:t>
            </w:r>
            <w:r>
              <w:rPr>
                <w:rFonts w:ascii="Calibri" w:eastAsia="Times New Roman" w:hAnsi="Calibri" w:cs="Calibri"/>
                <w:color w:val="000000"/>
                <w:sz w:val="20"/>
                <w:szCs w:val="20"/>
                <w:lang w:eastAsia="en-AU"/>
              </w:rPr>
              <w:fldChar w:fldCharType="end"/>
            </w:r>
          </w:p>
        </w:tc>
        <w:tc>
          <w:tcPr>
            <w:tcW w:w="1049" w:type="dxa"/>
            <w:tcBorders>
              <w:top w:val="nil"/>
              <w:left w:val="nil"/>
              <w:bottom w:val="nil"/>
              <w:right w:val="nil"/>
            </w:tcBorders>
            <w:shd w:val="clear" w:color="auto" w:fill="D9D9D9" w:themeFill="background1" w:themeFillShade="D9"/>
            <w:vAlign w:val="bottom"/>
          </w:tcPr>
          <w:p w:rsidR="00472743" w:rsidRPr="00B54A75" w:rsidRDefault="008251F9" w:rsidP="001F068C">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Diet Quality (</w:t>
            </w:r>
            <w:r w:rsidR="001F068C">
              <w:rPr>
                <w:rFonts w:ascii="Calibri" w:eastAsia="Times New Roman" w:hAnsi="Calibri" w:cs="Calibri"/>
                <w:color w:val="000000"/>
                <w:sz w:val="20"/>
                <w:szCs w:val="20"/>
                <w:lang w:eastAsia="en-AU"/>
              </w:rPr>
              <w:t>Adherence to Dutch Diet</w:t>
            </w:r>
            <w:r w:rsidR="000E09F2">
              <w:rPr>
                <w:rFonts w:ascii="Calibri" w:eastAsia="Times New Roman" w:hAnsi="Calibri" w:cs="Calibri"/>
                <w:color w:val="000000"/>
                <w:sz w:val="20"/>
                <w:szCs w:val="20"/>
                <w:lang w:eastAsia="en-AU"/>
              </w:rPr>
              <w:t>ary</w:t>
            </w:r>
            <w:r w:rsidR="001F068C">
              <w:rPr>
                <w:rFonts w:ascii="Calibri" w:eastAsia="Times New Roman" w:hAnsi="Calibri" w:cs="Calibri"/>
                <w:color w:val="000000"/>
                <w:sz w:val="20"/>
                <w:szCs w:val="20"/>
                <w:lang w:eastAsia="en-AU"/>
              </w:rPr>
              <w:t xml:space="preserve"> Guidelines</w:t>
            </w:r>
            <w:r>
              <w:rPr>
                <w:rFonts w:ascii="Calibri" w:eastAsia="Times New Roman" w:hAnsi="Calibri" w:cs="Calibri"/>
                <w:color w:val="000000"/>
                <w:sz w:val="20"/>
                <w:szCs w:val="20"/>
                <w:lang w:eastAsia="en-AU"/>
              </w:rPr>
              <w:t>)</w:t>
            </w:r>
          </w:p>
        </w:tc>
        <w:tc>
          <w:tcPr>
            <w:tcW w:w="1082" w:type="dxa"/>
            <w:tcBorders>
              <w:top w:val="nil"/>
              <w:left w:val="nil"/>
              <w:bottom w:val="nil"/>
              <w:right w:val="nil"/>
            </w:tcBorders>
            <w:shd w:val="clear" w:color="auto" w:fill="D9D9D9" w:themeFill="background1" w:themeFillShade="D9"/>
            <w:vAlign w:val="bottom"/>
          </w:tcPr>
          <w:p w:rsidR="00472743" w:rsidRPr="00070EC0" w:rsidRDefault="004A4C44" w:rsidP="00112011">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DF</w:t>
            </w:r>
          </w:p>
        </w:tc>
        <w:tc>
          <w:tcPr>
            <w:tcW w:w="1274" w:type="dxa"/>
            <w:tcBorders>
              <w:top w:val="nil"/>
              <w:left w:val="nil"/>
              <w:bottom w:val="nil"/>
              <w:right w:val="nil"/>
            </w:tcBorders>
            <w:shd w:val="clear" w:color="auto" w:fill="D9D9D9" w:themeFill="background1" w:themeFillShade="D9"/>
            <w:vAlign w:val="bottom"/>
          </w:tcPr>
          <w:p w:rsidR="00472743" w:rsidRPr="00B54A75" w:rsidRDefault="004A4C44" w:rsidP="00112011">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4,213</w:t>
            </w:r>
          </w:p>
        </w:tc>
        <w:tc>
          <w:tcPr>
            <w:tcW w:w="1328" w:type="dxa"/>
            <w:tcBorders>
              <w:top w:val="nil"/>
              <w:left w:val="nil"/>
              <w:bottom w:val="nil"/>
              <w:right w:val="nil"/>
            </w:tcBorders>
            <w:shd w:val="clear" w:color="auto" w:fill="D9D9D9" w:themeFill="background1" w:themeFillShade="D9"/>
            <w:vAlign w:val="bottom"/>
          </w:tcPr>
          <w:p w:rsidR="00472743" w:rsidRPr="00B54A75" w:rsidRDefault="004A4C44" w:rsidP="00112011">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45.50-97.50</w:t>
            </w:r>
          </w:p>
        </w:tc>
        <w:tc>
          <w:tcPr>
            <w:tcW w:w="1418" w:type="dxa"/>
            <w:tcBorders>
              <w:top w:val="nil"/>
              <w:left w:val="nil"/>
              <w:bottom w:val="nil"/>
              <w:right w:val="nil"/>
            </w:tcBorders>
            <w:shd w:val="clear" w:color="auto" w:fill="D9D9D9" w:themeFill="background1" w:themeFillShade="D9"/>
            <w:vAlign w:val="bottom"/>
          </w:tcPr>
          <w:p w:rsidR="00472743" w:rsidRPr="00B54A75" w:rsidRDefault="00546A56" w:rsidP="00112011">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65.70</w:t>
            </w:r>
          </w:p>
        </w:tc>
        <w:tc>
          <w:tcPr>
            <w:tcW w:w="1417" w:type="dxa"/>
            <w:tcBorders>
              <w:top w:val="nil"/>
              <w:left w:val="nil"/>
              <w:bottom w:val="nil"/>
              <w:right w:val="nil"/>
            </w:tcBorders>
            <w:shd w:val="clear" w:color="auto" w:fill="D9D9D9" w:themeFill="background1" w:themeFillShade="D9"/>
            <w:vAlign w:val="bottom"/>
          </w:tcPr>
          <w:p w:rsidR="00472743" w:rsidRPr="00B54A75" w:rsidRDefault="00546A56" w:rsidP="00112011">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10.80</w:t>
            </w:r>
          </w:p>
        </w:tc>
        <w:tc>
          <w:tcPr>
            <w:tcW w:w="5760" w:type="dxa"/>
            <w:tcBorders>
              <w:top w:val="nil"/>
              <w:left w:val="nil"/>
              <w:bottom w:val="nil"/>
              <w:right w:val="nil"/>
            </w:tcBorders>
            <w:shd w:val="clear" w:color="auto" w:fill="D9D9D9" w:themeFill="background1" w:themeFillShade="D9"/>
            <w:vAlign w:val="bottom"/>
          </w:tcPr>
          <w:p w:rsidR="00472743" w:rsidRDefault="00546A56" w:rsidP="009F3693">
            <w:pPr>
              <w:spacing w:after="0" w:line="240" w:lineRule="auto"/>
              <w:rPr>
                <w:rFonts w:ascii="Calibri" w:eastAsia="Times New Roman" w:hAnsi="Calibri" w:cs="Calibri"/>
                <w:b/>
                <w:bCs/>
                <w:iCs/>
                <w:color w:val="000000"/>
                <w:sz w:val="20"/>
                <w:szCs w:val="20"/>
                <w:lang w:eastAsia="en-AU"/>
              </w:rPr>
            </w:pPr>
            <w:r w:rsidRPr="00546A56">
              <w:rPr>
                <w:rFonts w:ascii="Calibri" w:eastAsia="Times New Roman" w:hAnsi="Calibri" w:cs="Calibri"/>
                <w:b/>
                <w:bCs/>
                <w:iCs/>
                <w:color w:val="000000"/>
                <w:sz w:val="20"/>
                <w:szCs w:val="20"/>
                <w:lang w:eastAsia="en-AU"/>
              </w:rPr>
              <w:t>Cross Sectional (MRI)</w:t>
            </w:r>
          </w:p>
          <w:p w:rsidR="00546A56" w:rsidRPr="00546A56" w:rsidRDefault="00546A56" w:rsidP="001F068C">
            <w:pPr>
              <w:spacing w:after="0" w:line="240" w:lineRule="auto"/>
              <w:rPr>
                <w:rFonts w:ascii="Calibri" w:eastAsia="Times New Roman" w:hAnsi="Calibri" w:cs="Calibri"/>
                <w:bCs/>
                <w:iCs/>
                <w:color w:val="000000"/>
                <w:sz w:val="20"/>
                <w:szCs w:val="20"/>
                <w:lang w:eastAsia="en-AU"/>
              </w:rPr>
            </w:pPr>
            <w:r w:rsidRPr="00546A56">
              <w:rPr>
                <w:rFonts w:ascii="Calibri" w:eastAsia="Times New Roman" w:hAnsi="Calibri" w:cs="Calibri"/>
                <w:bCs/>
                <w:iCs/>
                <w:color w:val="000000"/>
                <w:sz w:val="20"/>
                <w:szCs w:val="20"/>
                <w:u w:val="single"/>
                <w:lang w:eastAsia="en-AU"/>
              </w:rPr>
              <w:t xml:space="preserve">↑ </w:t>
            </w:r>
            <w:r w:rsidR="008251F9">
              <w:rPr>
                <w:rFonts w:ascii="Calibri" w:eastAsia="Times New Roman" w:hAnsi="Calibri" w:cs="Calibri"/>
                <w:bCs/>
                <w:iCs/>
                <w:color w:val="000000"/>
                <w:sz w:val="20"/>
                <w:szCs w:val="20"/>
                <w:u w:val="single"/>
                <w:lang w:eastAsia="en-AU"/>
              </w:rPr>
              <w:t>Diet Quality (</w:t>
            </w:r>
            <w:r w:rsidR="001F068C">
              <w:rPr>
                <w:rFonts w:ascii="Calibri" w:eastAsia="Times New Roman" w:hAnsi="Calibri" w:cs="Calibri"/>
                <w:bCs/>
                <w:iCs/>
                <w:color w:val="000000"/>
                <w:sz w:val="20"/>
                <w:szCs w:val="20"/>
                <w:u w:val="single"/>
                <w:lang w:eastAsia="en-AU"/>
              </w:rPr>
              <w:t>Adherence to Dutch Diet</w:t>
            </w:r>
            <w:r w:rsidR="000E09F2">
              <w:rPr>
                <w:rFonts w:ascii="Calibri" w:eastAsia="Times New Roman" w:hAnsi="Calibri" w:cs="Calibri"/>
                <w:bCs/>
                <w:iCs/>
                <w:color w:val="000000"/>
                <w:sz w:val="20"/>
                <w:szCs w:val="20"/>
                <w:u w:val="single"/>
                <w:lang w:eastAsia="en-AU"/>
              </w:rPr>
              <w:t>ary</w:t>
            </w:r>
            <w:r w:rsidR="001F068C">
              <w:rPr>
                <w:rFonts w:ascii="Calibri" w:eastAsia="Times New Roman" w:hAnsi="Calibri" w:cs="Calibri"/>
                <w:bCs/>
                <w:iCs/>
                <w:color w:val="000000"/>
                <w:sz w:val="20"/>
                <w:szCs w:val="20"/>
                <w:u w:val="single"/>
                <w:lang w:eastAsia="en-AU"/>
              </w:rPr>
              <w:t xml:space="preserve"> Guidelines</w:t>
            </w:r>
            <w:r w:rsidR="008251F9">
              <w:rPr>
                <w:rFonts w:ascii="Calibri" w:eastAsia="Times New Roman" w:hAnsi="Calibri" w:cs="Calibri"/>
                <w:bCs/>
                <w:iCs/>
                <w:color w:val="000000"/>
                <w:sz w:val="20"/>
                <w:szCs w:val="20"/>
                <w:u w:val="single"/>
                <w:lang w:eastAsia="en-AU"/>
              </w:rPr>
              <w:t>)</w:t>
            </w:r>
            <w:r w:rsidR="00101592">
              <w:rPr>
                <w:rFonts w:ascii="Calibri" w:eastAsia="Times New Roman" w:hAnsi="Calibri" w:cs="Calibri"/>
                <w:bCs/>
                <w:iCs/>
                <w:color w:val="000000"/>
                <w:sz w:val="20"/>
                <w:szCs w:val="20"/>
                <w:lang w:eastAsia="en-AU"/>
              </w:rPr>
              <w:t xml:space="preserve"> was associated with:</w:t>
            </w:r>
            <w:r w:rsidR="00101592">
              <w:rPr>
                <w:rFonts w:ascii="Calibri" w:eastAsia="Times New Roman" w:hAnsi="Calibri" w:cs="Calibri"/>
                <w:bCs/>
                <w:iCs/>
                <w:color w:val="000000"/>
                <w:sz w:val="20"/>
                <w:szCs w:val="20"/>
                <w:lang w:eastAsia="en-AU"/>
              </w:rPr>
              <w:br/>
              <w:t xml:space="preserve">            ↑ </w:t>
            </w:r>
            <w:proofErr w:type="spellStart"/>
            <w:r w:rsidR="00101592">
              <w:rPr>
                <w:rFonts w:ascii="Calibri" w:eastAsia="Times New Roman" w:hAnsi="Calibri" w:cs="Calibri"/>
                <w:bCs/>
                <w:iCs/>
                <w:color w:val="000000"/>
                <w:sz w:val="20"/>
                <w:szCs w:val="20"/>
                <w:lang w:eastAsia="en-AU"/>
              </w:rPr>
              <w:t>TCv</w:t>
            </w:r>
            <w:proofErr w:type="spellEnd"/>
            <w:r w:rsidR="00101592">
              <w:rPr>
                <w:rFonts w:ascii="Calibri" w:eastAsia="Times New Roman" w:hAnsi="Calibri" w:cs="Calibri"/>
                <w:bCs/>
                <w:iCs/>
                <w:color w:val="000000"/>
                <w:sz w:val="20"/>
                <w:szCs w:val="20"/>
                <w:lang w:eastAsia="en-AU"/>
              </w:rPr>
              <w:br/>
              <w:t xml:space="preserve">            ↑ TC-</w:t>
            </w:r>
            <w:proofErr w:type="spellStart"/>
            <w:r w:rsidR="00101592">
              <w:rPr>
                <w:rFonts w:ascii="Calibri" w:eastAsia="Times New Roman" w:hAnsi="Calibri" w:cs="Calibri"/>
                <w:bCs/>
                <w:iCs/>
                <w:color w:val="000000"/>
                <w:sz w:val="20"/>
                <w:szCs w:val="20"/>
                <w:lang w:eastAsia="en-AU"/>
              </w:rPr>
              <w:t>GMv</w:t>
            </w:r>
            <w:proofErr w:type="spellEnd"/>
            <w:r w:rsidR="00101592">
              <w:rPr>
                <w:rFonts w:ascii="Calibri" w:eastAsia="Times New Roman" w:hAnsi="Calibri" w:cs="Calibri"/>
                <w:bCs/>
                <w:iCs/>
                <w:color w:val="000000"/>
                <w:sz w:val="20"/>
                <w:szCs w:val="20"/>
                <w:lang w:eastAsia="en-AU"/>
              </w:rPr>
              <w:br/>
              <w:t xml:space="preserve">            ↑ TC-</w:t>
            </w:r>
            <w:proofErr w:type="spellStart"/>
            <w:r w:rsidR="00101592">
              <w:rPr>
                <w:rFonts w:ascii="Calibri" w:eastAsia="Times New Roman" w:hAnsi="Calibri" w:cs="Calibri"/>
                <w:bCs/>
                <w:iCs/>
                <w:color w:val="000000"/>
                <w:sz w:val="20"/>
                <w:szCs w:val="20"/>
                <w:lang w:eastAsia="en-AU"/>
              </w:rPr>
              <w:t>WMv</w:t>
            </w:r>
            <w:proofErr w:type="spellEnd"/>
            <w:r w:rsidR="00101592">
              <w:rPr>
                <w:rFonts w:ascii="Calibri" w:eastAsia="Times New Roman" w:hAnsi="Calibri" w:cs="Calibri"/>
                <w:bCs/>
                <w:iCs/>
                <w:color w:val="000000"/>
                <w:sz w:val="20"/>
                <w:szCs w:val="20"/>
                <w:lang w:eastAsia="en-AU"/>
              </w:rPr>
              <w:br/>
              <w:t xml:space="preserve">            ↑ </w:t>
            </w:r>
            <w:proofErr w:type="spellStart"/>
            <w:r w:rsidR="00101592">
              <w:rPr>
                <w:rFonts w:ascii="Calibri" w:eastAsia="Times New Roman" w:hAnsi="Calibri" w:cs="Calibri"/>
                <w:bCs/>
                <w:iCs/>
                <w:color w:val="000000"/>
                <w:sz w:val="20"/>
                <w:szCs w:val="20"/>
                <w:lang w:eastAsia="en-AU"/>
              </w:rPr>
              <w:t>HCv</w:t>
            </w:r>
            <w:proofErr w:type="spellEnd"/>
          </w:p>
        </w:tc>
      </w:tr>
      <w:tr w:rsidR="008251F9" w:rsidRPr="00B54A75" w:rsidTr="006B47A3">
        <w:trPr>
          <w:trHeight w:val="2264"/>
        </w:trPr>
        <w:tc>
          <w:tcPr>
            <w:tcW w:w="1840" w:type="dxa"/>
            <w:tcBorders>
              <w:top w:val="nil"/>
              <w:left w:val="nil"/>
              <w:bottom w:val="nil"/>
              <w:right w:val="nil"/>
            </w:tcBorders>
            <w:shd w:val="clear" w:color="auto" w:fill="FFFFFF" w:themeFill="background1"/>
            <w:vAlign w:val="bottom"/>
            <w:hideMark/>
          </w:tcPr>
          <w:p w:rsidR="00112011" w:rsidRPr="00B54A75" w:rsidRDefault="00B54A75" w:rsidP="00C73D5C">
            <w:pPr>
              <w:spacing w:after="0" w:line="240" w:lineRule="auto"/>
              <w:rPr>
                <w:rFonts w:ascii="Calibri" w:eastAsia="Times New Roman" w:hAnsi="Calibri" w:cs="Calibri"/>
                <w:color w:val="000000"/>
                <w:sz w:val="20"/>
                <w:szCs w:val="20"/>
                <w:lang w:eastAsia="en-AU"/>
              </w:rPr>
            </w:pPr>
            <w:proofErr w:type="spellStart"/>
            <w:r w:rsidRPr="00B54A75">
              <w:rPr>
                <w:rFonts w:ascii="Calibri" w:eastAsia="Times New Roman" w:hAnsi="Calibri" w:cs="Calibri"/>
                <w:color w:val="000000"/>
                <w:sz w:val="20"/>
                <w:szCs w:val="20"/>
                <w:lang w:eastAsia="en-AU"/>
              </w:rPr>
              <w:t>Jacka</w:t>
            </w:r>
            <w:proofErr w:type="spellEnd"/>
            <w:r w:rsidRPr="00B54A75">
              <w:rPr>
                <w:rFonts w:ascii="Calibri" w:eastAsia="Times New Roman" w:hAnsi="Calibri" w:cs="Calibri"/>
                <w:color w:val="000000"/>
                <w:sz w:val="20"/>
                <w:szCs w:val="20"/>
                <w:lang w:eastAsia="en-AU"/>
              </w:rPr>
              <w:t xml:space="preserve"> et al.</w:t>
            </w:r>
            <w:r w:rsidR="00CA60C8" w:rsidRPr="00B54A75">
              <w:rPr>
                <w:rFonts w:ascii="Calibri" w:eastAsia="Times New Roman" w:hAnsi="Calibri" w:cs="Calibri"/>
                <w:color w:val="000000"/>
                <w:sz w:val="20"/>
                <w:szCs w:val="20"/>
                <w:lang w:eastAsia="en-AU"/>
              </w:rPr>
              <w:fldChar w:fldCharType="begin" w:fldLock="1"/>
            </w:r>
            <w:r w:rsidR="00C73D5C">
              <w:rPr>
                <w:rFonts w:ascii="Calibri" w:eastAsia="Times New Roman" w:hAnsi="Calibri" w:cs="Calibri"/>
                <w:color w:val="000000"/>
                <w:sz w:val="20"/>
                <w:szCs w:val="20"/>
                <w:lang w:eastAsia="en-AU"/>
              </w:rPr>
              <w:instrText>ADDIN CSL_CITATION { "citationItems" : [ { "id" : "ITEM-1", "itemData" : { "DOI" : "10.1186/s12916-015-0461-x", "ISSN" : "1741-7015", "PMID" : "26349802", "abstract" : "BACKGROUND: Recent meta-analyses confirm a relationship between diet quality and both depression and cognitive health in adults. While the biological pathways that underpin these relationships are likely multitudinous, extensive evidence from animal studies points to the involvement of the hippocampus. The aim of this study was to examine the association between dietary patterns and hippocampal volume in humans, and to assess whether diet was associated with differential rates of hippocampal atrophy over time. METHODS: Data were drawn from the Personality and Total Health Through Life Study and focused on a subsample of the cohort (n = 255) who were aged 60-64 years at baseline in 2001, completed a food frequency questionnaire, and underwent two magnetic resonance imaging scans approximately 4 years apart. Longitudinal generalized estimating equation linear regression models were used to assess the association between dietary factors and left and right hippocampal volumes over time. RESULTS: Every one standard deviation increase in healthy \"prudent\" dietary pattern was associated with a 45.7 mm(3) (standard error 22.9 mm(3)) larger left hippocampal volume, while higher consumption of an unhealthy \"Western\" dietary pattern was (independently) associated with a 52.6 mm(3) (SE 26.6 mm(3)) smaller left hippocampal volume. These relationships were independent of covariates including age, gender, education, labour-force status, depressive symptoms and medication, physical activity, smoking, hypertension and diabetes. While hippocampal volume declined over time, there was no evidence that dietary patterns influenced this decline. No relationships were observed between dietary patterns and right hippocampal volume. CONCLUSIONS: Lower intakes of nutrient-dense foods and higher intakes of unhealthy foods are each independently associated with smaller left hippocampal volume. To our knowledge, this is the first human study to demonstrate associations between diet and hippocampal volume concordant with data previously observed in animal models.", "author" : [ { "dropping-particle" : "", "family" : "Jacka", "given" : "Felice N", "non-dropping-particle" : "", "parse-names" : false, "suffix" : "" }, { "dropping-particle" : "", "family" : "Cherbuin", "given" : "Nicolas", "non-dropping-particle" : "", "parse-names" : false, "suffix" : "" }, { "dropping-particle" : "", "family" : "Anstey", "given" : "Kaarin J", "non-dropping-particle" : "", "parse-names" : false, "suffix" : "" }, { "dropping-particle" : "", "family" : "Sachdev", "given" : "Perminder", "non-dropping-particle" : "", "parse-names" : false, "suffix" : "" }, { "dropping-particle" : "", "family" : "Butterworth", "given" : "Peter", "non-dropping-particle" : "", "parse-names" : false, "suffix" : "" } ], "container-title" : "BMC medicine", "id" : "ITEM-1", "issued" : { "date-parts" : [ [ "2015", "1" ] ] }, "page" : "215", "publisher" : "BMC Medicine", "title" : "Western diet is associated with a smaller hippocampus: a longitudinal investigation.", "type" : "article-journal", "volume" : "13" }, "uris" : [ "http://www.mendeley.com/documents/?uuid=12aa0273-52c1-4f6b-9ca1-fae90decb507" ] } ], "mendeley" : { "formattedCitation" : "&lt;sup&gt;(44)&lt;/sup&gt;", "plainTextFormattedCitation" : "(44)", "previouslyFormattedCitation" : "&lt;sup&gt;(44)&lt;/sup&gt;" }, "properties" : { "noteIndex" : 0 }, "schema" : "https://github.com/citation-style-language/schema/raw/master/csl-citation.json" }</w:instrText>
            </w:r>
            <w:r w:rsidR="00CA60C8" w:rsidRPr="00B54A75">
              <w:rPr>
                <w:rFonts w:ascii="Calibri" w:eastAsia="Times New Roman" w:hAnsi="Calibri" w:cs="Calibri"/>
                <w:color w:val="000000"/>
                <w:sz w:val="20"/>
                <w:szCs w:val="20"/>
                <w:lang w:eastAsia="en-AU"/>
              </w:rPr>
              <w:fldChar w:fldCharType="separate"/>
            </w:r>
            <w:r w:rsidR="00C73D5C" w:rsidRPr="00C73D5C">
              <w:rPr>
                <w:rFonts w:ascii="Calibri" w:eastAsia="Times New Roman" w:hAnsi="Calibri" w:cs="Calibri"/>
                <w:noProof/>
                <w:color w:val="000000"/>
                <w:sz w:val="20"/>
                <w:szCs w:val="20"/>
                <w:vertAlign w:val="superscript"/>
                <w:lang w:eastAsia="en-AU"/>
              </w:rPr>
              <w:t>(44)</w:t>
            </w:r>
            <w:r w:rsidR="00CA60C8" w:rsidRPr="00B54A75">
              <w:rPr>
                <w:rFonts w:ascii="Calibri" w:eastAsia="Times New Roman" w:hAnsi="Calibri" w:cs="Calibri"/>
                <w:color w:val="000000"/>
                <w:sz w:val="20"/>
                <w:szCs w:val="20"/>
                <w:lang w:eastAsia="en-AU"/>
              </w:rPr>
              <w:fldChar w:fldCharType="end"/>
            </w:r>
          </w:p>
        </w:tc>
        <w:tc>
          <w:tcPr>
            <w:tcW w:w="1049" w:type="dxa"/>
            <w:tcBorders>
              <w:top w:val="nil"/>
              <w:left w:val="nil"/>
              <w:bottom w:val="nil"/>
              <w:right w:val="nil"/>
            </w:tcBorders>
            <w:shd w:val="clear" w:color="auto" w:fill="FFFFFF" w:themeFill="background1"/>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 xml:space="preserve">P-Diet &amp; </w:t>
            </w:r>
            <w:proofErr w:type="spellStart"/>
            <w:proofErr w:type="gramStart"/>
            <w:r w:rsidRPr="00B54A75">
              <w:rPr>
                <w:rFonts w:ascii="Calibri" w:eastAsia="Times New Roman" w:hAnsi="Calibri" w:cs="Calibri"/>
                <w:color w:val="000000"/>
                <w:sz w:val="20"/>
                <w:szCs w:val="20"/>
                <w:lang w:eastAsia="en-AU"/>
              </w:rPr>
              <w:t>WeDi</w:t>
            </w:r>
            <w:proofErr w:type="spellEnd"/>
            <w:r w:rsidRPr="00B54A75">
              <w:rPr>
                <w:rFonts w:ascii="Calibri" w:eastAsia="Times New Roman" w:hAnsi="Calibri" w:cs="Calibri"/>
                <w:color w:val="000000"/>
                <w:sz w:val="20"/>
                <w:szCs w:val="20"/>
                <w:lang w:eastAsia="en-AU"/>
              </w:rPr>
              <w:t xml:space="preserve">  (</w:t>
            </w:r>
            <w:proofErr w:type="gramEnd"/>
            <w:r w:rsidRPr="00B54A75">
              <w:rPr>
                <w:rFonts w:ascii="Calibri" w:eastAsia="Times New Roman" w:hAnsi="Calibri" w:cs="Calibri"/>
                <w:color w:val="000000"/>
                <w:sz w:val="20"/>
                <w:szCs w:val="20"/>
                <w:lang w:eastAsia="en-AU"/>
              </w:rPr>
              <w:t>FFQ)</w:t>
            </w:r>
          </w:p>
        </w:tc>
        <w:tc>
          <w:tcPr>
            <w:tcW w:w="1082" w:type="dxa"/>
            <w:tcBorders>
              <w:top w:val="nil"/>
              <w:left w:val="nil"/>
              <w:bottom w:val="nil"/>
              <w:right w:val="nil"/>
            </w:tcBorders>
            <w:shd w:val="clear" w:color="auto" w:fill="FFFFFF" w:themeFill="background1"/>
            <w:vAlign w:val="bottom"/>
            <w:hideMark/>
          </w:tcPr>
          <w:p w:rsidR="00112011" w:rsidRPr="00070EC0" w:rsidRDefault="00112011" w:rsidP="00112011">
            <w:pPr>
              <w:spacing w:after="0" w:line="240" w:lineRule="auto"/>
              <w:rPr>
                <w:rFonts w:ascii="Calibri" w:eastAsia="Times New Roman" w:hAnsi="Calibri" w:cs="Calibri"/>
                <w:color w:val="000000"/>
                <w:sz w:val="20"/>
                <w:szCs w:val="20"/>
                <w:lang w:eastAsia="en-AU"/>
              </w:rPr>
            </w:pPr>
            <w:r w:rsidRPr="00070EC0">
              <w:rPr>
                <w:rFonts w:ascii="Calibri" w:eastAsia="Times New Roman" w:hAnsi="Calibri" w:cs="Calibri"/>
                <w:color w:val="000000"/>
                <w:sz w:val="20"/>
                <w:szCs w:val="20"/>
                <w:lang w:eastAsia="en-AU"/>
              </w:rPr>
              <w:t>DF</w:t>
            </w:r>
            <w:r w:rsidR="00070EC0" w:rsidRPr="00070EC0">
              <w:rPr>
                <w:rFonts w:cstheme="minorHAnsi"/>
              </w:rPr>
              <w:t>§</w:t>
            </w:r>
          </w:p>
        </w:tc>
        <w:tc>
          <w:tcPr>
            <w:tcW w:w="1274" w:type="dxa"/>
            <w:tcBorders>
              <w:top w:val="nil"/>
              <w:left w:val="nil"/>
              <w:bottom w:val="nil"/>
              <w:right w:val="nil"/>
            </w:tcBorders>
            <w:shd w:val="clear" w:color="auto" w:fill="FFFFFF" w:themeFill="background1"/>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118</w:t>
            </w:r>
          </w:p>
        </w:tc>
        <w:tc>
          <w:tcPr>
            <w:tcW w:w="1328" w:type="dxa"/>
            <w:tcBorders>
              <w:top w:val="nil"/>
              <w:left w:val="nil"/>
              <w:bottom w:val="nil"/>
              <w:right w:val="nil"/>
            </w:tcBorders>
            <w:shd w:val="clear" w:color="auto" w:fill="FFFFFF" w:themeFill="background1"/>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60.0 - 64.0</w:t>
            </w:r>
          </w:p>
        </w:tc>
        <w:tc>
          <w:tcPr>
            <w:tcW w:w="1418" w:type="dxa"/>
            <w:tcBorders>
              <w:top w:val="nil"/>
              <w:left w:val="nil"/>
              <w:bottom w:val="nil"/>
              <w:right w:val="nil"/>
            </w:tcBorders>
            <w:shd w:val="clear" w:color="auto" w:fill="FFFFFF" w:themeFill="background1"/>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62.60</w:t>
            </w:r>
          </w:p>
        </w:tc>
        <w:tc>
          <w:tcPr>
            <w:tcW w:w="1417" w:type="dxa"/>
            <w:tcBorders>
              <w:top w:val="nil"/>
              <w:left w:val="nil"/>
              <w:bottom w:val="nil"/>
              <w:right w:val="nil"/>
            </w:tcBorders>
            <w:shd w:val="clear" w:color="auto" w:fill="FFFFFF" w:themeFill="background1"/>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1.42</w:t>
            </w:r>
          </w:p>
        </w:tc>
        <w:tc>
          <w:tcPr>
            <w:tcW w:w="5760" w:type="dxa"/>
            <w:tcBorders>
              <w:top w:val="nil"/>
              <w:left w:val="nil"/>
              <w:bottom w:val="nil"/>
              <w:right w:val="nil"/>
            </w:tcBorders>
            <w:shd w:val="clear" w:color="auto" w:fill="FFFFFF" w:themeFill="background1"/>
            <w:vAlign w:val="bottom"/>
            <w:hideMark/>
          </w:tcPr>
          <w:p w:rsidR="00112011" w:rsidRPr="00B54A75" w:rsidRDefault="00112011" w:rsidP="009F3693">
            <w:pPr>
              <w:spacing w:after="0" w:line="240" w:lineRule="auto"/>
              <w:rPr>
                <w:rFonts w:ascii="Calibri" w:eastAsia="Times New Roman" w:hAnsi="Calibri" w:cs="Calibri"/>
                <w:b/>
                <w:bCs/>
                <w:color w:val="000000"/>
                <w:sz w:val="20"/>
                <w:szCs w:val="20"/>
                <w:lang w:eastAsia="en-AU"/>
              </w:rPr>
            </w:pPr>
            <w:r w:rsidRPr="00B54A75">
              <w:rPr>
                <w:rFonts w:ascii="Calibri" w:eastAsia="Times New Roman" w:hAnsi="Calibri" w:cs="Calibri"/>
                <w:b/>
                <w:bCs/>
                <w:iCs/>
                <w:color w:val="000000"/>
                <w:sz w:val="20"/>
                <w:szCs w:val="20"/>
                <w:lang w:eastAsia="en-AU"/>
              </w:rPr>
              <w:t xml:space="preserve">Cross sectional </w:t>
            </w:r>
            <w:r w:rsidRPr="00B54A75">
              <w:rPr>
                <w:rFonts w:ascii="Calibri" w:eastAsia="Times New Roman" w:hAnsi="Calibri" w:cs="Calibri"/>
                <w:b/>
                <w:bCs/>
                <w:color w:val="000000"/>
                <w:sz w:val="20"/>
                <w:szCs w:val="20"/>
                <w:lang w:eastAsia="en-AU"/>
              </w:rPr>
              <w:t>(MRI)</w:t>
            </w:r>
            <w:r w:rsidRPr="00B54A75">
              <w:rPr>
                <w:rFonts w:ascii="Calibri" w:eastAsia="Times New Roman" w:hAnsi="Calibri" w:cs="Calibri"/>
                <w:color w:val="000000"/>
                <w:sz w:val="20"/>
                <w:szCs w:val="20"/>
                <w:lang w:eastAsia="en-AU"/>
              </w:rPr>
              <w:br/>
            </w:r>
            <w:r w:rsidRPr="00B54A75">
              <w:rPr>
                <w:rFonts w:ascii="Calibri" w:eastAsia="Times New Roman" w:hAnsi="Calibri" w:cs="Calibri"/>
                <w:color w:val="000000"/>
                <w:sz w:val="20"/>
                <w:szCs w:val="20"/>
                <w:u w:val="single"/>
                <w:lang w:eastAsia="en-AU"/>
              </w:rPr>
              <w:t>↑ P-Diet score</w:t>
            </w:r>
            <w:r w:rsidRPr="00B54A75">
              <w:rPr>
                <w:rFonts w:ascii="Calibri" w:eastAsia="Times New Roman" w:hAnsi="Calibri" w:cs="Calibri"/>
                <w:color w:val="000000"/>
                <w:sz w:val="20"/>
                <w:szCs w:val="20"/>
                <w:lang w:eastAsia="en-AU"/>
              </w:rPr>
              <w:t xml:space="preserve"> was associated with:</w:t>
            </w:r>
            <w:r w:rsidRPr="00B54A75">
              <w:rPr>
                <w:rFonts w:ascii="Calibri" w:eastAsia="Times New Roman" w:hAnsi="Calibri" w:cs="Calibri"/>
                <w:color w:val="000000"/>
                <w:sz w:val="20"/>
                <w:szCs w:val="20"/>
                <w:lang w:eastAsia="en-AU"/>
              </w:rPr>
              <w:br/>
              <w:t xml:space="preserve">            ↑ </w:t>
            </w:r>
            <w:proofErr w:type="spellStart"/>
            <w:r w:rsidRPr="00B54A75">
              <w:rPr>
                <w:rFonts w:ascii="Calibri" w:eastAsia="Times New Roman" w:hAnsi="Calibri" w:cs="Calibri"/>
                <w:color w:val="000000"/>
                <w:sz w:val="20"/>
                <w:szCs w:val="20"/>
                <w:lang w:eastAsia="en-AU"/>
              </w:rPr>
              <w:t>HCv</w:t>
            </w:r>
            <w:proofErr w:type="spellEnd"/>
            <w:r w:rsidRPr="00B54A75">
              <w:rPr>
                <w:rFonts w:ascii="Calibri" w:eastAsia="Times New Roman" w:hAnsi="Calibri" w:cs="Calibri"/>
                <w:color w:val="000000"/>
                <w:sz w:val="20"/>
                <w:szCs w:val="20"/>
                <w:lang w:eastAsia="en-AU"/>
              </w:rPr>
              <w:br/>
            </w:r>
            <w:r w:rsidRPr="00B54A75">
              <w:rPr>
                <w:rFonts w:ascii="Calibri" w:eastAsia="Times New Roman" w:hAnsi="Calibri" w:cs="Calibri"/>
                <w:color w:val="000000"/>
                <w:sz w:val="20"/>
                <w:szCs w:val="20"/>
                <w:u w:val="single"/>
                <w:lang w:eastAsia="en-AU"/>
              </w:rPr>
              <w:t xml:space="preserve">↑ </w:t>
            </w:r>
            <w:proofErr w:type="spellStart"/>
            <w:r w:rsidRPr="00B54A75">
              <w:rPr>
                <w:rFonts w:ascii="Calibri" w:eastAsia="Times New Roman" w:hAnsi="Calibri" w:cs="Calibri"/>
                <w:color w:val="000000"/>
                <w:sz w:val="20"/>
                <w:szCs w:val="20"/>
                <w:u w:val="single"/>
                <w:lang w:eastAsia="en-AU"/>
              </w:rPr>
              <w:t>WeDi</w:t>
            </w:r>
            <w:proofErr w:type="spellEnd"/>
            <w:r w:rsidRPr="00B54A75">
              <w:rPr>
                <w:rFonts w:ascii="Calibri" w:eastAsia="Times New Roman" w:hAnsi="Calibri" w:cs="Calibri"/>
                <w:color w:val="000000"/>
                <w:sz w:val="20"/>
                <w:szCs w:val="20"/>
                <w:u w:val="single"/>
                <w:lang w:eastAsia="en-AU"/>
              </w:rPr>
              <w:t xml:space="preserve"> score </w:t>
            </w:r>
            <w:r w:rsidRPr="00B54A75">
              <w:rPr>
                <w:rFonts w:ascii="Calibri" w:eastAsia="Times New Roman" w:hAnsi="Calibri" w:cs="Calibri"/>
                <w:color w:val="000000"/>
                <w:sz w:val="20"/>
                <w:szCs w:val="20"/>
                <w:lang w:eastAsia="en-AU"/>
              </w:rPr>
              <w:t>was associated with:</w:t>
            </w:r>
            <w:r w:rsidRPr="00B54A75">
              <w:rPr>
                <w:rFonts w:ascii="Calibri" w:eastAsia="Times New Roman" w:hAnsi="Calibri" w:cs="Calibri"/>
                <w:color w:val="000000"/>
                <w:sz w:val="20"/>
                <w:szCs w:val="20"/>
                <w:lang w:eastAsia="en-AU"/>
              </w:rPr>
              <w:br/>
              <w:t xml:space="preserve">            ↓ </w:t>
            </w:r>
            <w:proofErr w:type="spellStart"/>
            <w:r w:rsidRPr="00B54A75">
              <w:rPr>
                <w:rFonts w:ascii="Calibri" w:eastAsia="Times New Roman" w:hAnsi="Calibri" w:cs="Calibri"/>
                <w:color w:val="000000"/>
                <w:sz w:val="20"/>
                <w:szCs w:val="20"/>
                <w:lang w:eastAsia="en-AU"/>
              </w:rPr>
              <w:t>HCv</w:t>
            </w:r>
            <w:proofErr w:type="spellEnd"/>
            <w:r w:rsidRPr="00B54A75">
              <w:rPr>
                <w:rFonts w:ascii="Calibri" w:eastAsia="Times New Roman" w:hAnsi="Calibri" w:cs="Calibri"/>
                <w:color w:val="000000"/>
                <w:sz w:val="20"/>
                <w:szCs w:val="20"/>
                <w:lang w:eastAsia="en-AU"/>
              </w:rPr>
              <w:br/>
            </w:r>
            <w:r w:rsidRPr="00B54A75">
              <w:rPr>
                <w:rFonts w:ascii="Calibri" w:eastAsia="Times New Roman" w:hAnsi="Calibri" w:cs="Calibri"/>
                <w:color w:val="000000"/>
                <w:sz w:val="20"/>
                <w:szCs w:val="20"/>
                <w:lang w:eastAsia="en-AU"/>
              </w:rPr>
              <w:br/>
            </w:r>
            <w:r w:rsidRPr="00B54A75">
              <w:rPr>
                <w:rFonts w:ascii="Calibri" w:eastAsia="Times New Roman" w:hAnsi="Calibri" w:cs="Calibri"/>
                <w:b/>
                <w:bCs/>
                <w:iCs/>
                <w:color w:val="000000"/>
                <w:sz w:val="20"/>
                <w:szCs w:val="20"/>
                <w:lang w:eastAsia="en-AU"/>
              </w:rPr>
              <w:t xml:space="preserve">Longitudinal </w:t>
            </w:r>
            <w:r w:rsidRPr="00B54A75">
              <w:rPr>
                <w:rFonts w:ascii="Calibri" w:eastAsia="Times New Roman" w:hAnsi="Calibri" w:cs="Calibri"/>
                <w:b/>
                <w:bCs/>
                <w:color w:val="000000"/>
                <w:sz w:val="20"/>
                <w:szCs w:val="20"/>
                <w:lang w:eastAsia="en-AU"/>
              </w:rPr>
              <w:t>(MRI; 4 years)</w:t>
            </w:r>
            <w:r w:rsidRPr="00B54A75">
              <w:rPr>
                <w:rFonts w:ascii="Calibri" w:eastAsia="Times New Roman" w:hAnsi="Calibri" w:cs="Calibri"/>
                <w:color w:val="000000"/>
                <w:sz w:val="20"/>
                <w:szCs w:val="20"/>
                <w:lang w:eastAsia="en-AU"/>
              </w:rPr>
              <w:br/>
            </w:r>
            <w:r w:rsidR="009F3693">
              <w:rPr>
                <w:rFonts w:ascii="Calibri" w:eastAsia="Times New Roman" w:hAnsi="Calibri" w:cs="Calibri"/>
                <w:color w:val="000000"/>
                <w:sz w:val="20"/>
                <w:szCs w:val="20"/>
                <w:u w:val="single"/>
                <w:lang w:eastAsia="en-AU"/>
              </w:rPr>
              <w:t>P-D</w:t>
            </w:r>
            <w:r w:rsidRPr="00B54A75">
              <w:rPr>
                <w:rFonts w:ascii="Calibri" w:eastAsia="Times New Roman" w:hAnsi="Calibri" w:cs="Calibri"/>
                <w:color w:val="000000"/>
                <w:sz w:val="20"/>
                <w:szCs w:val="20"/>
                <w:u w:val="single"/>
                <w:lang w:eastAsia="en-AU"/>
              </w:rPr>
              <w:t xml:space="preserve">iet </w:t>
            </w:r>
            <w:r w:rsidRPr="00B54A75">
              <w:rPr>
                <w:rFonts w:ascii="Calibri" w:eastAsia="Times New Roman" w:hAnsi="Calibri" w:cs="Calibri"/>
                <w:color w:val="000000"/>
                <w:sz w:val="20"/>
                <w:szCs w:val="20"/>
                <w:lang w:eastAsia="en-AU"/>
              </w:rPr>
              <w:t xml:space="preserve">or </w:t>
            </w:r>
            <w:proofErr w:type="spellStart"/>
            <w:r w:rsidRPr="00B54A75">
              <w:rPr>
                <w:rFonts w:ascii="Calibri" w:eastAsia="Times New Roman" w:hAnsi="Calibri" w:cs="Calibri"/>
                <w:color w:val="000000"/>
                <w:sz w:val="20"/>
                <w:szCs w:val="20"/>
                <w:u w:val="single"/>
                <w:lang w:eastAsia="en-AU"/>
              </w:rPr>
              <w:t>WeDi</w:t>
            </w:r>
            <w:proofErr w:type="spellEnd"/>
            <w:r w:rsidRPr="00B54A75">
              <w:rPr>
                <w:rFonts w:ascii="Calibri" w:eastAsia="Times New Roman" w:hAnsi="Calibri" w:cs="Calibri"/>
                <w:color w:val="000000"/>
                <w:sz w:val="20"/>
                <w:szCs w:val="20"/>
                <w:lang w:eastAsia="en-AU"/>
              </w:rPr>
              <w:t xml:space="preserve"> </w:t>
            </w:r>
            <w:r w:rsidR="009F3693">
              <w:rPr>
                <w:rFonts w:ascii="Calibri" w:eastAsia="Times New Roman" w:hAnsi="Calibri" w:cs="Calibri"/>
                <w:color w:val="000000"/>
                <w:sz w:val="20"/>
                <w:szCs w:val="20"/>
                <w:lang w:eastAsia="en-AU"/>
              </w:rPr>
              <w:t xml:space="preserve">scores </w:t>
            </w:r>
            <w:r w:rsidRPr="00B54A75">
              <w:rPr>
                <w:rFonts w:ascii="Calibri" w:eastAsia="Times New Roman" w:hAnsi="Calibri" w:cs="Calibri"/>
                <w:color w:val="000000"/>
                <w:sz w:val="20"/>
                <w:szCs w:val="20"/>
                <w:lang w:eastAsia="en-AU"/>
              </w:rPr>
              <w:t xml:space="preserve">not associated with differential rates of HC atrophy during </w:t>
            </w:r>
            <w:proofErr w:type="spellStart"/>
            <w:r w:rsidRPr="00B54A75">
              <w:rPr>
                <w:rFonts w:ascii="Calibri" w:eastAsia="Times New Roman" w:hAnsi="Calibri" w:cs="Calibri"/>
                <w:color w:val="000000"/>
                <w:sz w:val="20"/>
                <w:szCs w:val="20"/>
                <w:lang w:eastAsia="en-AU"/>
              </w:rPr>
              <w:t>followup</w:t>
            </w:r>
            <w:proofErr w:type="spellEnd"/>
          </w:p>
        </w:tc>
      </w:tr>
      <w:tr w:rsidR="009321E8" w:rsidRPr="00B54A75" w:rsidTr="00222F25">
        <w:trPr>
          <w:trHeight w:val="345"/>
        </w:trPr>
        <w:tc>
          <w:tcPr>
            <w:tcW w:w="1840" w:type="dxa"/>
            <w:tcBorders>
              <w:top w:val="nil"/>
              <w:left w:val="nil"/>
              <w:bottom w:val="nil"/>
              <w:right w:val="nil"/>
            </w:tcBorders>
            <w:shd w:val="clear" w:color="auto" w:fill="auto"/>
            <w:noWrap/>
            <w:vAlign w:val="bottom"/>
            <w:hideMark/>
          </w:tcPr>
          <w:p w:rsidR="00112011" w:rsidRPr="00B54A75" w:rsidRDefault="00112011" w:rsidP="00112011">
            <w:pPr>
              <w:spacing w:after="0" w:line="240" w:lineRule="auto"/>
              <w:rPr>
                <w:rFonts w:ascii="Calibri" w:eastAsia="Times New Roman" w:hAnsi="Calibri" w:cs="Calibri"/>
                <w:b/>
                <w:bCs/>
                <w:iCs/>
                <w:color w:val="000000"/>
                <w:sz w:val="20"/>
                <w:szCs w:val="20"/>
                <w:lang w:eastAsia="en-AU"/>
              </w:rPr>
            </w:pPr>
            <w:r w:rsidRPr="00B54A75">
              <w:rPr>
                <w:rFonts w:ascii="Calibri" w:eastAsia="Times New Roman" w:hAnsi="Calibri" w:cs="Calibri"/>
                <w:b/>
                <w:bCs/>
                <w:iCs/>
                <w:color w:val="000000"/>
                <w:sz w:val="20"/>
                <w:szCs w:val="20"/>
                <w:lang w:eastAsia="en-AU"/>
              </w:rPr>
              <w:t>Alcohol Intake</w:t>
            </w:r>
          </w:p>
        </w:tc>
        <w:tc>
          <w:tcPr>
            <w:tcW w:w="1049"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b/>
                <w:bCs/>
                <w:iCs/>
                <w:color w:val="000000"/>
                <w:sz w:val="20"/>
                <w:szCs w:val="20"/>
                <w:lang w:eastAsia="en-AU"/>
              </w:rPr>
            </w:pPr>
          </w:p>
        </w:tc>
        <w:tc>
          <w:tcPr>
            <w:tcW w:w="1082"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Times New Roman" w:eastAsia="Times New Roman" w:hAnsi="Times New Roman" w:cs="Times New Roman"/>
                <w:sz w:val="20"/>
                <w:szCs w:val="20"/>
                <w:lang w:eastAsia="en-AU"/>
              </w:rPr>
            </w:pPr>
          </w:p>
        </w:tc>
        <w:tc>
          <w:tcPr>
            <w:tcW w:w="1274"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Times New Roman" w:eastAsia="Times New Roman" w:hAnsi="Times New Roman" w:cs="Times New Roman"/>
                <w:sz w:val="20"/>
                <w:szCs w:val="20"/>
                <w:lang w:eastAsia="en-AU"/>
              </w:rPr>
            </w:pPr>
          </w:p>
        </w:tc>
        <w:tc>
          <w:tcPr>
            <w:tcW w:w="1328"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Times New Roman" w:eastAsia="Times New Roman" w:hAnsi="Times New Roman" w:cs="Times New Roman"/>
                <w:sz w:val="20"/>
                <w:szCs w:val="20"/>
                <w:lang w:eastAsia="en-AU"/>
              </w:rPr>
            </w:pPr>
          </w:p>
        </w:tc>
        <w:tc>
          <w:tcPr>
            <w:tcW w:w="1418"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Times New Roman" w:eastAsia="Times New Roman" w:hAnsi="Times New Roman" w:cs="Times New Roman"/>
                <w:sz w:val="20"/>
                <w:szCs w:val="20"/>
                <w:lang w:eastAsia="en-AU"/>
              </w:rPr>
            </w:pPr>
          </w:p>
        </w:tc>
        <w:tc>
          <w:tcPr>
            <w:tcW w:w="1417"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Times New Roman" w:eastAsia="Times New Roman" w:hAnsi="Times New Roman" w:cs="Times New Roman"/>
                <w:sz w:val="20"/>
                <w:szCs w:val="20"/>
                <w:lang w:eastAsia="en-AU"/>
              </w:rPr>
            </w:pPr>
          </w:p>
        </w:tc>
        <w:tc>
          <w:tcPr>
            <w:tcW w:w="5760"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Times New Roman" w:eastAsia="Times New Roman" w:hAnsi="Times New Roman" w:cs="Times New Roman"/>
                <w:sz w:val="20"/>
                <w:szCs w:val="20"/>
                <w:lang w:eastAsia="en-AU"/>
              </w:rPr>
            </w:pPr>
          </w:p>
        </w:tc>
      </w:tr>
      <w:tr w:rsidR="008251F9" w:rsidRPr="00B54A75" w:rsidTr="00222F25">
        <w:trPr>
          <w:trHeight w:val="1530"/>
        </w:trPr>
        <w:tc>
          <w:tcPr>
            <w:tcW w:w="1840" w:type="dxa"/>
            <w:tcBorders>
              <w:top w:val="nil"/>
              <w:left w:val="nil"/>
              <w:bottom w:val="nil"/>
              <w:right w:val="nil"/>
            </w:tcBorders>
            <w:shd w:val="clear" w:color="000000" w:fill="D9D9D9"/>
            <w:vAlign w:val="bottom"/>
            <w:hideMark/>
          </w:tcPr>
          <w:p w:rsidR="00112011" w:rsidRPr="00B54A75" w:rsidRDefault="00B54A75" w:rsidP="00C73D5C">
            <w:pPr>
              <w:spacing w:after="0" w:line="240" w:lineRule="auto"/>
              <w:rPr>
                <w:rFonts w:ascii="Calibri" w:eastAsia="Times New Roman" w:hAnsi="Calibri" w:cs="Calibri"/>
                <w:color w:val="000000"/>
                <w:sz w:val="20"/>
                <w:szCs w:val="20"/>
                <w:lang w:eastAsia="en-AU"/>
              </w:rPr>
            </w:pPr>
            <w:proofErr w:type="spellStart"/>
            <w:r w:rsidRPr="00B54A75">
              <w:rPr>
                <w:rFonts w:ascii="Calibri" w:eastAsia="Times New Roman" w:hAnsi="Calibri" w:cs="Calibri"/>
                <w:color w:val="000000"/>
                <w:sz w:val="20"/>
                <w:szCs w:val="20"/>
                <w:lang w:eastAsia="en-AU"/>
              </w:rPr>
              <w:t>Topiwala</w:t>
            </w:r>
            <w:proofErr w:type="spellEnd"/>
            <w:r w:rsidRPr="00B54A75">
              <w:rPr>
                <w:rFonts w:ascii="Calibri" w:eastAsia="Times New Roman" w:hAnsi="Calibri" w:cs="Calibri"/>
                <w:color w:val="000000"/>
                <w:sz w:val="20"/>
                <w:szCs w:val="20"/>
                <w:lang w:eastAsia="en-AU"/>
              </w:rPr>
              <w:t xml:space="preserve"> et al.</w:t>
            </w:r>
            <w:r w:rsidR="00CA60C8" w:rsidRPr="00B54A75">
              <w:rPr>
                <w:rFonts w:ascii="Calibri" w:eastAsia="Times New Roman" w:hAnsi="Calibri" w:cs="Calibri"/>
                <w:color w:val="000000"/>
                <w:sz w:val="20"/>
                <w:szCs w:val="20"/>
                <w:lang w:eastAsia="en-AU"/>
              </w:rPr>
              <w:fldChar w:fldCharType="begin" w:fldLock="1"/>
            </w:r>
            <w:r w:rsidR="00C73D5C">
              <w:rPr>
                <w:rFonts w:ascii="Calibri" w:eastAsia="Times New Roman" w:hAnsi="Calibri" w:cs="Calibri"/>
                <w:color w:val="000000"/>
                <w:sz w:val="20"/>
                <w:szCs w:val="20"/>
                <w:lang w:eastAsia="en-AU"/>
              </w:rPr>
              <w:instrText>ADDIN CSL_CITATION { "citationItems" : [ { "id" : "ITEM-1", "itemData" : { "DOI" : "10.1136/bmj.j2353", "author" : [ { "dropping-particle" : "", "family" : "Topiwala", "given" : "Anya", "non-dropping-particle" : "", "parse-names" : false, "suffix" : "" }, { "dropping-particle" : "", "family" : "Allan", "given" : "Charlotte L", "non-dropping-particle" : "", "parse-names" : false, "suffix" : "" }, { "dropping-particle" : "", "family" : "Valkanova", "given" : "Vyara", "non-dropping-particle" : "", "parse-names" : false, "suffix" : "" }, { "dropping-particle" : "", "family" : "Zsoldos", "given" : "Enik\u0151", "non-dropping-particle" : "", "parse-names" : false, "suffix" : "" }, { "dropping-particle" : "", "family" : "Filippini", "given" : "Nicola", "non-dropping-particle" : "", "parse-names" : false, "suffix" : "" }, { "dropping-particle" : "", "family" : "Sexton", "given" : "Claire", "non-dropping-particle" : "", "parse-names" : false, "suffix" : "" }, { "dropping-particle" : "", "family" : "Mahmood", "given" : "Abda", "non-dropping-particle" : "", "parse-names" : false, "suffix" : "" }, { "dropping-particle" : "", "family" : "Fooks", "given" : "Peggy", "non-dropping-particle" : "", "parse-names" : false, "suffix" : "" }, { "dropping-particle" : "", "family" : "Singh-manoux", "given" : "Archana", "non-dropping-particle" : "", "parse-names" : false, "suffix" : "" }, { "dropping-particle" : "", "family" : "Mackay", "given" : "Clare E", "non-dropping-particle" : "", "parse-names" : false, "suffix" : "" }, { "dropping-particle" : "", "family" : "Kivim\u00e4ki", "given" : "Mika", "non-dropping-particle" : "", "parse-names" : false, "suffix" : "" }, { "dropping-particle" : "", "family" : "Ebmeier", "given" : "Klaus P", "non-dropping-particle" : "", "parse-names" : false, "suffix" : "" } ], "container-title" : "BMJ", "id" : "ITEM-1", "issued" : { "date-parts" : [ [ "2017" ] ] }, "page" : "j2353", "title" : "Moderate alcohol consumption as risk factor for adverse brain outcomes and cognitive decline: longitudinal cohort study", "type" : "article-journal", "volume" : "357" }, "uris" : [ "http://www.mendeley.com/documents/?uuid=54dd4f8d-b43e-46ce-a505-fa4d1280915b" ] } ], "mendeley" : { "formattedCitation" : "&lt;sup&gt;(45)&lt;/sup&gt;", "plainTextFormattedCitation" : "(45)", "previouslyFormattedCitation" : "&lt;sup&gt;(45)&lt;/sup&gt;" }, "properties" : { "noteIndex" : 0 }, "schema" : "https://github.com/citation-style-language/schema/raw/master/csl-citation.json" }</w:instrText>
            </w:r>
            <w:r w:rsidR="00CA60C8" w:rsidRPr="00B54A75">
              <w:rPr>
                <w:rFonts w:ascii="Calibri" w:eastAsia="Times New Roman" w:hAnsi="Calibri" w:cs="Calibri"/>
                <w:color w:val="000000"/>
                <w:sz w:val="20"/>
                <w:szCs w:val="20"/>
                <w:lang w:eastAsia="en-AU"/>
              </w:rPr>
              <w:fldChar w:fldCharType="separate"/>
            </w:r>
            <w:r w:rsidR="00C73D5C" w:rsidRPr="00C73D5C">
              <w:rPr>
                <w:rFonts w:ascii="Calibri" w:eastAsia="Times New Roman" w:hAnsi="Calibri" w:cs="Calibri"/>
                <w:noProof/>
                <w:color w:val="000000"/>
                <w:sz w:val="20"/>
                <w:szCs w:val="20"/>
                <w:vertAlign w:val="superscript"/>
                <w:lang w:eastAsia="en-AU"/>
              </w:rPr>
              <w:t>(45)</w:t>
            </w:r>
            <w:r w:rsidR="00CA60C8" w:rsidRPr="00B54A75">
              <w:rPr>
                <w:rFonts w:ascii="Calibri" w:eastAsia="Times New Roman" w:hAnsi="Calibri" w:cs="Calibri"/>
                <w:color w:val="000000"/>
                <w:sz w:val="20"/>
                <w:szCs w:val="20"/>
                <w:lang w:eastAsia="en-AU"/>
              </w:rPr>
              <w:fldChar w:fldCharType="end"/>
            </w:r>
          </w:p>
        </w:tc>
        <w:tc>
          <w:tcPr>
            <w:tcW w:w="1049"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Alcohol Intake (Self Report)</w:t>
            </w:r>
          </w:p>
        </w:tc>
        <w:tc>
          <w:tcPr>
            <w:tcW w:w="1082" w:type="dxa"/>
            <w:tcBorders>
              <w:top w:val="nil"/>
              <w:left w:val="nil"/>
              <w:bottom w:val="nil"/>
              <w:right w:val="nil"/>
            </w:tcBorders>
            <w:shd w:val="clear" w:color="000000" w:fill="D9D9D9"/>
            <w:vAlign w:val="bottom"/>
            <w:hideMark/>
          </w:tcPr>
          <w:p w:rsidR="00112011" w:rsidRPr="00070EC0" w:rsidRDefault="00112011" w:rsidP="00112011">
            <w:pPr>
              <w:spacing w:after="0" w:line="240" w:lineRule="auto"/>
              <w:rPr>
                <w:rFonts w:ascii="Calibri" w:eastAsia="Times New Roman" w:hAnsi="Calibri" w:cs="Calibri"/>
                <w:color w:val="000000"/>
                <w:sz w:val="20"/>
                <w:szCs w:val="20"/>
                <w:lang w:eastAsia="en-AU"/>
              </w:rPr>
            </w:pPr>
            <w:r w:rsidRPr="00070EC0">
              <w:rPr>
                <w:rFonts w:ascii="Calibri" w:eastAsia="Times New Roman" w:hAnsi="Calibri" w:cs="Calibri"/>
                <w:color w:val="000000"/>
                <w:sz w:val="20"/>
                <w:szCs w:val="20"/>
                <w:lang w:eastAsia="en-AU"/>
              </w:rPr>
              <w:t>DF</w:t>
            </w:r>
            <w:r w:rsidR="00070EC0" w:rsidRPr="00070EC0">
              <w:rPr>
                <w:rFonts w:cstheme="minorHAnsi"/>
              </w:rPr>
              <w:t>§</w:t>
            </w:r>
          </w:p>
        </w:tc>
        <w:tc>
          <w:tcPr>
            <w:tcW w:w="1274"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527</w:t>
            </w:r>
          </w:p>
        </w:tc>
        <w:tc>
          <w:tcPr>
            <w:tcW w:w="1328"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NR</w:t>
            </w:r>
          </w:p>
        </w:tc>
        <w:tc>
          <w:tcPr>
            <w:tcW w:w="1418"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69.60</w:t>
            </w:r>
          </w:p>
        </w:tc>
        <w:tc>
          <w:tcPr>
            <w:tcW w:w="1417"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5.30</w:t>
            </w:r>
          </w:p>
        </w:tc>
        <w:tc>
          <w:tcPr>
            <w:tcW w:w="5760"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iCs/>
                <w:color w:val="000000"/>
                <w:sz w:val="20"/>
                <w:szCs w:val="20"/>
                <w:lang w:eastAsia="en-AU"/>
              </w:rPr>
            </w:pPr>
            <w:r w:rsidRPr="00B54A75">
              <w:rPr>
                <w:rFonts w:ascii="Calibri" w:eastAsia="Times New Roman" w:hAnsi="Calibri" w:cs="Calibri"/>
                <w:b/>
                <w:bCs/>
                <w:iCs/>
                <w:color w:val="000000"/>
                <w:sz w:val="20"/>
                <w:szCs w:val="20"/>
                <w:lang w:eastAsia="en-AU"/>
              </w:rPr>
              <w:t>Cross sectional</w:t>
            </w:r>
            <w:r w:rsidRPr="00B54A75">
              <w:rPr>
                <w:rFonts w:ascii="Calibri" w:eastAsia="Times New Roman" w:hAnsi="Calibri" w:cs="Calibri"/>
                <w:b/>
                <w:bCs/>
                <w:color w:val="000000"/>
                <w:sz w:val="20"/>
                <w:szCs w:val="20"/>
                <w:lang w:eastAsia="en-AU"/>
              </w:rPr>
              <w:t xml:space="preserve"> (MRI &amp; DTI)</w:t>
            </w:r>
            <w:r w:rsidRPr="00B54A75">
              <w:rPr>
                <w:rFonts w:ascii="Calibri" w:eastAsia="Times New Roman" w:hAnsi="Calibri" w:cs="Calibri"/>
                <w:color w:val="000000"/>
                <w:sz w:val="20"/>
                <w:szCs w:val="20"/>
                <w:lang w:eastAsia="en-AU"/>
              </w:rPr>
              <w:br/>
            </w:r>
            <w:r w:rsidRPr="00B54A75">
              <w:rPr>
                <w:rFonts w:ascii="Calibri" w:eastAsia="Times New Roman" w:hAnsi="Calibri" w:cs="Calibri"/>
                <w:color w:val="000000"/>
                <w:sz w:val="20"/>
                <w:szCs w:val="20"/>
                <w:u w:val="single"/>
                <w:lang w:eastAsia="en-AU"/>
              </w:rPr>
              <w:t>↑ Mean alcohol intake (units/week)</w:t>
            </w:r>
            <w:r w:rsidRPr="00B54A75">
              <w:rPr>
                <w:rFonts w:ascii="Calibri" w:eastAsia="Times New Roman" w:hAnsi="Calibri" w:cs="Calibri"/>
                <w:color w:val="000000"/>
                <w:sz w:val="20"/>
                <w:szCs w:val="20"/>
                <w:lang w:eastAsia="en-AU"/>
              </w:rPr>
              <w:t xml:space="preserve"> was associated with:</w:t>
            </w:r>
            <w:r w:rsidRPr="00B54A75">
              <w:rPr>
                <w:rFonts w:ascii="Calibri" w:eastAsia="Times New Roman" w:hAnsi="Calibri" w:cs="Calibri"/>
                <w:color w:val="000000"/>
                <w:sz w:val="20"/>
                <w:szCs w:val="20"/>
                <w:lang w:eastAsia="en-AU"/>
              </w:rPr>
              <w:br/>
              <w:t xml:space="preserve">            ↓ GM-d within HC</w:t>
            </w:r>
            <w:r w:rsidRPr="00B54A75">
              <w:rPr>
                <w:rFonts w:ascii="Calibri" w:eastAsia="Times New Roman" w:hAnsi="Calibri" w:cs="Calibri"/>
                <w:color w:val="000000"/>
                <w:sz w:val="20"/>
                <w:szCs w:val="20"/>
                <w:lang w:eastAsia="en-AU"/>
              </w:rPr>
              <w:br/>
              <w:t xml:space="preserve">            ↑ risk of abnormal HC atrophy</w:t>
            </w:r>
            <w:r w:rsidRPr="00B54A75">
              <w:rPr>
                <w:rFonts w:ascii="Calibri" w:eastAsia="Times New Roman" w:hAnsi="Calibri" w:cs="Calibri"/>
                <w:color w:val="000000"/>
                <w:sz w:val="20"/>
                <w:szCs w:val="20"/>
                <w:lang w:eastAsia="en-AU"/>
              </w:rPr>
              <w:br/>
              <w:t xml:space="preserve">            ↓ Microstructural integrity in CC</w:t>
            </w:r>
          </w:p>
        </w:tc>
      </w:tr>
      <w:tr w:rsidR="009321E8" w:rsidRPr="00B54A75" w:rsidTr="00222F25">
        <w:trPr>
          <w:trHeight w:val="2175"/>
        </w:trPr>
        <w:tc>
          <w:tcPr>
            <w:tcW w:w="1840" w:type="dxa"/>
            <w:tcBorders>
              <w:top w:val="nil"/>
              <w:left w:val="nil"/>
              <w:bottom w:val="nil"/>
              <w:right w:val="nil"/>
            </w:tcBorders>
            <w:shd w:val="clear" w:color="auto" w:fill="auto"/>
            <w:vAlign w:val="bottom"/>
            <w:hideMark/>
          </w:tcPr>
          <w:p w:rsidR="00112011" w:rsidRPr="00B54A75" w:rsidRDefault="00B54A75" w:rsidP="00C73D5C">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lastRenderedPageBreak/>
              <w:t>Gu et al.</w:t>
            </w:r>
            <w:r w:rsidR="00CA60C8" w:rsidRPr="00B54A75">
              <w:rPr>
                <w:rFonts w:ascii="Calibri" w:eastAsia="Times New Roman" w:hAnsi="Calibri" w:cs="Calibri"/>
                <w:color w:val="000000"/>
                <w:sz w:val="20"/>
                <w:szCs w:val="20"/>
                <w:lang w:eastAsia="en-AU"/>
              </w:rPr>
              <w:fldChar w:fldCharType="begin" w:fldLock="1"/>
            </w:r>
            <w:r w:rsidR="00C73D5C">
              <w:rPr>
                <w:rFonts w:ascii="Calibri" w:eastAsia="Times New Roman" w:hAnsi="Calibri" w:cs="Calibri"/>
                <w:color w:val="000000"/>
                <w:sz w:val="20"/>
                <w:szCs w:val="20"/>
                <w:lang w:eastAsia="en-AU"/>
              </w:rPr>
              <w:instrText>ADDIN CSL_CITATION { "citationItems" : [ { "id" : "ITEM-1", "itemData" : { "DOI" : "10.1016/j.clnu.2013.08.004", "ISSN" : "0261-5614", "author" : [ { "dropping-particle" : "", "family" : "Gu", "given" : "Yian", "non-dropping-particle" : "", "parse-names" : false, "suffix" : "" }, { "dropping-particle" : "", "family" : "Scarmeas", "given" : "Nikolaos", "non-dropping-particle" : "", "parse-names" : false, "suffix" : "" }, { "dropping-particle" : "", "family" : "Eaton", "given" : "Erica", "non-dropping-particle" : "", "parse-names" : false, "suffix" : "" }, { "dropping-particle" : "", "family" : "Luchsinger", "given" : "Jos\u00e9 A", "non-dropping-particle" : "", "parse-names" : false, "suffix" : "" }, { "dropping-particle" : "", "family" : "Decarli", "given" : "Charles", "non-dropping-particle" : "", "parse-names" : false, "suffix" : "" }, { "dropping-particle" : "", "family" : "Stern", "given" : "Yaakov", "non-dropping-particle" : "", "parse-names" : false, "suffix" : "" }, { "dropping-particle" : "", "family" : "Manly", "given" : "Jennifer J", "non-dropping-particle" : "", "parse-names" : false, "suffix" : "" }, { "dropping-particle" : "", "family" : "Schupf", "given" : "Nicole", "non-dropping-particle" : "", "parse-names" : false, "suffix" : "" }, { "dropping-particle" : "", "family" : "Mayeux", "given" : "Richard", "non-dropping-particle" : "", "parse-names" : false, "suffix" : "" }, { "dropping-particle" : "", "family" : "Brickman", "given" : "Adam M", "non-dropping-particle" : "", "parse-names" : false, "suffix" : "" } ], "container-title" : "Clinical Nutrition", "id" : "ITEM-1", "issued" : { "date-parts" : [ [ "2014" ] ] }, "page" : "662-667", "publisher" : "Elsevier Ltd", "title" : "Alcohol intake and brain structure in a multiethnic elderly cohort", "type" : "article-journal", "volume" : "33" }, "uris" : [ "http://www.mendeley.com/documents/?uuid=159f860a-25f7-4ced-8bfb-7c38e50b7731" ] } ], "mendeley" : { "formattedCitation" : "&lt;sup&gt;(46)&lt;/sup&gt;", "plainTextFormattedCitation" : "(46)", "previouslyFormattedCitation" : "&lt;sup&gt;(46)&lt;/sup&gt;" }, "properties" : { "noteIndex" : 0 }, "schema" : "https://github.com/citation-style-language/schema/raw/master/csl-citation.json" }</w:instrText>
            </w:r>
            <w:r w:rsidR="00CA60C8" w:rsidRPr="00B54A75">
              <w:rPr>
                <w:rFonts w:ascii="Calibri" w:eastAsia="Times New Roman" w:hAnsi="Calibri" w:cs="Calibri"/>
                <w:color w:val="000000"/>
                <w:sz w:val="20"/>
                <w:szCs w:val="20"/>
                <w:lang w:eastAsia="en-AU"/>
              </w:rPr>
              <w:fldChar w:fldCharType="separate"/>
            </w:r>
            <w:r w:rsidR="00C73D5C" w:rsidRPr="00C73D5C">
              <w:rPr>
                <w:rFonts w:ascii="Calibri" w:eastAsia="Times New Roman" w:hAnsi="Calibri" w:cs="Calibri"/>
                <w:noProof/>
                <w:color w:val="000000"/>
                <w:sz w:val="20"/>
                <w:szCs w:val="20"/>
                <w:vertAlign w:val="superscript"/>
                <w:lang w:eastAsia="en-AU"/>
              </w:rPr>
              <w:t>(46)</w:t>
            </w:r>
            <w:r w:rsidR="00CA60C8" w:rsidRPr="00B54A75">
              <w:rPr>
                <w:rFonts w:ascii="Calibri" w:eastAsia="Times New Roman" w:hAnsi="Calibri" w:cs="Calibri"/>
                <w:color w:val="000000"/>
                <w:sz w:val="20"/>
                <w:szCs w:val="20"/>
                <w:lang w:eastAsia="en-AU"/>
              </w:rPr>
              <w:fldChar w:fldCharType="end"/>
            </w:r>
          </w:p>
        </w:tc>
        <w:tc>
          <w:tcPr>
            <w:tcW w:w="1049"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Alcohol Intake (FFQ)</w:t>
            </w:r>
          </w:p>
        </w:tc>
        <w:tc>
          <w:tcPr>
            <w:tcW w:w="1082"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DF</w:t>
            </w:r>
          </w:p>
        </w:tc>
        <w:tc>
          <w:tcPr>
            <w:tcW w:w="1274"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589</w:t>
            </w:r>
          </w:p>
        </w:tc>
        <w:tc>
          <w:tcPr>
            <w:tcW w:w="1328"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≥65</w:t>
            </w:r>
          </w:p>
        </w:tc>
        <w:tc>
          <w:tcPr>
            <w:tcW w:w="1418"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80.10</w:t>
            </w:r>
          </w:p>
        </w:tc>
        <w:tc>
          <w:tcPr>
            <w:tcW w:w="1417"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5.50</w:t>
            </w:r>
          </w:p>
        </w:tc>
        <w:tc>
          <w:tcPr>
            <w:tcW w:w="5760"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b/>
                <w:bCs/>
                <w:iCs/>
                <w:color w:val="000000"/>
                <w:sz w:val="20"/>
                <w:szCs w:val="20"/>
                <w:lang w:eastAsia="en-AU"/>
              </w:rPr>
              <w:t xml:space="preserve">Cross sectional </w:t>
            </w:r>
            <w:r w:rsidRPr="00B54A75">
              <w:rPr>
                <w:rFonts w:ascii="Calibri" w:eastAsia="Times New Roman" w:hAnsi="Calibri" w:cs="Calibri"/>
                <w:b/>
                <w:bCs/>
                <w:color w:val="000000"/>
                <w:sz w:val="20"/>
                <w:szCs w:val="20"/>
                <w:lang w:eastAsia="en-AU"/>
              </w:rPr>
              <w:t>(MRI)</w:t>
            </w:r>
            <w:r w:rsidRPr="00B54A75">
              <w:rPr>
                <w:rFonts w:ascii="Calibri" w:eastAsia="Times New Roman" w:hAnsi="Calibri" w:cs="Calibri"/>
                <w:color w:val="000000"/>
                <w:sz w:val="20"/>
                <w:szCs w:val="20"/>
                <w:lang w:eastAsia="en-AU"/>
              </w:rPr>
              <w:br/>
            </w:r>
            <w:r w:rsidRPr="00B54A75">
              <w:rPr>
                <w:rFonts w:ascii="Calibri" w:eastAsia="Times New Roman" w:hAnsi="Calibri" w:cs="Calibri"/>
                <w:color w:val="000000"/>
                <w:sz w:val="20"/>
                <w:szCs w:val="20"/>
                <w:u w:val="single"/>
                <w:lang w:eastAsia="en-AU"/>
              </w:rPr>
              <w:t>Light-to-moderate alcohol intake</w:t>
            </w:r>
            <w:r w:rsidRPr="00B54A75">
              <w:rPr>
                <w:rFonts w:ascii="Calibri" w:eastAsia="Times New Roman" w:hAnsi="Calibri" w:cs="Calibri"/>
                <w:color w:val="000000"/>
                <w:sz w:val="20"/>
                <w:szCs w:val="20"/>
                <w:lang w:eastAsia="en-AU"/>
              </w:rPr>
              <w:t xml:space="preserve"> associated with</w:t>
            </w:r>
            <w:r w:rsidRPr="00B54A75">
              <w:rPr>
                <w:rFonts w:ascii="Calibri" w:eastAsia="Times New Roman" w:hAnsi="Calibri" w:cs="Calibri"/>
                <w:color w:val="000000"/>
                <w:sz w:val="20"/>
                <w:szCs w:val="20"/>
                <w:lang w:eastAsia="en-AU"/>
              </w:rPr>
              <w:br/>
              <w:t xml:space="preserve">            ↑ </w:t>
            </w:r>
            <w:proofErr w:type="spellStart"/>
            <w:r w:rsidRPr="00B54A75">
              <w:rPr>
                <w:rFonts w:ascii="Calibri" w:eastAsia="Times New Roman" w:hAnsi="Calibri" w:cs="Calibri"/>
                <w:color w:val="000000"/>
                <w:sz w:val="20"/>
                <w:szCs w:val="20"/>
                <w:lang w:eastAsia="en-AU"/>
              </w:rPr>
              <w:t>TCv</w:t>
            </w:r>
            <w:proofErr w:type="spellEnd"/>
            <w:r w:rsidRPr="00B54A75">
              <w:rPr>
                <w:rFonts w:ascii="Calibri" w:eastAsia="Times New Roman" w:hAnsi="Calibri" w:cs="Calibri"/>
                <w:color w:val="000000"/>
                <w:sz w:val="20"/>
                <w:szCs w:val="20"/>
                <w:lang w:eastAsia="en-AU"/>
              </w:rPr>
              <w:t xml:space="preserve"> (relative to abstinence)</w:t>
            </w:r>
            <w:r w:rsidRPr="00B54A75">
              <w:rPr>
                <w:rFonts w:ascii="Calibri" w:eastAsia="Times New Roman" w:hAnsi="Calibri" w:cs="Calibri"/>
                <w:color w:val="000000"/>
                <w:sz w:val="20"/>
                <w:szCs w:val="20"/>
                <w:lang w:eastAsia="en-AU"/>
              </w:rPr>
              <w:br/>
              <w:t>Association was limited to wine intake &amp; only in basic model</w:t>
            </w:r>
            <w:r w:rsidRPr="00B54A75">
              <w:rPr>
                <w:rFonts w:ascii="Calibri" w:eastAsia="Times New Roman" w:hAnsi="Calibri" w:cs="Calibri"/>
                <w:color w:val="000000"/>
                <w:sz w:val="20"/>
                <w:szCs w:val="20"/>
                <w:lang w:eastAsia="en-AU"/>
              </w:rPr>
              <w:br/>
            </w:r>
            <w:r w:rsidRPr="00B54A75">
              <w:rPr>
                <w:rFonts w:ascii="Calibri" w:eastAsia="Times New Roman" w:hAnsi="Calibri" w:cs="Calibri"/>
                <w:color w:val="000000"/>
                <w:sz w:val="20"/>
                <w:szCs w:val="20"/>
                <w:lang w:eastAsia="en-AU"/>
              </w:rPr>
              <w:br/>
              <w:t xml:space="preserve">Following exclusion of past heavy drinkers or alcoholics, </w:t>
            </w:r>
            <w:r w:rsidRPr="00B54A75">
              <w:rPr>
                <w:rFonts w:ascii="Calibri" w:eastAsia="Times New Roman" w:hAnsi="Calibri" w:cs="Calibri"/>
                <w:color w:val="000000"/>
                <w:sz w:val="20"/>
                <w:szCs w:val="20"/>
                <w:u w:val="single"/>
                <w:lang w:eastAsia="en-AU"/>
              </w:rPr>
              <w:t>moderate wine intake</w:t>
            </w:r>
            <w:r w:rsidRPr="00B54A75">
              <w:rPr>
                <w:rFonts w:ascii="Calibri" w:eastAsia="Times New Roman" w:hAnsi="Calibri" w:cs="Calibri"/>
                <w:color w:val="000000"/>
                <w:sz w:val="20"/>
                <w:szCs w:val="20"/>
                <w:lang w:eastAsia="en-AU"/>
              </w:rPr>
              <w:t xml:space="preserve"> was associated with:</w:t>
            </w:r>
            <w:r w:rsidRPr="00B54A75">
              <w:rPr>
                <w:rFonts w:ascii="Calibri" w:eastAsia="Times New Roman" w:hAnsi="Calibri" w:cs="Calibri"/>
                <w:color w:val="000000"/>
                <w:sz w:val="20"/>
                <w:szCs w:val="20"/>
                <w:lang w:eastAsia="en-AU"/>
              </w:rPr>
              <w:br/>
              <w:t xml:space="preserve">            ↑ </w:t>
            </w:r>
            <w:proofErr w:type="spellStart"/>
            <w:r w:rsidRPr="00B54A75">
              <w:rPr>
                <w:rFonts w:ascii="Calibri" w:eastAsia="Times New Roman" w:hAnsi="Calibri" w:cs="Calibri"/>
                <w:color w:val="000000"/>
                <w:sz w:val="20"/>
                <w:szCs w:val="20"/>
                <w:lang w:eastAsia="en-AU"/>
              </w:rPr>
              <w:t>TCv</w:t>
            </w:r>
            <w:proofErr w:type="spellEnd"/>
            <w:r w:rsidRPr="00B54A75">
              <w:rPr>
                <w:rFonts w:ascii="Calibri" w:eastAsia="Times New Roman" w:hAnsi="Calibri" w:cs="Calibri"/>
                <w:color w:val="000000"/>
                <w:sz w:val="20"/>
                <w:szCs w:val="20"/>
                <w:lang w:eastAsia="en-AU"/>
              </w:rPr>
              <w:t xml:space="preserve"> (relative to abstinence)</w:t>
            </w:r>
          </w:p>
        </w:tc>
      </w:tr>
      <w:tr w:rsidR="008251F9" w:rsidRPr="00B54A75" w:rsidTr="00222F25">
        <w:trPr>
          <w:trHeight w:val="1174"/>
        </w:trPr>
        <w:tc>
          <w:tcPr>
            <w:tcW w:w="1840" w:type="dxa"/>
            <w:tcBorders>
              <w:top w:val="nil"/>
              <w:left w:val="nil"/>
              <w:bottom w:val="nil"/>
              <w:right w:val="nil"/>
            </w:tcBorders>
            <w:shd w:val="clear" w:color="000000" w:fill="D9D9D9"/>
            <w:vAlign w:val="bottom"/>
            <w:hideMark/>
          </w:tcPr>
          <w:p w:rsidR="00112011" w:rsidRPr="00B54A75" w:rsidRDefault="00B54A75" w:rsidP="00C73D5C">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Paul et al.</w:t>
            </w:r>
            <w:r w:rsidR="009321E8" w:rsidRPr="00B54A75">
              <w:rPr>
                <w:rFonts w:ascii="Calibri" w:eastAsia="Times New Roman" w:hAnsi="Calibri" w:cs="Calibri"/>
                <w:color w:val="000000"/>
                <w:sz w:val="20"/>
                <w:szCs w:val="20"/>
                <w:lang w:eastAsia="en-AU"/>
              </w:rPr>
              <w:fldChar w:fldCharType="begin" w:fldLock="1"/>
            </w:r>
            <w:r w:rsidR="00C73D5C">
              <w:rPr>
                <w:rFonts w:ascii="Calibri" w:eastAsia="Times New Roman" w:hAnsi="Calibri" w:cs="Calibri"/>
                <w:color w:val="000000"/>
                <w:sz w:val="20"/>
                <w:szCs w:val="20"/>
                <w:lang w:eastAsia="en-AU"/>
              </w:rPr>
              <w:instrText>ADDIN CSL_CITATION { "citationItems" : [ { "id" : "ITEM-1", "itemData" : { "author" : [ { "dropping-particle" : "", "family" : "Paul", "given" : "Carol Ann", "non-dropping-particle" : "", "parse-names" : false, "suffix" : "" }, { "dropping-particle" : "", "family" : "Au", "given" : "Rhoda", "non-dropping-particle" : "", "parse-names" : false, "suffix" : "" }, { "dropping-particle" : "", "family" : "Fredman", "given" : "Lisa", "non-dropping-particle" : "", "parse-names" : false, "suffix" : "" }, { "dropping-particle" : "", "family" : "Massaro", "given" : "Joseph M", "non-dropping-particle" : "", "parse-names" : false, "suffix" : "" }, { "dropping-particle" : "", "family" : "Seshadri", "given" : "Sudha", "non-dropping-particle" : "", "parse-names" : false, "suffix" : "" }, { "dropping-particle" : "", "family" : "Decarli", "given" : "Charles", "non-dropping-particle" : "", "parse-names" : false, "suffix" : "" }, { "dropping-particle" : "", "family" : "Wolf", "given" : "Philip A", "non-dropping-particle" : "", "parse-names" : false, "suffix" : "" } ], "container-title" : "Archives of Neurology", "id" : "ITEM-1", "issued" : { "date-parts" : [ [ "2008" ] ] }, "page" : "1363-1367", "title" : "Association of Alcohol Consumption With Brain Volume in the Framingham Study", "type" : "article-journal", "volume" : "65" }, "uris" : [ "http://www.mendeley.com/documents/?uuid=51df842e-e8a2-4896-9f50-f1932e52fc6e" ] } ], "mendeley" : { "formattedCitation" : "&lt;sup&gt;(47)&lt;/sup&gt;", "plainTextFormattedCitation" : "(47)", "previouslyFormattedCitation" : "&lt;sup&gt;(47)&lt;/sup&gt;" }, "properties" : { "noteIndex" : 0 }, "schema" : "https://github.com/citation-style-language/schema/raw/master/csl-citation.json" }</w:instrText>
            </w:r>
            <w:r w:rsidR="009321E8" w:rsidRPr="00B54A75">
              <w:rPr>
                <w:rFonts w:ascii="Calibri" w:eastAsia="Times New Roman" w:hAnsi="Calibri" w:cs="Calibri"/>
                <w:color w:val="000000"/>
                <w:sz w:val="20"/>
                <w:szCs w:val="20"/>
                <w:lang w:eastAsia="en-AU"/>
              </w:rPr>
              <w:fldChar w:fldCharType="separate"/>
            </w:r>
            <w:r w:rsidR="00C73D5C" w:rsidRPr="00C73D5C">
              <w:rPr>
                <w:rFonts w:ascii="Calibri" w:eastAsia="Times New Roman" w:hAnsi="Calibri" w:cs="Calibri"/>
                <w:noProof/>
                <w:color w:val="000000"/>
                <w:sz w:val="20"/>
                <w:szCs w:val="20"/>
                <w:vertAlign w:val="superscript"/>
                <w:lang w:eastAsia="en-AU"/>
              </w:rPr>
              <w:t>(47)</w:t>
            </w:r>
            <w:r w:rsidR="009321E8" w:rsidRPr="00B54A75">
              <w:rPr>
                <w:rFonts w:ascii="Calibri" w:eastAsia="Times New Roman" w:hAnsi="Calibri" w:cs="Calibri"/>
                <w:color w:val="000000"/>
                <w:sz w:val="20"/>
                <w:szCs w:val="20"/>
                <w:lang w:eastAsia="en-AU"/>
              </w:rPr>
              <w:fldChar w:fldCharType="end"/>
            </w:r>
          </w:p>
        </w:tc>
        <w:tc>
          <w:tcPr>
            <w:tcW w:w="1049"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Alcohol Intake (Self Report)</w:t>
            </w:r>
          </w:p>
        </w:tc>
        <w:tc>
          <w:tcPr>
            <w:tcW w:w="1082"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DF</w:t>
            </w:r>
          </w:p>
        </w:tc>
        <w:tc>
          <w:tcPr>
            <w:tcW w:w="1274"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1,839</w:t>
            </w:r>
          </w:p>
        </w:tc>
        <w:tc>
          <w:tcPr>
            <w:tcW w:w="1328"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33.0 - 88.0</w:t>
            </w:r>
          </w:p>
        </w:tc>
        <w:tc>
          <w:tcPr>
            <w:tcW w:w="1418"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60.64</w:t>
            </w:r>
          </w:p>
        </w:tc>
        <w:tc>
          <w:tcPr>
            <w:tcW w:w="1417"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9.42</w:t>
            </w:r>
          </w:p>
        </w:tc>
        <w:tc>
          <w:tcPr>
            <w:tcW w:w="5760"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b/>
                <w:bCs/>
                <w:iCs/>
                <w:color w:val="000000"/>
                <w:sz w:val="20"/>
                <w:szCs w:val="20"/>
                <w:lang w:eastAsia="en-AU"/>
              </w:rPr>
              <w:t xml:space="preserve">Cross sectional </w:t>
            </w:r>
            <w:r w:rsidRPr="00B54A75">
              <w:rPr>
                <w:rFonts w:ascii="Calibri" w:eastAsia="Times New Roman" w:hAnsi="Calibri" w:cs="Calibri"/>
                <w:b/>
                <w:bCs/>
                <w:color w:val="000000"/>
                <w:sz w:val="20"/>
                <w:szCs w:val="20"/>
                <w:lang w:eastAsia="en-AU"/>
              </w:rPr>
              <w:t>(MRI)</w:t>
            </w:r>
            <w:r w:rsidRPr="00B54A75">
              <w:rPr>
                <w:rFonts w:ascii="Calibri" w:eastAsia="Times New Roman" w:hAnsi="Calibri" w:cs="Calibri"/>
                <w:color w:val="000000"/>
                <w:sz w:val="20"/>
                <w:szCs w:val="20"/>
                <w:lang w:eastAsia="en-AU"/>
              </w:rPr>
              <w:br/>
            </w:r>
            <w:r w:rsidRPr="00B54A75">
              <w:rPr>
                <w:rFonts w:ascii="Calibri" w:eastAsia="Times New Roman" w:hAnsi="Calibri" w:cs="Calibri"/>
                <w:color w:val="000000"/>
                <w:sz w:val="20"/>
                <w:szCs w:val="20"/>
                <w:u w:val="single"/>
                <w:lang w:eastAsia="en-AU"/>
              </w:rPr>
              <w:t>↑ Self-reported alcohol intake</w:t>
            </w:r>
            <w:r w:rsidRPr="00B54A75">
              <w:rPr>
                <w:rFonts w:ascii="Calibri" w:eastAsia="Times New Roman" w:hAnsi="Calibri" w:cs="Calibri"/>
                <w:color w:val="000000"/>
                <w:sz w:val="20"/>
                <w:szCs w:val="20"/>
                <w:lang w:eastAsia="en-AU"/>
              </w:rPr>
              <w:t xml:space="preserve"> associated with:</w:t>
            </w:r>
            <w:r w:rsidRPr="00B54A75">
              <w:rPr>
                <w:rFonts w:ascii="Calibri" w:eastAsia="Times New Roman" w:hAnsi="Calibri" w:cs="Calibri"/>
                <w:color w:val="000000"/>
                <w:sz w:val="20"/>
                <w:szCs w:val="20"/>
                <w:lang w:eastAsia="en-AU"/>
              </w:rPr>
              <w:br/>
              <w:t xml:space="preserve">            ↓ </w:t>
            </w:r>
            <w:proofErr w:type="spellStart"/>
            <w:r w:rsidRPr="00B54A75">
              <w:rPr>
                <w:rFonts w:ascii="Calibri" w:eastAsia="Times New Roman" w:hAnsi="Calibri" w:cs="Calibri"/>
                <w:color w:val="000000"/>
                <w:sz w:val="20"/>
                <w:szCs w:val="20"/>
                <w:lang w:eastAsia="en-AU"/>
              </w:rPr>
              <w:t>TCv</w:t>
            </w:r>
            <w:proofErr w:type="spellEnd"/>
            <w:r w:rsidRPr="00B54A75">
              <w:rPr>
                <w:rFonts w:ascii="Calibri" w:eastAsia="Times New Roman" w:hAnsi="Calibri" w:cs="Calibri"/>
                <w:color w:val="000000"/>
                <w:sz w:val="20"/>
                <w:szCs w:val="20"/>
                <w:lang w:eastAsia="en-AU"/>
              </w:rPr>
              <w:br/>
              <w:t>Association was stronger in females</w:t>
            </w:r>
          </w:p>
        </w:tc>
      </w:tr>
      <w:tr w:rsidR="009321E8" w:rsidRPr="00B54A75" w:rsidTr="00222F25">
        <w:trPr>
          <w:trHeight w:val="1350"/>
        </w:trPr>
        <w:tc>
          <w:tcPr>
            <w:tcW w:w="1840" w:type="dxa"/>
            <w:tcBorders>
              <w:top w:val="nil"/>
              <w:left w:val="nil"/>
              <w:bottom w:val="nil"/>
              <w:right w:val="nil"/>
            </w:tcBorders>
            <w:shd w:val="clear" w:color="auto" w:fill="auto"/>
            <w:vAlign w:val="bottom"/>
            <w:hideMark/>
          </w:tcPr>
          <w:p w:rsidR="00112011" w:rsidRPr="00B54A75" w:rsidRDefault="00B54A75" w:rsidP="00C73D5C">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Sachdev et al.</w:t>
            </w:r>
            <w:r w:rsidR="009321E8" w:rsidRPr="00B54A75">
              <w:rPr>
                <w:rFonts w:ascii="Calibri" w:eastAsia="Times New Roman" w:hAnsi="Calibri" w:cs="Calibri"/>
                <w:color w:val="000000"/>
                <w:sz w:val="20"/>
                <w:szCs w:val="20"/>
                <w:lang w:eastAsia="en-AU"/>
              </w:rPr>
              <w:fldChar w:fldCharType="begin" w:fldLock="1"/>
            </w:r>
            <w:r w:rsidR="00C73D5C">
              <w:rPr>
                <w:rFonts w:ascii="Calibri" w:eastAsia="Times New Roman" w:hAnsi="Calibri" w:cs="Calibri"/>
                <w:color w:val="000000"/>
                <w:sz w:val="20"/>
                <w:szCs w:val="20"/>
                <w:lang w:eastAsia="en-AU"/>
              </w:rPr>
              <w:instrText>ADDIN CSL_CITATION { "citationItems" : [ { "id" : "ITEM-1", "itemData" : { "DOI" : "10.1016/j.pscychresns.2007.08.009", "author" : [ { "dropping-particle" : "", "family" : "Sachdev", "given" : "Perminder S", "non-dropping-particle" : "", "parse-names" : false, "suffix" : "" }, { "dropping-particle" : "", "family" : "Chen", "given" : "Xiaohua", "non-dropping-particle" : "", "parse-names" : false, "suffix" : "" }, { "dropping-particle" : "", "family" : "Wen", "given" : "Wei", "non-dropping-particle" : "", "parse-names" : false, "suffix" : "" }, { "dropping-particle" : "", "family" : "Anstry", "given" : "Kaarin J", "non-dropping-particle" : "", "parse-names" : false, "suffix" : "" } ], "container-title" : "Psychiatry Research: Neuroimaging", "id" : "ITEM-1", "issued" : { "date-parts" : [ [ "2008" ] ] }, "page" : "61-69", "title" : "Light to moderate alcohol use is associated with increased cortical gray matter in middle-aged men: A voxel-based morphometric study", "type" : "article-journal", "volume" : "163" }, "uris" : [ "http://www.mendeley.com/documents/?uuid=de521c08-41b1-4318-83a3-72a82e3ea0d3" ] } ], "mendeley" : { "formattedCitation" : "&lt;sup&gt;(48)&lt;/sup&gt;", "plainTextFormattedCitation" : "(48)", "previouslyFormattedCitation" : "&lt;sup&gt;(48)&lt;/sup&gt;" }, "properties" : { "noteIndex" : 0 }, "schema" : "https://github.com/citation-style-language/schema/raw/master/csl-citation.json" }</w:instrText>
            </w:r>
            <w:r w:rsidR="009321E8" w:rsidRPr="00B54A75">
              <w:rPr>
                <w:rFonts w:ascii="Calibri" w:eastAsia="Times New Roman" w:hAnsi="Calibri" w:cs="Calibri"/>
                <w:color w:val="000000"/>
                <w:sz w:val="20"/>
                <w:szCs w:val="20"/>
                <w:lang w:eastAsia="en-AU"/>
              </w:rPr>
              <w:fldChar w:fldCharType="separate"/>
            </w:r>
            <w:r w:rsidR="00C73D5C" w:rsidRPr="00C73D5C">
              <w:rPr>
                <w:rFonts w:ascii="Calibri" w:eastAsia="Times New Roman" w:hAnsi="Calibri" w:cs="Calibri"/>
                <w:noProof/>
                <w:color w:val="000000"/>
                <w:sz w:val="20"/>
                <w:szCs w:val="20"/>
                <w:vertAlign w:val="superscript"/>
                <w:lang w:eastAsia="en-AU"/>
              </w:rPr>
              <w:t>(48)</w:t>
            </w:r>
            <w:r w:rsidR="009321E8" w:rsidRPr="00B54A75">
              <w:rPr>
                <w:rFonts w:ascii="Calibri" w:eastAsia="Times New Roman" w:hAnsi="Calibri" w:cs="Calibri"/>
                <w:color w:val="000000"/>
                <w:sz w:val="20"/>
                <w:szCs w:val="20"/>
                <w:lang w:eastAsia="en-AU"/>
              </w:rPr>
              <w:fldChar w:fldCharType="end"/>
            </w:r>
          </w:p>
        </w:tc>
        <w:tc>
          <w:tcPr>
            <w:tcW w:w="1049"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Alcohol Intake (SQ)</w:t>
            </w:r>
          </w:p>
        </w:tc>
        <w:tc>
          <w:tcPr>
            <w:tcW w:w="1082" w:type="dxa"/>
            <w:tcBorders>
              <w:top w:val="nil"/>
              <w:left w:val="nil"/>
              <w:bottom w:val="nil"/>
              <w:right w:val="nil"/>
            </w:tcBorders>
            <w:shd w:val="clear" w:color="auto" w:fill="auto"/>
            <w:vAlign w:val="bottom"/>
            <w:hideMark/>
          </w:tcPr>
          <w:p w:rsidR="00112011" w:rsidRPr="00B54A75" w:rsidRDefault="001D5D74" w:rsidP="001D5D74">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H</w:t>
            </w:r>
          </w:p>
        </w:tc>
        <w:tc>
          <w:tcPr>
            <w:tcW w:w="1274"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383</w:t>
            </w:r>
          </w:p>
        </w:tc>
        <w:tc>
          <w:tcPr>
            <w:tcW w:w="1328"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60.0 - 64.0</w:t>
            </w:r>
          </w:p>
        </w:tc>
        <w:tc>
          <w:tcPr>
            <w:tcW w:w="1418"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62.66</w:t>
            </w:r>
          </w:p>
        </w:tc>
        <w:tc>
          <w:tcPr>
            <w:tcW w:w="1417"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1.43</w:t>
            </w:r>
          </w:p>
        </w:tc>
        <w:tc>
          <w:tcPr>
            <w:tcW w:w="5760" w:type="dxa"/>
            <w:tcBorders>
              <w:top w:val="nil"/>
              <w:left w:val="nil"/>
              <w:bottom w:val="nil"/>
              <w:right w:val="nil"/>
            </w:tcBorders>
            <w:shd w:val="clear" w:color="auto" w:fill="auto"/>
            <w:vAlign w:val="bottom"/>
            <w:hideMark/>
          </w:tcPr>
          <w:p w:rsidR="00112011" w:rsidRPr="00B54A75" w:rsidRDefault="00112011" w:rsidP="002A5EF7">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b/>
                <w:bCs/>
                <w:iCs/>
                <w:color w:val="000000"/>
                <w:sz w:val="20"/>
                <w:szCs w:val="20"/>
                <w:lang w:eastAsia="en-AU"/>
              </w:rPr>
              <w:t xml:space="preserve">Cross sectional </w:t>
            </w:r>
            <w:r w:rsidRPr="00B54A75">
              <w:rPr>
                <w:rFonts w:ascii="Calibri" w:eastAsia="Times New Roman" w:hAnsi="Calibri" w:cs="Calibri"/>
                <w:b/>
                <w:bCs/>
                <w:color w:val="000000"/>
                <w:sz w:val="20"/>
                <w:szCs w:val="20"/>
                <w:lang w:eastAsia="en-AU"/>
              </w:rPr>
              <w:t>(MRI)</w:t>
            </w:r>
            <w:r w:rsidRPr="00B54A75">
              <w:rPr>
                <w:rFonts w:ascii="Calibri" w:eastAsia="Times New Roman" w:hAnsi="Calibri" w:cs="Calibri"/>
                <w:color w:val="000000"/>
                <w:sz w:val="20"/>
                <w:szCs w:val="20"/>
                <w:lang w:eastAsia="en-AU"/>
              </w:rPr>
              <w:br/>
            </w:r>
            <w:r w:rsidRPr="00B54A75">
              <w:rPr>
                <w:rFonts w:ascii="Calibri" w:eastAsia="Times New Roman" w:hAnsi="Calibri" w:cs="Calibri"/>
                <w:color w:val="000000"/>
                <w:sz w:val="20"/>
                <w:szCs w:val="20"/>
                <w:u w:val="single"/>
                <w:lang w:eastAsia="en-AU"/>
              </w:rPr>
              <w:t>↑ Alcohol intake</w:t>
            </w:r>
            <w:r w:rsidRPr="00B54A75">
              <w:rPr>
                <w:rFonts w:ascii="Calibri" w:eastAsia="Times New Roman" w:hAnsi="Calibri" w:cs="Calibri"/>
                <w:color w:val="000000"/>
                <w:sz w:val="20"/>
                <w:szCs w:val="20"/>
                <w:lang w:eastAsia="en-AU"/>
              </w:rPr>
              <w:t xml:space="preserve"> was associated with</w:t>
            </w:r>
            <w:r w:rsidRPr="00B54A75">
              <w:rPr>
                <w:rFonts w:ascii="Calibri" w:eastAsia="Times New Roman" w:hAnsi="Calibri" w:cs="Calibri"/>
                <w:color w:val="000000"/>
                <w:sz w:val="20"/>
                <w:szCs w:val="20"/>
                <w:lang w:eastAsia="en-AU"/>
              </w:rPr>
              <w:br/>
              <w:t xml:space="preserve">             ↑ </w:t>
            </w:r>
            <w:proofErr w:type="spellStart"/>
            <w:r w:rsidRPr="00B54A75">
              <w:rPr>
                <w:rFonts w:ascii="Calibri" w:eastAsia="Times New Roman" w:hAnsi="Calibri" w:cs="Calibri"/>
                <w:color w:val="000000"/>
                <w:sz w:val="20"/>
                <w:szCs w:val="20"/>
                <w:lang w:eastAsia="en-AU"/>
              </w:rPr>
              <w:t>GMv</w:t>
            </w:r>
            <w:proofErr w:type="spellEnd"/>
            <w:r w:rsidRPr="00B54A75">
              <w:rPr>
                <w:rFonts w:ascii="Calibri" w:eastAsia="Times New Roman" w:hAnsi="Calibri" w:cs="Calibri"/>
                <w:color w:val="000000"/>
                <w:sz w:val="20"/>
                <w:szCs w:val="20"/>
                <w:lang w:eastAsia="en-AU"/>
              </w:rPr>
              <w:t xml:space="preserve"> within FL, PL, &amp; OL subregions</w:t>
            </w:r>
            <w:r w:rsidRPr="00B54A75">
              <w:rPr>
                <w:rFonts w:ascii="Calibri" w:eastAsia="Times New Roman" w:hAnsi="Calibri" w:cs="Calibri"/>
                <w:color w:val="000000"/>
                <w:sz w:val="20"/>
                <w:szCs w:val="20"/>
                <w:lang w:eastAsia="en-AU"/>
              </w:rPr>
              <w:br/>
              <w:t xml:space="preserve">             </w:t>
            </w:r>
            <w:r w:rsidR="002A5EF7">
              <w:rPr>
                <w:rFonts w:ascii="Calibri" w:eastAsia="Times New Roman" w:hAnsi="Calibri" w:cs="Calibri"/>
                <w:color w:val="000000"/>
                <w:sz w:val="20"/>
                <w:szCs w:val="20"/>
                <w:lang w:eastAsia="en-AU"/>
              </w:rPr>
              <w:t xml:space="preserve">↓ </w:t>
            </w:r>
            <w:proofErr w:type="spellStart"/>
            <w:r w:rsidR="002A5EF7">
              <w:rPr>
                <w:rFonts w:ascii="Calibri" w:eastAsia="Times New Roman" w:hAnsi="Calibri" w:cs="Calibri"/>
                <w:color w:val="000000"/>
                <w:sz w:val="20"/>
                <w:szCs w:val="20"/>
                <w:lang w:eastAsia="en-AU"/>
              </w:rPr>
              <w:t>WMv</w:t>
            </w:r>
            <w:proofErr w:type="spellEnd"/>
            <w:r w:rsidR="002A5EF7">
              <w:rPr>
                <w:rFonts w:ascii="Calibri" w:eastAsia="Times New Roman" w:hAnsi="Calibri" w:cs="Calibri"/>
                <w:color w:val="000000"/>
                <w:sz w:val="20"/>
                <w:szCs w:val="20"/>
                <w:lang w:eastAsia="en-AU"/>
              </w:rPr>
              <w:t xml:space="preserve"> within TL &amp; med-TL subregions</w:t>
            </w:r>
            <w:r w:rsidRPr="00B54A75">
              <w:rPr>
                <w:rFonts w:ascii="Calibri" w:eastAsia="Times New Roman" w:hAnsi="Calibri" w:cs="Calibri"/>
                <w:color w:val="000000"/>
                <w:sz w:val="20"/>
                <w:szCs w:val="20"/>
                <w:lang w:eastAsia="en-AU"/>
              </w:rPr>
              <w:br/>
              <w:t xml:space="preserve">Associations only significant in males </w:t>
            </w:r>
          </w:p>
        </w:tc>
      </w:tr>
      <w:tr w:rsidR="008251F9" w:rsidRPr="00B54A75" w:rsidTr="00B54A75">
        <w:trPr>
          <w:trHeight w:val="2624"/>
        </w:trPr>
        <w:tc>
          <w:tcPr>
            <w:tcW w:w="1840" w:type="dxa"/>
            <w:tcBorders>
              <w:top w:val="nil"/>
              <w:left w:val="nil"/>
              <w:bottom w:val="nil"/>
              <w:right w:val="nil"/>
            </w:tcBorders>
            <w:shd w:val="clear" w:color="000000" w:fill="D9D9D9"/>
            <w:vAlign w:val="bottom"/>
            <w:hideMark/>
          </w:tcPr>
          <w:p w:rsidR="00112011" w:rsidRPr="00B54A75" w:rsidRDefault="00B54A75" w:rsidP="00C73D5C">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 xml:space="preserve">den </w:t>
            </w:r>
            <w:proofErr w:type="spellStart"/>
            <w:r w:rsidRPr="00B54A75">
              <w:rPr>
                <w:rFonts w:ascii="Calibri" w:eastAsia="Times New Roman" w:hAnsi="Calibri" w:cs="Calibri"/>
                <w:color w:val="000000"/>
                <w:sz w:val="20"/>
                <w:szCs w:val="20"/>
                <w:lang w:eastAsia="en-AU"/>
              </w:rPr>
              <w:t>Heijer</w:t>
            </w:r>
            <w:proofErr w:type="spellEnd"/>
            <w:r w:rsidRPr="00B54A75">
              <w:rPr>
                <w:rFonts w:ascii="Calibri" w:eastAsia="Times New Roman" w:hAnsi="Calibri" w:cs="Calibri"/>
                <w:color w:val="000000"/>
                <w:sz w:val="20"/>
                <w:szCs w:val="20"/>
                <w:lang w:eastAsia="en-AU"/>
              </w:rPr>
              <w:t xml:space="preserve"> et al.</w:t>
            </w:r>
            <w:r w:rsidR="009321E8" w:rsidRPr="00B54A75">
              <w:rPr>
                <w:rFonts w:ascii="Calibri" w:eastAsia="Times New Roman" w:hAnsi="Calibri" w:cs="Calibri"/>
                <w:color w:val="000000"/>
                <w:sz w:val="20"/>
                <w:szCs w:val="20"/>
                <w:lang w:eastAsia="en-AU"/>
              </w:rPr>
              <w:fldChar w:fldCharType="begin" w:fldLock="1"/>
            </w:r>
            <w:r w:rsidR="00C73D5C">
              <w:rPr>
                <w:rFonts w:ascii="Calibri" w:eastAsia="Times New Roman" w:hAnsi="Calibri" w:cs="Calibri"/>
                <w:color w:val="000000"/>
                <w:sz w:val="20"/>
                <w:szCs w:val="20"/>
                <w:lang w:eastAsia="en-AU"/>
              </w:rPr>
              <w:instrText>ADDIN CSL_CITATION { "citationItems" : [ { "id" : "ITEM-1", "itemData" : { "author" : [ { "dropping-particle" : "", "family" : "Heijer", "given" : "Tom", "non-dropping-particle" : "den", "parse-names" : false, "suffix" : "" }, { "dropping-particle" : "", "family" : "Vermeer", "given" : "Sarah E", "non-dropping-particle" : "", "parse-names" : false, "suffix" : "" }, { "dropping-particle" : "Van", "family" : "Dijk", "given" : "Ewoud J", "non-dropping-particle" : "", "parse-names" : false, "suffix" : "" }, { "dropping-particle" : "", "family" : "Prins", "given" : "Niels D", "non-dropping-particle" : "", "parse-names" : false, "suffix" : "" }, { "dropping-particle" : "", "family" : "Koudstaal", "given" : "Peter J", "non-dropping-particle" : "", "parse-names" : false, "suffix" : "" }, { "dropping-particle" : "Van", "family" : "Duijn", "given" : "Cornelia M", "non-dropping-particle" : "", "parse-names" : false, "suffix" : "" }, { "dropping-particle" : "", "family" : "Hofman", "given" : "Albert", "non-dropping-particle" : "", "parse-names" : false, "suffix" : "" }, { "dropping-particle" : "", "family" : "Breteler", "given" : "Monique M B", "non-dropping-particle" : "", "parse-names" : false, "suffix" : "" } ], "container-title" : "American Journal of Clinical Nutriition", "id" : "ITEM-1", "issued" : { "date-parts" : [ [ "2004" ] ] }, "page" : "992-997", "title" : "Alcohol intake in relation to brain magnetic resonance imaging findings in older persons without dementia", "type" : "article-journal", "volume" : "80" }, "uris" : [ "http://www.mendeley.com/documents/?uuid=ec79bcec-4f0c-46e1-92c9-1b436aed9a92" ] } ], "mendeley" : { "formattedCitation" : "&lt;sup&gt;(49)&lt;/sup&gt;", "plainTextFormattedCitation" : "(49)", "previouslyFormattedCitation" : "&lt;sup&gt;(49)&lt;/sup&gt;" }, "properties" : { "noteIndex" : 0 }, "schema" : "https://github.com/citation-style-language/schema/raw/master/csl-citation.json" }</w:instrText>
            </w:r>
            <w:r w:rsidR="009321E8" w:rsidRPr="00B54A75">
              <w:rPr>
                <w:rFonts w:ascii="Calibri" w:eastAsia="Times New Roman" w:hAnsi="Calibri" w:cs="Calibri"/>
                <w:color w:val="000000"/>
                <w:sz w:val="20"/>
                <w:szCs w:val="20"/>
                <w:lang w:eastAsia="en-AU"/>
              </w:rPr>
              <w:fldChar w:fldCharType="separate"/>
            </w:r>
            <w:r w:rsidR="00C73D5C" w:rsidRPr="00C73D5C">
              <w:rPr>
                <w:rFonts w:ascii="Calibri" w:eastAsia="Times New Roman" w:hAnsi="Calibri" w:cs="Calibri"/>
                <w:noProof/>
                <w:color w:val="000000"/>
                <w:sz w:val="20"/>
                <w:szCs w:val="20"/>
                <w:vertAlign w:val="superscript"/>
                <w:lang w:eastAsia="en-AU"/>
              </w:rPr>
              <w:t>(49)</w:t>
            </w:r>
            <w:r w:rsidR="009321E8" w:rsidRPr="00B54A75">
              <w:rPr>
                <w:rFonts w:ascii="Calibri" w:eastAsia="Times New Roman" w:hAnsi="Calibri" w:cs="Calibri"/>
                <w:color w:val="000000"/>
                <w:sz w:val="20"/>
                <w:szCs w:val="20"/>
                <w:lang w:eastAsia="en-AU"/>
              </w:rPr>
              <w:fldChar w:fldCharType="end"/>
            </w:r>
          </w:p>
        </w:tc>
        <w:tc>
          <w:tcPr>
            <w:tcW w:w="1049"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Alcohol Intake (SQ)</w:t>
            </w:r>
          </w:p>
        </w:tc>
        <w:tc>
          <w:tcPr>
            <w:tcW w:w="1082"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DF</w:t>
            </w:r>
          </w:p>
        </w:tc>
        <w:tc>
          <w:tcPr>
            <w:tcW w:w="1274"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1,074</w:t>
            </w:r>
          </w:p>
        </w:tc>
        <w:tc>
          <w:tcPr>
            <w:tcW w:w="1328"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60.0 -90.0</w:t>
            </w:r>
          </w:p>
        </w:tc>
        <w:tc>
          <w:tcPr>
            <w:tcW w:w="1418"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72.0</w:t>
            </w:r>
          </w:p>
        </w:tc>
        <w:tc>
          <w:tcPr>
            <w:tcW w:w="1417"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7.0</w:t>
            </w:r>
          </w:p>
        </w:tc>
        <w:tc>
          <w:tcPr>
            <w:tcW w:w="5760" w:type="dxa"/>
            <w:tcBorders>
              <w:top w:val="nil"/>
              <w:left w:val="nil"/>
              <w:bottom w:val="nil"/>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b/>
                <w:bCs/>
                <w:iCs/>
                <w:color w:val="000000"/>
                <w:sz w:val="20"/>
                <w:szCs w:val="20"/>
                <w:lang w:eastAsia="en-AU"/>
              </w:rPr>
              <w:t>Cross sectional</w:t>
            </w:r>
            <w:r w:rsidRPr="00B54A75">
              <w:rPr>
                <w:rFonts w:ascii="Calibri" w:eastAsia="Times New Roman" w:hAnsi="Calibri" w:cs="Calibri"/>
                <w:b/>
                <w:bCs/>
                <w:color w:val="000000"/>
                <w:sz w:val="20"/>
                <w:szCs w:val="20"/>
                <w:lang w:eastAsia="en-AU"/>
              </w:rPr>
              <w:t xml:space="preserve"> (MRI)</w:t>
            </w:r>
            <w:r w:rsidRPr="00B54A75">
              <w:rPr>
                <w:rFonts w:ascii="Calibri" w:eastAsia="Times New Roman" w:hAnsi="Calibri" w:cs="Calibri"/>
                <w:color w:val="000000"/>
                <w:sz w:val="20"/>
                <w:szCs w:val="20"/>
                <w:lang w:eastAsia="en-AU"/>
              </w:rPr>
              <w:br/>
            </w:r>
            <w:r w:rsidRPr="00B54A75">
              <w:rPr>
                <w:rFonts w:ascii="Calibri" w:eastAsia="Times New Roman" w:hAnsi="Calibri" w:cs="Calibri"/>
                <w:color w:val="000000"/>
                <w:sz w:val="20"/>
                <w:szCs w:val="20"/>
                <w:u w:val="single"/>
                <w:lang w:eastAsia="en-AU"/>
              </w:rPr>
              <w:t>Light alcohol intake</w:t>
            </w:r>
            <w:r w:rsidRPr="00B54A75">
              <w:rPr>
                <w:rFonts w:ascii="Calibri" w:eastAsia="Times New Roman" w:hAnsi="Calibri" w:cs="Calibri"/>
                <w:color w:val="000000"/>
                <w:sz w:val="20"/>
                <w:szCs w:val="20"/>
                <w:lang w:eastAsia="en-AU"/>
              </w:rPr>
              <w:t xml:space="preserve"> (compared to abstinence or heavy consumption) associated with:</w:t>
            </w:r>
            <w:r w:rsidRPr="00B54A75">
              <w:rPr>
                <w:rFonts w:ascii="Calibri" w:eastAsia="Times New Roman" w:hAnsi="Calibri" w:cs="Calibri"/>
                <w:color w:val="000000"/>
                <w:sz w:val="20"/>
                <w:szCs w:val="20"/>
                <w:lang w:eastAsia="en-AU"/>
              </w:rPr>
              <w:br/>
              <w:t xml:space="preserve">             ↓ </w:t>
            </w:r>
            <w:r w:rsidR="0075779A" w:rsidRPr="00B54A75">
              <w:rPr>
                <w:rFonts w:ascii="Calibri" w:eastAsia="Times New Roman" w:hAnsi="Calibri" w:cs="Calibri"/>
                <w:color w:val="000000"/>
                <w:sz w:val="20"/>
                <w:szCs w:val="20"/>
                <w:lang w:eastAsia="en-AU"/>
              </w:rPr>
              <w:t>S</w:t>
            </w:r>
            <w:r w:rsidRPr="00B54A75">
              <w:rPr>
                <w:rFonts w:ascii="Calibri" w:eastAsia="Times New Roman" w:hAnsi="Calibri" w:cs="Calibri"/>
                <w:color w:val="000000"/>
                <w:sz w:val="20"/>
                <w:szCs w:val="20"/>
                <w:lang w:eastAsia="en-AU"/>
              </w:rPr>
              <w:t xml:space="preserve">everity of </w:t>
            </w:r>
            <w:proofErr w:type="spellStart"/>
            <w:r w:rsidRPr="00B54A75">
              <w:rPr>
                <w:rFonts w:ascii="Calibri" w:eastAsia="Times New Roman" w:hAnsi="Calibri" w:cs="Calibri"/>
                <w:color w:val="000000"/>
                <w:sz w:val="20"/>
                <w:szCs w:val="20"/>
                <w:lang w:eastAsia="en-AU"/>
              </w:rPr>
              <w:t>pvWML</w:t>
            </w:r>
            <w:proofErr w:type="spellEnd"/>
            <w:r w:rsidRPr="00B54A75">
              <w:rPr>
                <w:rFonts w:ascii="Calibri" w:eastAsia="Times New Roman" w:hAnsi="Calibri" w:cs="Calibri"/>
                <w:color w:val="000000"/>
                <w:sz w:val="20"/>
                <w:szCs w:val="20"/>
                <w:lang w:eastAsia="en-AU"/>
              </w:rPr>
              <w:t xml:space="preserve"> (relative to </w:t>
            </w:r>
            <w:r w:rsidRPr="00B54A75">
              <w:rPr>
                <w:rFonts w:ascii="Calibri" w:eastAsia="Times New Roman" w:hAnsi="Calibri" w:cs="Calibri"/>
                <w:color w:val="000000"/>
                <w:sz w:val="20"/>
                <w:szCs w:val="20"/>
                <w:u w:val="single"/>
                <w:lang w:eastAsia="en-AU"/>
              </w:rPr>
              <w:t>abstinence</w:t>
            </w:r>
            <w:r w:rsidRPr="00B54A75">
              <w:rPr>
                <w:rFonts w:ascii="Calibri" w:eastAsia="Times New Roman" w:hAnsi="Calibri" w:cs="Calibri"/>
                <w:color w:val="000000"/>
                <w:sz w:val="20"/>
                <w:szCs w:val="20"/>
                <w:lang w:eastAsia="en-AU"/>
              </w:rPr>
              <w:t xml:space="preserve"> or </w:t>
            </w:r>
            <w:r w:rsidRPr="00B54A75">
              <w:rPr>
                <w:rFonts w:ascii="Calibri" w:eastAsia="Times New Roman" w:hAnsi="Calibri" w:cs="Calibri"/>
                <w:color w:val="000000"/>
                <w:sz w:val="20"/>
                <w:szCs w:val="20"/>
                <w:u w:val="single"/>
                <w:lang w:eastAsia="en-AU"/>
              </w:rPr>
              <w:t>heavy</w:t>
            </w:r>
            <w:r w:rsidRPr="00B54A75">
              <w:rPr>
                <w:rFonts w:ascii="Calibri" w:eastAsia="Times New Roman" w:hAnsi="Calibri" w:cs="Calibri"/>
                <w:color w:val="000000"/>
                <w:sz w:val="20"/>
                <w:szCs w:val="20"/>
                <w:u w:val="single"/>
                <w:lang w:eastAsia="en-AU"/>
              </w:rPr>
              <w:br/>
            </w:r>
            <w:r w:rsidRPr="00B54A75">
              <w:rPr>
                <w:rFonts w:ascii="Calibri" w:eastAsia="Times New Roman" w:hAnsi="Calibri" w:cs="Calibri"/>
                <w:color w:val="000000"/>
                <w:sz w:val="20"/>
                <w:szCs w:val="20"/>
                <w:lang w:eastAsia="en-AU"/>
              </w:rPr>
              <w:t xml:space="preserve">                  </w:t>
            </w:r>
            <w:r w:rsidRPr="00B54A75">
              <w:rPr>
                <w:rFonts w:ascii="Calibri" w:eastAsia="Times New Roman" w:hAnsi="Calibri" w:cs="Calibri"/>
                <w:color w:val="000000"/>
                <w:sz w:val="20"/>
                <w:szCs w:val="20"/>
                <w:u w:val="single"/>
                <w:lang w:eastAsia="en-AU"/>
              </w:rPr>
              <w:t>intake)</w:t>
            </w:r>
            <w:r w:rsidRPr="00B54A75">
              <w:rPr>
                <w:rFonts w:ascii="Calibri" w:eastAsia="Times New Roman" w:hAnsi="Calibri" w:cs="Calibri"/>
                <w:color w:val="000000"/>
                <w:sz w:val="20"/>
                <w:szCs w:val="20"/>
                <w:u w:val="single"/>
                <w:lang w:eastAsia="en-AU"/>
              </w:rPr>
              <w:br/>
              <w:t>↑ Alcohol intake</w:t>
            </w:r>
            <w:r w:rsidRPr="00B54A75">
              <w:rPr>
                <w:rFonts w:ascii="Calibri" w:eastAsia="Times New Roman" w:hAnsi="Calibri" w:cs="Calibri"/>
                <w:color w:val="000000"/>
                <w:sz w:val="20"/>
                <w:szCs w:val="20"/>
                <w:lang w:eastAsia="en-AU"/>
              </w:rPr>
              <w:t xml:space="preserve"> associated with:</w:t>
            </w:r>
            <w:r w:rsidRPr="00B54A75">
              <w:rPr>
                <w:rFonts w:ascii="Calibri" w:eastAsia="Times New Roman" w:hAnsi="Calibri" w:cs="Calibri"/>
                <w:color w:val="000000"/>
                <w:sz w:val="20"/>
                <w:szCs w:val="20"/>
                <w:lang w:eastAsia="en-AU"/>
              </w:rPr>
              <w:br/>
              <w:t xml:space="preserve">             ↑</w:t>
            </w:r>
            <w:proofErr w:type="spellStart"/>
            <w:r w:rsidRPr="00B54A75">
              <w:rPr>
                <w:rFonts w:ascii="Calibri" w:eastAsia="Times New Roman" w:hAnsi="Calibri" w:cs="Calibri"/>
                <w:color w:val="000000"/>
                <w:sz w:val="20"/>
                <w:szCs w:val="20"/>
                <w:lang w:eastAsia="en-AU"/>
              </w:rPr>
              <w:t>HCv</w:t>
            </w:r>
            <w:proofErr w:type="spellEnd"/>
            <w:r w:rsidRPr="00B54A75">
              <w:rPr>
                <w:rFonts w:ascii="Calibri" w:eastAsia="Times New Roman" w:hAnsi="Calibri" w:cs="Calibri"/>
                <w:color w:val="000000"/>
                <w:sz w:val="20"/>
                <w:szCs w:val="20"/>
                <w:lang w:eastAsia="en-AU"/>
              </w:rPr>
              <w:br/>
              <w:t xml:space="preserve">             ↑ AMYG volume</w:t>
            </w:r>
            <w:r w:rsidRPr="00B54A75">
              <w:rPr>
                <w:rFonts w:ascii="Calibri" w:eastAsia="Times New Roman" w:hAnsi="Calibri" w:cs="Calibri"/>
                <w:color w:val="000000"/>
                <w:sz w:val="20"/>
                <w:szCs w:val="20"/>
                <w:lang w:eastAsia="en-AU"/>
              </w:rPr>
              <w:br/>
              <w:t xml:space="preserve">Association with HC &amp; AMYG volumes only evident in </w:t>
            </w:r>
            <w:r w:rsidRPr="00B54A75">
              <w:rPr>
                <w:rFonts w:ascii="Calibri" w:eastAsia="Times New Roman" w:hAnsi="Calibri" w:cs="Calibri"/>
                <w:iCs/>
                <w:color w:val="000000"/>
                <w:sz w:val="20"/>
                <w:szCs w:val="20"/>
                <w:lang w:eastAsia="en-AU"/>
              </w:rPr>
              <w:t xml:space="preserve">APOE </w:t>
            </w:r>
            <w:r w:rsidRPr="00B54A75">
              <w:rPr>
                <w:rFonts w:ascii="Calibri" w:eastAsia="Times New Roman" w:hAnsi="Calibri" w:cs="Calibri"/>
                <w:color w:val="000000"/>
                <w:sz w:val="20"/>
                <w:szCs w:val="20"/>
                <w:lang w:eastAsia="en-AU"/>
              </w:rPr>
              <w:t>ε4 allele carriers</w:t>
            </w:r>
          </w:p>
        </w:tc>
      </w:tr>
      <w:tr w:rsidR="009321E8" w:rsidRPr="00B54A75" w:rsidTr="00222F25">
        <w:trPr>
          <w:trHeight w:val="330"/>
        </w:trPr>
        <w:tc>
          <w:tcPr>
            <w:tcW w:w="1840"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b/>
                <w:bCs/>
                <w:iCs/>
                <w:color w:val="000000"/>
                <w:sz w:val="20"/>
                <w:szCs w:val="20"/>
                <w:lang w:eastAsia="en-AU"/>
              </w:rPr>
            </w:pPr>
            <w:r w:rsidRPr="00B54A75">
              <w:rPr>
                <w:rFonts w:ascii="Calibri" w:eastAsia="Times New Roman" w:hAnsi="Calibri" w:cs="Calibri"/>
                <w:b/>
                <w:bCs/>
                <w:iCs/>
                <w:color w:val="000000"/>
                <w:sz w:val="20"/>
                <w:szCs w:val="20"/>
                <w:lang w:eastAsia="en-AU"/>
              </w:rPr>
              <w:t>Fish Intake</w:t>
            </w:r>
          </w:p>
        </w:tc>
        <w:tc>
          <w:tcPr>
            <w:tcW w:w="1049"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Calibri" w:eastAsia="Times New Roman" w:hAnsi="Calibri" w:cs="Calibri"/>
                <w:b/>
                <w:bCs/>
                <w:iCs/>
                <w:color w:val="000000"/>
                <w:sz w:val="20"/>
                <w:szCs w:val="20"/>
                <w:lang w:eastAsia="en-AU"/>
              </w:rPr>
            </w:pPr>
          </w:p>
        </w:tc>
        <w:tc>
          <w:tcPr>
            <w:tcW w:w="1082"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Times New Roman" w:eastAsia="Times New Roman" w:hAnsi="Times New Roman" w:cs="Times New Roman"/>
                <w:sz w:val="20"/>
                <w:szCs w:val="20"/>
                <w:lang w:eastAsia="en-AU"/>
              </w:rPr>
            </w:pPr>
          </w:p>
        </w:tc>
        <w:tc>
          <w:tcPr>
            <w:tcW w:w="1274"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Times New Roman" w:eastAsia="Times New Roman" w:hAnsi="Times New Roman" w:cs="Times New Roman"/>
                <w:sz w:val="20"/>
                <w:szCs w:val="20"/>
                <w:lang w:eastAsia="en-AU"/>
              </w:rPr>
            </w:pPr>
          </w:p>
        </w:tc>
        <w:tc>
          <w:tcPr>
            <w:tcW w:w="1328"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Times New Roman" w:eastAsia="Times New Roman" w:hAnsi="Times New Roman" w:cs="Times New Roman"/>
                <w:sz w:val="20"/>
                <w:szCs w:val="20"/>
                <w:lang w:eastAsia="en-AU"/>
              </w:rPr>
            </w:pPr>
          </w:p>
        </w:tc>
        <w:tc>
          <w:tcPr>
            <w:tcW w:w="1418"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Times New Roman" w:eastAsia="Times New Roman" w:hAnsi="Times New Roman" w:cs="Times New Roman"/>
                <w:sz w:val="20"/>
                <w:szCs w:val="20"/>
                <w:lang w:eastAsia="en-AU"/>
              </w:rPr>
            </w:pPr>
          </w:p>
        </w:tc>
        <w:tc>
          <w:tcPr>
            <w:tcW w:w="1417"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Times New Roman" w:eastAsia="Times New Roman" w:hAnsi="Times New Roman" w:cs="Times New Roman"/>
                <w:sz w:val="20"/>
                <w:szCs w:val="20"/>
                <w:lang w:eastAsia="en-AU"/>
              </w:rPr>
            </w:pPr>
          </w:p>
        </w:tc>
        <w:tc>
          <w:tcPr>
            <w:tcW w:w="5760" w:type="dxa"/>
            <w:tcBorders>
              <w:top w:val="nil"/>
              <w:left w:val="nil"/>
              <w:bottom w:val="nil"/>
              <w:right w:val="nil"/>
            </w:tcBorders>
            <w:shd w:val="clear" w:color="auto" w:fill="auto"/>
            <w:vAlign w:val="bottom"/>
            <w:hideMark/>
          </w:tcPr>
          <w:p w:rsidR="00112011" w:rsidRPr="00B54A75" w:rsidRDefault="00112011" w:rsidP="00112011">
            <w:pPr>
              <w:spacing w:after="0" w:line="240" w:lineRule="auto"/>
              <w:rPr>
                <w:rFonts w:ascii="Times New Roman" w:eastAsia="Times New Roman" w:hAnsi="Times New Roman" w:cs="Times New Roman"/>
                <w:sz w:val="20"/>
                <w:szCs w:val="20"/>
                <w:lang w:eastAsia="en-AU"/>
              </w:rPr>
            </w:pPr>
          </w:p>
        </w:tc>
      </w:tr>
      <w:tr w:rsidR="008251F9" w:rsidRPr="00B54A75" w:rsidTr="00222F25">
        <w:trPr>
          <w:trHeight w:val="780"/>
        </w:trPr>
        <w:tc>
          <w:tcPr>
            <w:tcW w:w="1840" w:type="dxa"/>
            <w:tcBorders>
              <w:top w:val="nil"/>
              <w:left w:val="nil"/>
              <w:bottom w:val="single" w:sz="4" w:space="0" w:color="auto"/>
              <w:right w:val="nil"/>
            </w:tcBorders>
            <w:shd w:val="clear" w:color="000000" w:fill="D9D9D9"/>
            <w:vAlign w:val="bottom"/>
            <w:hideMark/>
          </w:tcPr>
          <w:p w:rsidR="00112011" w:rsidRPr="00B54A75" w:rsidRDefault="00B54A75" w:rsidP="00C73D5C">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Raji et al.</w:t>
            </w:r>
            <w:r w:rsidR="009321E8" w:rsidRPr="00B54A75">
              <w:rPr>
                <w:rFonts w:ascii="Calibri" w:eastAsia="Times New Roman" w:hAnsi="Calibri" w:cs="Calibri"/>
                <w:color w:val="000000"/>
                <w:sz w:val="20"/>
                <w:szCs w:val="20"/>
                <w:lang w:eastAsia="en-AU"/>
              </w:rPr>
              <w:fldChar w:fldCharType="begin" w:fldLock="1"/>
            </w:r>
            <w:r w:rsidR="00C73D5C">
              <w:rPr>
                <w:rFonts w:ascii="Calibri" w:eastAsia="Times New Roman" w:hAnsi="Calibri" w:cs="Calibri"/>
                <w:color w:val="000000"/>
                <w:sz w:val="20"/>
                <w:szCs w:val="20"/>
                <w:lang w:eastAsia="en-AU"/>
              </w:rPr>
              <w:instrText>ADDIN CSL_CITATION { "citationItems" : [ { "id" : "ITEM-1", "itemData" : { "DOI" : "10.1016/j.amepre.2014.05.037", "ISSN" : "1873-2607", "PMID" : "25084680", "abstract" : "BACKGROUND: Brain health may be affected by modifiable lifestyle factors; consuming fish and antioxidative omega-3 fatty acids may reduce brain structural abnormality risk. PURPOSE: To determine whether dietary fish consumption is related to brain structural integrity among cognitively normal elders. METHODS: Data were analyzed from 260 cognitively normal individuals from the Cardiovascular Health Study with information on fish consumption from the National Cancer Institute Food Frequency Questionnaire and brain magnetic resonance imaging (MRI). The relationship between fish consumption data collected in 1989-1990 and brain structural MRI obtained in 1998-1999 was assessed using voxel-based morphometry in multiple regression analyses in 2012. Covariates were age, gender, race, education, white matter lesions, MRI-identified infarcts, waist-hip ratio, and physical activity as assessed by the number of city blocks walked in 1 week. Volumetric changes were further modeled with omega-3 fatty acid estimates to better understand the mechanistic link between fish consumption, brain health, and Alzheimer disease. RESULTS: Weekly consumption of baked or broiled fish was positively associated with gray matter volumes in the hippocampus, precuneus, posterior cingulate, and orbital frontal cortex even after adjusting for covariates. These results did not change when including omega-3 fatty acid estimates in the analysis. CONCLUSIONS: Dietary consumption of baked or broiled fish is related to larger gray matter volumes independent of omega-3 fatty acid content. These findings suggest that a confluence of lifestyle factors influence brain health, adding to the growing body of evidence that prevention strategies for late-life brain health need to begin decades earlier.", "author" : [ { "dropping-particle" : "", "family" : "Raji", "given" : "Cyrus A", "non-dropping-particle" : "", "parse-names" : false, "suffix" : "" }, { "dropping-particle" : "", "family" : "Erickson", "given" : "Kirk I", "non-dropping-particle" : "", "parse-names" : false, "suffix" : "" }, { "dropping-particle" : "", "family" : "Lopez", "given" : "Oscar L", "non-dropping-particle" : "", "parse-names" : false, "suffix" : "" }, { "dropping-particle" : "", "family" : "Kuller", "given" : "Lewis H", "non-dropping-particle" : "", "parse-names" : false, "suffix" : "" }, { "dropping-particle" : "", "family" : "Gach", "given" : "H Michael", "non-dropping-particle" : "", "parse-names" : false, "suffix" : "" }, { "dropping-particle" : "", "family" : "Thompson", "given" : "Paul M", "non-dropping-particle" : "", "parse-names" : false, "suffix" : "" }, { "dropping-particle" : "", "family" : "Riverol", "given" : "Mario", "non-dropping-particle" : "", "parse-names" : false, "suffix" : "" }, { "dropping-particle" : "", "family" : "Becker", "given" : "James T", "non-dropping-particle" : "", "parse-names" : false, "suffix" : "" } ], "container-title" : "American Journal of Preventative Medicine", "id" : "ITEM-1", "issued" : { "date-parts" : [ [ "2014", "10" ] ] }, "page" : "444-451", "publisher" : "Elsevier", "title" : "Regular fish consumption and age-related brain gray matter loss", "type" : "article-journal", "volume" : "47" }, "uris" : [ "http://www.mendeley.com/documents/?uuid=259e03cd-0799-457e-b8d5-7b66f94f5e17" ] } ], "mendeley" : { "formattedCitation" : "&lt;sup&gt;(50)&lt;/sup&gt;", "plainTextFormattedCitation" : "(50)", "previouslyFormattedCitation" : "&lt;sup&gt;(50)&lt;/sup&gt;" }, "properties" : { "noteIndex" : 0 }, "schema" : "https://github.com/citation-style-language/schema/raw/master/csl-citation.json" }</w:instrText>
            </w:r>
            <w:r w:rsidR="009321E8" w:rsidRPr="00B54A75">
              <w:rPr>
                <w:rFonts w:ascii="Calibri" w:eastAsia="Times New Roman" w:hAnsi="Calibri" w:cs="Calibri"/>
                <w:color w:val="000000"/>
                <w:sz w:val="20"/>
                <w:szCs w:val="20"/>
                <w:lang w:eastAsia="en-AU"/>
              </w:rPr>
              <w:fldChar w:fldCharType="separate"/>
            </w:r>
            <w:r w:rsidR="00C73D5C" w:rsidRPr="00C73D5C">
              <w:rPr>
                <w:rFonts w:ascii="Calibri" w:eastAsia="Times New Roman" w:hAnsi="Calibri" w:cs="Calibri"/>
                <w:noProof/>
                <w:color w:val="000000"/>
                <w:sz w:val="20"/>
                <w:szCs w:val="20"/>
                <w:vertAlign w:val="superscript"/>
                <w:lang w:eastAsia="en-AU"/>
              </w:rPr>
              <w:t>(50)</w:t>
            </w:r>
            <w:r w:rsidR="009321E8" w:rsidRPr="00B54A75">
              <w:rPr>
                <w:rFonts w:ascii="Calibri" w:eastAsia="Times New Roman" w:hAnsi="Calibri" w:cs="Calibri"/>
                <w:color w:val="000000"/>
                <w:sz w:val="20"/>
                <w:szCs w:val="20"/>
                <w:lang w:eastAsia="en-AU"/>
              </w:rPr>
              <w:fldChar w:fldCharType="end"/>
            </w:r>
          </w:p>
        </w:tc>
        <w:tc>
          <w:tcPr>
            <w:tcW w:w="1049" w:type="dxa"/>
            <w:tcBorders>
              <w:top w:val="nil"/>
              <w:left w:val="nil"/>
              <w:bottom w:val="single" w:sz="4" w:space="0" w:color="auto"/>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Fish Intake (FFQ)</w:t>
            </w:r>
          </w:p>
        </w:tc>
        <w:tc>
          <w:tcPr>
            <w:tcW w:w="1082" w:type="dxa"/>
            <w:tcBorders>
              <w:top w:val="nil"/>
              <w:left w:val="nil"/>
              <w:bottom w:val="single" w:sz="4" w:space="0" w:color="auto"/>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CN</w:t>
            </w:r>
          </w:p>
        </w:tc>
        <w:tc>
          <w:tcPr>
            <w:tcW w:w="1274" w:type="dxa"/>
            <w:tcBorders>
              <w:top w:val="nil"/>
              <w:left w:val="nil"/>
              <w:bottom w:val="single" w:sz="4" w:space="0" w:color="auto"/>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163 (FFC)</w:t>
            </w:r>
            <w:r w:rsidRPr="00B54A75">
              <w:rPr>
                <w:rFonts w:ascii="Calibri" w:eastAsia="Times New Roman" w:hAnsi="Calibri" w:cs="Calibri"/>
                <w:color w:val="000000"/>
                <w:sz w:val="20"/>
                <w:szCs w:val="20"/>
                <w:lang w:eastAsia="en-AU"/>
              </w:rPr>
              <w:br/>
              <w:t>97 (inf-FC)</w:t>
            </w:r>
          </w:p>
        </w:tc>
        <w:tc>
          <w:tcPr>
            <w:tcW w:w="1328" w:type="dxa"/>
            <w:tcBorders>
              <w:top w:val="nil"/>
              <w:left w:val="nil"/>
              <w:bottom w:val="single" w:sz="4" w:space="0" w:color="auto"/>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NR</w:t>
            </w:r>
          </w:p>
        </w:tc>
        <w:tc>
          <w:tcPr>
            <w:tcW w:w="1418" w:type="dxa"/>
            <w:tcBorders>
              <w:top w:val="nil"/>
              <w:left w:val="nil"/>
              <w:bottom w:val="single" w:sz="4" w:space="0" w:color="auto"/>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78.30 (FFC)</w:t>
            </w:r>
            <w:r w:rsidRPr="00B54A75">
              <w:rPr>
                <w:rFonts w:ascii="Calibri" w:eastAsia="Times New Roman" w:hAnsi="Calibri" w:cs="Calibri"/>
                <w:color w:val="000000"/>
                <w:sz w:val="20"/>
                <w:szCs w:val="20"/>
                <w:lang w:eastAsia="en-AU"/>
              </w:rPr>
              <w:br/>
              <w:t>78.40 (inf-FC)</w:t>
            </w:r>
          </w:p>
        </w:tc>
        <w:tc>
          <w:tcPr>
            <w:tcW w:w="1417" w:type="dxa"/>
            <w:tcBorders>
              <w:top w:val="nil"/>
              <w:left w:val="nil"/>
              <w:bottom w:val="single" w:sz="4" w:space="0" w:color="auto"/>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color w:val="000000"/>
                <w:sz w:val="20"/>
                <w:szCs w:val="20"/>
                <w:lang w:eastAsia="en-AU"/>
              </w:rPr>
            </w:pPr>
            <w:r w:rsidRPr="00B54A75">
              <w:rPr>
                <w:rFonts w:ascii="Calibri" w:eastAsia="Times New Roman" w:hAnsi="Calibri" w:cs="Calibri"/>
                <w:color w:val="000000"/>
                <w:sz w:val="20"/>
                <w:szCs w:val="20"/>
                <w:lang w:eastAsia="en-AU"/>
              </w:rPr>
              <w:t>3.54 (FFC)</w:t>
            </w:r>
            <w:r w:rsidRPr="00B54A75">
              <w:rPr>
                <w:rFonts w:ascii="Calibri" w:eastAsia="Times New Roman" w:hAnsi="Calibri" w:cs="Calibri"/>
                <w:color w:val="000000"/>
                <w:sz w:val="20"/>
                <w:szCs w:val="20"/>
                <w:lang w:eastAsia="en-AU"/>
              </w:rPr>
              <w:br/>
              <w:t>3.31 (inf-FC)</w:t>
            </w:r>
          </w:p>
        </w:tc>
        <w:tc>
          <w:tcPr>
            <w:tcW w:w="5760" w:type="dxa"/>
            <w:tcBorders>
              <w:top w:val="nil"/>
              <w:left w:val="nil"/>
              <w:bottom w:val="single" w:sz="4" w:space="0" w:color="auto"/>
              <w:right w:val="nil"/>
            </w:tcBorders>
            <w:shd w:val="clear" w:color="000000" w:fill="D9D9D9"/>
            <w:vAlign w:val="bottom"/>
            <w:hideMark/>
          </w:tcPr>
          <w:p w:rsidR="00112011" w:rsidRPr="00B54A75" w:rsidRDefault="00112011" w:rsidP="00112011">
            <w:pPr>
              <w:spacing w:after="0" w:line="240" w:lineRule="auto"/>
              <w:rPr>
                <w:rFonts w:ascii="Calibri" w:eastAsia="Times New Roman" w:hAnsi="Calibri" w:cs="Calibri"/>
                <w:b/>
                <w:bCs/>
                <w:color w:val="000000"/>
                <w:sz w:val="20"/>
                <w:szCs w:val="20"/>
                <w:lang w:eastAsia="en-AU"/>
              </w:rPr>
            </w:pPr>
            <w:r w:rsidRPr="00B54A75">
              <w:rPr>
                <w:rFonts w:ascii="Calibri" w:eastAsia="Times New Roman" w:hAnsi="Calibri" w:cs="Calibri"/>
                <w:b/>
                <w:bCs/>
                <w:iCs/>
                <w:color w:val="000000"/>
                <w:sz w:val="20"/>
                <w:szCs w:val="20"/>
                <w:lang w:eastAsia="en-AU"/>
              </w:rPr>
              <w:t>Cross sectional</w:t>
            </w:r>
            <w:r w:rsidRPr="00B54A75">
              <w:rPr>
                <w:rFonts w:ascii="Calibri" w:eastAsia="Times New Roman" w:hAnsi="Calibri" w:cs="Calibri"/>
                <w:b/>
                <w:bCs/>
                <w:color w:val="000000"/>
                <w:sz w:val="20"/>
                <w:szCs w:val="20"/>
                <w:lang w:eastAsia="en-AU"/>
              </w:rPr>
              <w:t xml:space="preserve"> (MRI)</w:t>
            </w:r>
            <w:r w:rsidRPr="00B54A75">
              <w:rPr>
                <w:rFonts w:ascii="Calibri" w:eastAsia="Times New Roman" w:hAnsi="Calibri" w:cs="Calibri"/>
                <w:color w:val="000000"/>
                <w:sz w:val="20"/>
                <w:szCs w:val="20"/>
                <w:lang w:eastAsia="en-AU"/>
              </w:rPr>
              <w:br/>
              <w:t xml:space="preserve">↑ </w:t>
            </w:r>
            <w:r w:rsidRPr="00B54A75">
              <w:rPr>
                <w:rFonts w:ascii="Calibri" w:eastAsia="Times New Roman" w:hAnsi="Calibri" w:cs="Calibri"/>
                <w:color w:val="000000"/>
                <w:sz w:val="20"/>
                <w:szCs w:val="20"/>
                <w:u w:val="single"/>
                <w:lang w:eastAsia="en-AU"/>
              </w:rPr>
              <w:t>Weekly fish intake</w:t>
            </w:r>
            <w:r w:rsidRPr="00B54A75">
              <w:rPr>
                <w:rFonts w:ascii="Calibri" w:eastAsia="Times New Roman" w:hAnsi="Calibri" w:cs="Calibri"/>
                <w:color w:val="000000"/>
                <w:sz w:val="20"/>
                <w:szCs w:val="20"/>
                <w:lang w:eastAsia="en-AU"/>
              </w:rPr>
              <w:t xml:space="preserve"> associated with:</w:t>
            </w:r>
            <w:r w:rsidRPr="00B54A75">
              <w:rPr>
                <w:rFonts w:ascii="Calibri" w:eastAsia="Times New Roman" w:hAnsi="Calibri" w:cs="Calibri"/>
                <w:color w:val="000000"/>
                <w:sz w:val="20"/>
                <w:szCs w:val="20"/>
                <w:lang w:eastAsia="en-AU"/>
              </w:rPr>
              <w:br/>
              <w:t xml:space="preserve">             ↑ </w:t>
            </w:r>
            <w:proofErr w:type="spellStart"/>
            <w:r w:rsidRPr="00B54A75">
              <w:rPr>
                <w:rFonts w:ascii="Calibri" w:eastAsia="Times New Roman" w:hAnsi="Calibri" w:cs="Calibri"/>
                <w:color w:val="000000"/>
                <w:sz w:val="20"/>
                <w:szCs w:val="20"/>
                <w:lang w:eastAsia="en-AU"/>
              </w:rPr>
              <w:t>GMv</w:t>
            </w:r>
            <w:proofErr w:type="spellEnd"/>
            <w:r w:rsidRPr="00B54A75">
              <w:rPr>
                <w:rFonts w:ascii="Calibri" w:eastAsia="Times New Roman" w:hAnsi="Calibri" w:cs="Calibri"/>
                <w:color w:val="000000"/>
                <w:sz w:val="20"/>
                <w:szCs w:val="20"/>
                <w:lang w:eastAsia="en-AU"/>
              </w:rPr>
              <w:t xml:space="preserve"> in HC, </w:t>
            </w:r>
            <w:proofErr w:type="spellStart"/>
            <w:r w:rsidRPr="00B54A75">
              <w:rPr>
                <w:rFonts w:ascii="Calibri" w:eastAsia="Times New Roman" w:hAnsi="Calibri" w:cs="Calibri"/>
                <w:color w:val="000000"/>
                <w:sz w:val="20"/>
                <w:szCs w:val="20"/>
                <w:lang w:eastAsia="en-AU"/>
              </w:rPr>
              <w:t>preC</w:t>
            </w:r>
            <w:proofErr w:type="spellEnd"/>
            <w:r w:rsidRPr="00B54A75">
              <w:rPr>
                <w:rFonts w:ascii="Calibri" w:eastAsia="Times New Roman" w:hAnsi="Calibri" w:cs="Calibri"/>
                <w:color w:val="000000"/>
                <w:sz w:val="20"/>
                <w:szCs w:val="20"/>
                <w:lang w:eastAsia="en-AU"/>
              </w:rPr>
              <w:t xml:space="preserve">, </w:t>
            </w:r>
            <w:proofErr w:type="spellStart"/>
            <w:r w:rsidRPr="00B54A75">
              <w:rPr>
                <w:rFonts w:ascii="Calibri" w:eastAsia="Times New Roman" w:hAnsi="Calibri" w:cs="Calibri"/>
                <w:color w:val="000000"/>
                <w:sz w:val="20"/>
                <w:szCs w:val="20"/>
                <w:lang w:eastAsia="en-AU"/>
              </w:rPr>
              <w:t>poCingC</w:t>
            </w:r>
            <w:proofErr w:type="spellEnd"/>
            <w:r w:rsidRPr="00B54A75">
              <w:rPr>
                <w:rFonts w:ascii="Calibri" w:eastAsia="Times New Roman" w:hAnsi="Calibri" w:cs="Calibri"/>
                <w:color w:val="000000"/>
                <w:sz w:val="20"/>
                <w:szCs w:val="20"/>
                <w:lang w:eastAsia="en-AU"/>
              </w:rPr>
              <w:t xml:space="preserve">, &amp; OFC.  </w:t>
            </w:r>
          </w:p>
        </w:tc>
      </w:tr>
    </w:tbl>
    <w:p w:rsidR="00546FE4" w:rsidRPr="00B54A75" w:rsidRDefault="00546FE4" w:rsidP="006F2F0B">
      <w:pPr>
        <w:rPr>
          <w:b/>
        </w:rPr>
      </w:pPr>
    </w:p>
    <w:p w:rsidR="00E25240" w:rsidRPr="00303DDA" w:rsidRDefault="00A71108" w:rsidP="006F2F0B">
      <w:r w:rsidRPr="00B54A75">
        <w:rPr>
          <w:b/>
        </w:rPr>
        <w:lastRenderedPageBreak/>
        <w:t xml:space="preserve">Note: </w:t>
      </w:r>
      <w:r w:rsidRPr="00B54A75">
        <w:t>Studies presented in reverse chronological order and</w:t>
      </w:r>
      <w:r w:rsidR="004E3570" w:rsidRPr="00B54A75">
        <w:t xml:space="preserve"> organised</w:t>
      </w:r>
      <w:r w:rsidRPr="00B54A75">
        <w:t xml:space="preserve"> by nutrient or diet type. </w:t>
      </w:r>
      <w:r w:rsidR="00991863" w:rsidRPr="00B54A75">
        <w:rPr>
          <w:b/>
        </w:rPr>
        <w:t>Abbreviations</w:t>
      </w:r>
      <w:r w:rsidR="00991863" w:rsidRPr="00B54A75">
        <w:t xml:space="preserve">: </w:t>
      </w:r>
      <w:proofErr w:type="spellStart"/>
      <w:r w:rsidR="008543A2" w:rsidRPr="00B54A75">
        <w:rPr>
          <w:b/>
        </w:rPr>
        <w:t>HcY</w:t>
      </w:r>
      <w:proofErr w:type="spellEnd"/>
      <w:r w:rsidR="008543A2" w:rsidRPr="00B54A75">
        <w:t>, Homocysteine;</w:t>
      </w:r>
      <w:r w:rsidR="00991863" w:rsidRPr="00B54A75">
        <w:t xml:space="preserve"> </w:t>
      </w:r>
      <w:r w:rsidR="00A47F57" w:rsidRPr="00B54A75">
        <w:rPr>
          <w:b/>
        </w:rPr>
        <w:t>DF</w:t>
      </w:r>
      <w:r w:rsidR="00A47F57" w:rsidRPr="00B54A75">
        <w:t>, d</w:t>
      </w:r>
      <w:r w:rsidR="008543A2" w:rsidRPr="00B54A75">
        <w:t xml:space="preserve">ementia </w:t>
      </w:r>
      <w:r w:rsidR="00BF1B42" w:rsidRPr="00B54A75">
        <w:t>f</w:t>
      </w:r>
      <w:r w:rsidR="008543A2" w:rsidRPr="00B54A75">
        <w:t>ree;</w:t>
      </w:r>
      <w:r w:rsidR="00991863" w:rsidRPr="00B54A75">
        <w:t xml:space="preserve"> </w:t>
      </w:r>
      <w:r w:rsidR="00A47F57" w:rsidRPr="00B54A75">
        <w:rPr>
          <w:b/>
        </w:rPr>
        <w:t>MRI</w:t>
      </w:r>
      <w:r w:rsidR="00A47F57" w:rsidRPr="00B54A75">
        <w:t>, magnetic resonance i</w:t>
      </w:r>
      <w:r w:rsidR="008543A2" w:rsidRPr="00B54A75">
        <w:t>maging;</w:t>
      </w:r>
      <w:r w:rsidR="00991863" w:rsidRPr="00B54A75">
        <w:t xml:space="preserve"> </w:t>
      </w:r>
      <w:proofErr w:type="spellStart"/>
      <w:r w:rsidR="00A47F57" w:rsidRPr="00B54A75">
        <w:rPr>
          <w:b/>
        </w:rPr>
        <w:t>WMv</w:t>
      </w:r>
      <w:proofErr w:type="spellEnd"/>
      <w:r w:rsidR="00A47F57" w:rsidRPr="00B54A75">
        <w:t>, white matter v</w:t>
      </w:r>
      <w:r w:rsidR="008543A2" w:rsidRPr="00B54A75">
        <w:t>olume;</w:t>
      </w:r>
      <w:r w:rsidR="00991863" w:rsidRPr="00B54A75">
        <w:t xml:space="preserve"> </w:t>
      </w:r>
      <w:r w:rsidR="00A47F57" w:rsidRPr="00B54A75">
        <w:rPr>
          <w:b/>
        </w:rPr>
        <w:t>FL</w:t>
      </w:r>
      <w:r w:rsidR="00A47F57" w:rsidRPr="00B54A75">
        <w:t>, frontal l</w:t>
      </w:r>
      <w:r w:rsidR="007C0329" w:rsidRPr="00B54A75">
        <w:t>obe;</w:t>
      </w:r>
      <w:r w:rsidR="00991863" w:rsidRPr="00B54A75">
        <w:t xml:space="preserve"> </w:t>
      </w:r>
      <w:r w:rsidR="00A47F57" w:rsidRPr="00B54A75">
        <w:rPr>
          <w:b/>
        </w:rPr>
        <w:t>PL</w:t>
      </w:r>
      <w:r w:rsidR="00A47F57" w:rsidRPr="00B54A75">
        <w:t>, parietal l</w:t>
      </w:r>
      <w:r w:rsidR="007C0329" w:rsidRPr="00B54A75">
        <w:t>obe;</w:t>
      </w:r>
      <w:r w:rsidR="00991863" w:rsidRPr="00B54A75">
        <w:t xml:space="preserve"> </w:t>
      </w:r>
      <w:r w:rsidR="00A47F57" w:rsidRPr="00B54A75">
        <w:rPr>
          <w:b/>
        </w:rPr>
        <w:t>TL</w:t>
      </w:r>
      <w:r w:rsidR="00A47F57" w:rsidRPr="00B54A75">
        <w:t>, temporal l</w:t>
      </w:r>
      <w:r w:rsidR="007C0329" w:rsidRPr="00B54A75">
        <w:t>obe;</w:t>
      </w:r>
      <w:r w:rsidR="00991863" w:rsidRPr="00B54A75">
        <w:t xml:space="preserve"> </w:t>
      </w:r>
      <w:r w:rsidR="00A47F57" w:rsidRPr="00B54A75">
        <w:rPr>
          <w:b/>
        </w:rPr>
        <w:t>CT</w:t>
      </w:r>
      <w:r w:rsidR="00A47F57" w:rsidRPr="00B54A75">
        <w:t>, cortical t</w:t>
      </w:r>
      <w:r w:rsidR="007C0329" w:rsidRPr="00B54A75">
        <w:t>hickness;</w:t>
      </w:r>
      <w:r w:rsidR="00991863" w:rsidRPr="00B54A75">
        <w:t xml:space="preserve"> </w:t>
      </w:r>
      <w:r w:rsidR="008A7ACA" w:rsidRPr="00B54A75">
        <w:rPr>
          <w:b/>
        </w:rPr>
        <w:t>VIT-</w:t>
      </w:r>
      <w:r w:rsidR="009459D2" w:rsidRPr="00B54A75">
        <w:rPr>
          <w:b/>
        </w:rPr>
        <w:t>B</w:t>
      </w:r>
      <w:r w:rsidR="009459D2" w:rsidRPr="00B54A75">
        <w:rPr>
          <w:b/>
          <w:vertAlign w:val="subscript"/>
        </w:rPr>
        <w:t>12</w:t>
      </w:r>
      <w:r w:rsidR="00A47F57" w:rsidRPr="00B54A75">
        <w:t>, v</w:t>
      </w:r>
      <w:r w:rsidR="007C0329" w:rsidRPr="00B54A75">
        <w:t>itamin</w:t>
      </w:r>
      <w:r w:rsidR="009459D2" w:rsidRPr="00B54A75">
        <w:t xml:space="preserve"> B12</w:t>
      </w:r>
      <w:r w:rsidR="007C0329" w:rsidRPr="00B54A75">
        <w:t>;</w:t>
      </w:r>
      <w:r w:rsidR="00991863" w:rsidRPr="00B54A75">
        <w:t xml:space="preserve"> </w:t>
      </w:r>
      <w:r w:rsidR="00A47F57" w:rsidRPr="00B54A75">
        <w:rPr>
          <w:b/>
        </w:rPr>
        <w:t>MCI</w:t>
      </w:r>
      <w:r w:rsidR="00A47F57" w:rsidRPr="00B54A75">
        <w:t>, mild cognitive i</w:t>
      </w:r>
      <w:r w:rsidR="007C0329" w:rsidRPr="00B54A75">
        <w:t>mpairment;</w:t>
      </w:r>
      <w:r w:rsidR="00991863" w:rsidRPr="00B54A75">
        <w:t xml:space="preserve"> </w:t>
      </w:r>
      <w:r w:rsidR="00A47F57" w:rsidRPr="00B54A75">
        <w:rPr>
          <w:b/>
        </w:rPr>
        <w:t>DTI</w:t>
      </w:r>
      <w:r w:rsidR="00A47F57" w:rsidRPr="00B54A75">
        <w:t>, diffusion tensor i</w:t>
      </w:r>
      <w:r w:rsidR="007C0329" w:rsidRPr="00B54A75">
        <w:t>maging;</w:t>
      </w:r>
      <w:r w:rsidR="00991863" w:rsidRPr="00B54A75">
        <w:t xml:space="preserve"> </w:t>
      </w:r>
      <w:r w:rsidR="00A47F57" w:rsidRPr="00B54A75">
        <w:rPr>
          <w:b/>
        </w:rPr>
        <w:t>HC</w:t>
      </w:r>
      <w:r w:rsidR="00A47F57" w:rsidRPr="00B54A75">
        <w:t>, h</w:t>
      </w:r>
      <w:r w:rsidR="007C0329" w:rsidRPr="00B54A75">
        <w:t>ippocampus;</w:t>
      </w:r>
      <w:r w:rsidR="00991863" w:rsidRPr="00B54A75">
        <w:t xml:space="preserve"> </w:t>
      </w:r>
      <w:r w:rsidR="00991863" w:rsidRPr="00B54A75">
        <w:rPr>
          <w:b/>
        </w:rPr>
        <w:t>DG</w:t>
      </w:r>
      <w:r w:rsidR="00991863" w:rsidRPr="00B54A75">
        <w:t>, dentate g</w:t>
      </w:r>
      <w:r w:rsidR="007C0329" w:rsidRPr="00B54A75">
        <w:t>yrus;</w:t>
      </w:r>
      <w:r w:rsidR="00991863" w:rsidRPr="00B54A75">
        <w:t xml:space="preserve"> </w:t>
      </w:r>
      <w:r w:rsidR="00A47F57" w:rsidRPr="00B54A75">
        <w:rPr>
          <w:b/>
        </w:rPr>
        <w:t>CA4</w:t>
      </w:r>
      <w:r w:rsidR="00A47F57" w:rsidRPr="00B54A75">
        <w:t xml:space="preserve">, </w:t>
      </w:r>
      <w:proofErr w:type="spellStart"/>
      <w:r w:rsidR="00A47F57" w:rsidRPr="00B54A75">
        <w:t>cornu</w:t>
      </w:r>
      <w:proofErr w:type="spellEnd"/>
      <w:r w:rsidR="00A47F57" w:rsidRPr="00B54A75">
        <w:t xml:space="preserve"> </w:t>
      </w:r>
      <w:proofErr w:type="spellStart"/>
      <w:r w:rsidR="00A47F57" w:rsidRPr="00B54A75">
        <w:t>a</w:t>
      </w:r>
      <w:r w:rsidR="007C0329" w:rsidRPr="00B54A75">
        <w:t>mmonis</w:t>
      </w:r>
      <w:proofErr w:type="spellEnd"/>
      <w:r w:rsidR="00A47F57" w:rsidRPr="00B54A75">
        <w:t xml:space="preserve"> s</w:t>
      </w:r>
      <w:r w:rsidR="007C0329" w:rsidRPr="00B54A75">
        <w:t>ubfield 4;</w:t>
      </w:r>
      <w:r w:rsidR="00991863" w:rsidRPr="00B54A75">
        <w:t xml:space="preserve"> </w:t>
      </w:r>
      <w:r w:rsidR="00112011" w:rsidRPr="00B54A75">
        <w:rPr>
          <w:b/>
        </w:rPr>
        <w:t>H</w:t>
      </w:r>
      <w:r w:rsidR="00112011" w:rsidRPr="00B54A75">
        <w:t>, healthy;</w:t>
      </w:r>
      <w:r w:rsidR="00083999" w:rsidRPr="00B54A75">
        <w:t xml:space="preserve"> </w:t>
      </w:r>
      <w:r w:rsidR="00112011" w:rsidRPr="00B54A75">
        <w:rPr>
          <w:b/>
        </w:rPr>
        <w:t>WM</w:t>
      </w:r>
      <w:r w:rsidR="00112011" w:rsidRPr="00B54A75">
        <w:t xml:space="preserve">, white matter; </w:t>
      </w:r>
      <w:r w:rsidR="00112011" w:rsidRPr="00B54A75">
        <w:rPr>
          <w:b/>
        </w:rPr>
        <w:t>CC</w:t>
      </w:r>
      <w:r w:rsidR="00112011" w:rsidRPr="00B54A75">
        <w:t xml:space="preserve">, corpus callosum; </w:t>
      </w:r>
      <w:r w:rsidR="007C0329" w:rsidRPr="00B54A75">
        <w:rPr>
          <w:b/>
        </w:rPr>
        <w:t>CN</w:t>
      </w:r>
      <w:r w:rsidR="007C0329" w:rsidRPr="00B54A75">
        <w:t xml:space="preserve">, </w:t>
      </w:r>
      <w:r w:rsidR="00A47F57" w:rsidRPr="00B54A75">
        <w:t>c</w:t>
      </w:r>
      <w:r w:rsidR="007C0329" w:rsidRPr="00B54A75">
        <w:t xml:space="preserve">ognitively </w:t>
      </w:r>
      <w:r w:rsidR="00A47F57" w:rsidRPr="00B54A75">
        <w:t>n</w:t>
      </w:r>
      <w:r w:rsidR="007C0329" w:rsidRPr="00B54A75">
        <w:t>ormal;</w:t>
      </w:r>
      <w:r w:rsidR="00991863" w:rsidRPr="00B54A75">
        <w:t xml:space="preserve"> </w:t>
      </w:r>
      <w:r w:rsidR="00A47F57" w:rsidRPr="00B54A75">
        <w:rPr>
          <w:b/>
        </w:rPr>
        <w:t>AD</w:t>
      </w:r>
      <w:r w:rsidR="00A47F57" w:rsidRPr="00B54A75">
        <w:t xml:space="preserve">, </w:t>
      </w:r>
      <w:proofErr w:type="spellStart"/>
      <w:r w:rsidR="00A47F57" w:rsidRPr="00B54A75">
        <w:t>a</w:t>
      </w:r>
      <w:r w:rsidR="007C0329" w:rsidRPr="00B54A75">
        <w:t>lzheimer’</w:t>
      </w:r>
      <w:r w:rsidR="00A47F57" w:rsidRPr="00B54A75">
        <w:t>s</w:t>
      </w:r>
      <w:proofErr w:type="spellEnd"/>
      <w:r w:rsidR="00A47F57" w:rsidRPr="00B54A75">
        <w:t xml:space="preserve"> d</w:t>
      </w:r>
      <w:r w:rsidR="007C0329" w:rsidRPr="00B54A75">
        <w:t>ementia;</w:t>
      </w:r>
      <w:r w:rsidR="00310374">
        <w:t xml:space="preserve"> </w:t>
      </w:r>
      <w:r w:rsidR="00310374" w:rsidRPr="00310374">
        <w:rPr>
          <w:b/>
        </w:rPr>
        <w:t>NR</w:t>
      </w:r>
      <w:r w:rsidR="00310374">
        <w:t>, not reported;</w:t>
      </w:r>
      <w:r w:rsidR="00991863" w:rsidRPr="00B54A75">
        <w:t xml:space="preserve"> </w:t>
      </w:r>
      <w:proofErr w:type="spellStart"/>
      <w:r w:rsidR="00A47F57" w:rsidRPr="00B54A75">
        <w:rPr>
          <w:b/>
        </w:rPr>
        <w:t>GMv</w:t>
      </w:r>
      <w:proofErr w:type="spellEnd"/>
      <w:r w:rsidR="00A47F57" w:rsidRPr="00B54A75">
        <w:t>, grey matter volu</w:t>
      </w:r>
      <w:r w:rsidR="00097AC7">
        <w:t>me</w:t>
      </w:r>
      <w:r w:rsidR="00BF1B42" w:rsidRPr="00B54A75">
        <w:t>;</w:t>
      </w:r>
      <w:r w:rsidR="00991863" w:rsidRPr="00B54A75">
        <w:t xml:space="preserve"> </w:t>
      </w:r>
      <w:r w:rsidR="00655D70" w:rsidRPr="00B54A75">
        <w:rPr>
          <w:b/>
        </w:rPr>
        <w:t>TC-</w:t>
      </w:r>
      <w:proofErr w:type="spellStart"/>
      <w:r w:rsidR="00655D70" w:rsidRPr="00B54A75">
        <w:rPr>
          <w:b/>
        </w:rPr>
        <w:t>WMv</w:t>
      </w:r>
      <w:proofErr w:type="spellEnd"/>
      <w:r w:rsidR="00655D70" w:rsidRPr="00B54A75">
        <w:t>, tot</w:t>
      </w:r>
      <w:r w:rsidR="001B212C" w:rsidRPr="00B54A75">
        <w:t xml:space="preserve">al cerebral white matter volume; </w:t>
      </w:r>
      <w:proofErr w:type="spellStart"/>
      <w:r w:rsidR="00BF1B42" w:rsidRPr="00B54A75">
        <w:rPr>
          <w:b/>
        </w:rPr>
        <w:t>HHcy</w:t>
      </w:r>
      <w:proofErr w:type="spellEnd"/>
      <w:r w:rsidR="00BF1B42" w:rsidRPr="00B54A75">
        <w:t>, high homocysteine;</w:t>
      </w:r>
      <w:r w:rsidR="00991863" w:rsidRPr="00B54A75">
        <w:t xml:space="preserve"> </w:t>
      </w:r>
      <w:proofErr w:type="spellStart"/>
      <w:r w:rsidR="00BF1B42" w:rsidRPr="00B54A75">
        <w:rPr>
          <w:b/>
        </w:rPr>
        <w:t>LHcY</w:t>
      </w:r>
      <w:proofErr w:type="spellEnd"/>
      <w:r w:rsidR="00BF1B42" w:rsidRPr="00B54A75">
        <w:t>, low homocysteine;</w:t>
      </w:r>
      <w:r w:rsidR="00991863" w:rsidRPr="00B54A75">
        <w:t xml:space="preserve"> </w:t>
      </w:r>
      <w:r w:rsidR="00097AC7" w:rsidRPr="00097AC7">
        <w:rPr>
          <w:b/>
        </w:rPr>
        <w:t>OL</w:t>
      </w:r>
      <w:r w:rsidR="00097AC7">
        <w:t xml:space="preserve">, occipital lobe; </w:t>
      </w:r>
      <w:proofErr w:type="spellStart"/>
      <w:r w:rsidR="00655D70" w:rsidRPr="00B54A75">
        <w:rPr>
          <w:b/>
        </w:rPr>
        <w:t>CrB</w:t>
      </w:r>
      <w:proofErr w:type="spellEnd"/>
      <w:r w:rsidR="00655D70" w:rsidRPr="00B54A75">
        <w:t>, cerebellum,</w:t>
      </w:r>
      <w:r w:rsidR="00991863" w:rsidRPr="00B54A75">
        <w:t xml:space="preserve"> </w:t>
      </w:r>
      <w:proofErr w:type="spellStart"/>
      <w:r w:rsidR="00655D70" w:rsidRPr="00B54A75">
        <w:rPr>
          <w:b/>
        </w:rPr>
        <w:t>WMHv</w:t>
      </w:r>
      <w:proofErr w:type="spellEnd"/>
      <w:r w:rsidR="00655D70" w:rsidRPr="00B54A75">
        <w:t>, whi</w:t>
      </w:r>
      <w:r w:rsidR="00B174DF">
        <w:t>te matter hyperintensity volume</w:t>
      </w:r>
      <w:r w:rsidR="00655D70" w:rsidRPr="00B54A75">
        <w:t>;</w:t>
      </w:r>
      <w:r w:rsidR="00991863" w:rsidRPr="00B54A75">
        <w:t xml:space="preserve"> </w:t>
      </w:r>
      <w:proofErr w:type="spellStart"/>
      <w:r w:rsidR="00655D70" w:rsidRPr="00B54A75">
        <w:rPr>
          <w:b/>
        </w:rPr>
        <w:t>TCar</w:t>
      </w:r>
      <w:proofErr w:type="spellEnd"/>
      <w:r w:rsidR="00655D70" w:rsidRPr="00B54A75">
        <w:t>, total cerebral atrophy rate;</w:t>
      </w:r>
      <w:r w:rsidR="00991863" w:rsidRPr="00B54A75">
        <w:t xml:space="preserve"> </w:t>
      </w:r>
      <w:r w:rsidR="00655D70" w:rsidRPr="00B54A75">
        <w:rPr>
          <w:b/>
        </w:rPr>
        <w:t>WML</w:t>
      </w:r>
      <w:r w:rsidR="00655D70" w:rsidRPr="00B54A75">
        <w:t>, white matter lesion;</w:t>
      </w:r>
      <w:r w:rsidR="00991863" w:rsidRPr="00B54A75">
        <w:t xml:space="preserve"> </w:t>
      </w:r>
      <w:r w:rsidR="00655D70" w:rsidRPr="00B54A75">
        <w:rPr>
          <w:b/>
        </w:rPr>
        <w:t>MMA</w:t>
      </w:r>
      <w:r w:rsidR="00655D70" w:rsidRPr="00B54A75">
        <w:t>, methylmalonic acid;</w:t>
      </w:r>
      <w:r w:rsidR="00991863" w:rsidRPr="00B54A75">
        <w:t xml:space="preserve"> </w:t>
      </w:r>
      <w:proofErr w:type="spellStart"/>
      <w:r w:rsidR="00982877" w:rsidRPr="00B54A75">
        <w:rPr>
          <w:b/>
        </w:rPr>
        <w:t>TCv</w:t>
      </w:r>
      <w:proofErr w:type="spellEnd"/>
      <w:r w:rsidR="00982877" w:rsidRPr="00B54A75">
        <w:t xml:space="preserve">, total cerebral volume; </w:t>
      </w:r>
      <w:proofErr w:type="spellStart"/>
      <w:r w:rsidR="00D723A6" w:rsidRPr="00B54A75">
        <w:rPr>
          <w:b/>
        </w:rPr>
        <w:t>HCv</w:t>
      </w:r>
      <w:proofErr w:type="spellEnd"/>
      <w:r w:rsidR="00D723A6" w:rsidRPr="00B54A75">
        <w:t>; hippocampal volume;</w:t>
      </w:r>
      <w:r w:rsidR="00991863" w:rsidRPr="00B54A75">
        <w:t xml:space="preserve"> </w:t>
      </w:r>
      <w:proofErr w:type="spellStart"/>
      <w:r w:rsidR="001B212C" w:rsidRPr="00B54A75">
        <w:rPr>
          <w:b/>
        </w:rPr>
        <w:t>WMar</w:t>
      </w:r>
      <w:proofErr w:type="spellEnd"/>
      <w:r w:rsidR="001B212C" w:rsidRPr="00B54A75">
        <w:t xml:space="preserve">, white matter atrophy rate; </w:t>
      </w:r>
      <w:proofErr w:type="spellStart"/>
      <w:r w:rsidR="001B212C" w:rsidRPr="00B54A75">
        <w:rPr>
          <w:b/>
        </w:rPr>
        <w:t>HCar</w:t>
      </w:r>
      <w:proofErr w:type="spellEnd"/>
      <w:r w:rsidR="001B212C" w:rsidRPr="00B54A75">
        <w:t xml:space="preserve">, hippocampal atrophy rate; </w:t>
      </w:r>
      <w:proofErr w:type="spellStart"/>
      <w:r w:rsidR="00CE0307" w:rsidRPr="00B54A75">
        <w:rPr>
          <w:b/>
        </w:rPr>
        <w:t>HoloTC</w:t>
      </w:r>
      <w:proofErr w:type="spellEnd"/>
      <w:r w:rsidR="00CE0307" w:rsidRPr="00B54A75">
        <w:t xml:space="preserve">, </w:t>
      </w:r>
      <w:proofErr w:type="spellStart"/>
      <w:r w:rsidR="00CE0307" w:rsidRPr="00B54A75">
        <w:t>holotranscobalamin</w:t>
      </w:r>
      <w:proofErr w:type="spellEnd"/>
      <w:r w:rsidR="00CE0307" w:rsidRPr="00B54A75">
        <w:t>;</w:t>
      </w:r>
      <w:r w:rsidR="00991863" w:rsidRPr="00B54A75">
        <w:t xml:space="preserve"> </w:t>
      </w:r>
      <w:r w:rsidR="00CE0307" w:rsidRPr="00B54A75">
        <w:rPr>
          <w:b/>
        </w:rPr>
        <w:t>TC</w:t>
      </w:r>
      <w:r w:rsidR="008E796A" w:rsidRPr="00B54A75">
        <w:rPr>
          <w:b/>
        </w:rPr>
        <w:t>s</w:t>
      </w:r>
      <w:r w:rsidR="00CE0307" w:rsidRPr="00B54A75">
        <w:t>, transcobalamin saturation;</w:t>
      </w:r>
      <w:r w:rsidR="00991863" w:rsidRPr="00B54A75">
        <w:t xml:space="preserve"> </w:t>
      </w:r>
      <w:proofErr w:type="spellStart"/>
      <w:r w:rsidR="00CE0307" w:rsidRPr="00B54A75">
        <w:rPr>
          <w:b/>
        </w:rPr>
        <w:t>pvWML</w:t>
      </w:r>
      <w:proofErr w:type="spellEnd"/>
      <w:r w:rsidR="00CE0307" w:rsidRPr="00B54A75">
        <w:t>, periventricular white matter lesion;</w:t>
      </w:r>
      <w:r w:rsidR="00991863" w:rsidRPr="00B54A75">
        <w:t xml:space="preserve"> </w:t>
      </w:r>
      <w:proofErr w:type="spellStart"/>
      <w:r w:rsidR="00CE0307" w:rsidRPr="00B54A75">
        <w:rPr>
          <w:b/>
        </w:rPr>
        <w:t>scWML</w:t>
      </w:r>
      <w:proofErr w:type="spellEnd"/>
      <w:r w:rsidR="00CE0307" w:rsidRPr="00B54A75">
        <w:t>, subcortical white matter lesion;</w:t>
      </w:r>
      <w:r w:rsidR="00991863" w:rsidRPr="00B54A75">
        <w:t xml:space="preserve"> </w:t>
      </w:r>
      <w:r w:rsidR="009D795F" w:rsidRPr="00B54A75">
        <w:rPr>
          <w:b/>
        </w:rPr>
        <w:t>VIT-</w:t>
      </w:r>
      <w:r w:rsidR="00A04631" w:rsidRPr="00B54A75">
        <w:rPr>
          <w:b/>
        </w:rPr>
        <w:t>B</w:t>
      </w:r>
      <w:r w:rsidR="00A04631" w:rsidRPr="00B54A75">
        <w:rPr>
          <w:b/>
          <w:vertAlign w:val="subscript"/>
        </w:rPr>
        <w:t>6</w:t>
      </w:r>
      <w:r w:rsidR="00A04631" w:rsidRPr="00B54A75">
        <w:t>, vitamin B6;</w:t>
      </w:r>
      <w:r w:rsidR="00991863" w:rsidRPr="00B54A75">
        <w:t xml:space="preserve"> </w:t>
      </w:r>
      <w:r w:rsidR="00CE0307" w:rsidRPr="00B54A75">
        <w:rPr>
          <w:b/>
        </w:rPr>
        <w:t>3DFD</w:t>
      </w:r>
      <w:r w:rsidR="00CE0307" w:rsidRPr="00B54A75">
        <w:t>, 3-day food diary;</w:t>
      </w:r>
      <w:r w:rsidR="00991863" w:rsidRPr="00B54A75">
        <w:t xml:space="preserve"> </w:t>
      </w:r>
      <w:r w:rsidR="00CE0307" w:rsidRPr="00B54A75">
        <w:rPr>
          <w:b/>
        </w:rPr>
        <w:t>SFC</w:t>
      </w:r>
      <w:r w:rsidR="00CE0307" w:rsidRPr="00B54A75">
        <w:t>, superior frontal cortex;</w:t>
      </w:r>
      <w:r w:rsidR="00991863" w:rsidRPr="00B54A75">
        <w:t xml:space="preserve"> </w:t>
      </w:r>
      <w:r w:rsidR="00CE0307" w:rsidRPr="00B54A75">
        <w:rPr>
          <w:b/>
        </w:rPr>
        <w:t>SMA</w:t>
      </w:r>
      <w:r w:rsidR="00CE0307" w:rsidRPr="00B54A75">
        <w:t>, supplementary motor area;</w:t>
      </w:r>
      <w:r w:rsidR="00991863" w:rsidRPr="00B54A75">
        <w:t xml:space="preserve"> </w:t>
      </w:r>
      <w:r w:rsidR="00CE0307" w:rsidRPr="00B54A75">
        <w:rPr>
          <w:b/>
        </w:rPr>
        <w:t>MPC</w:t>
      </w:r>
      <w:r w:rsidR="00CE0307" w:rsidRPr="00B54A75">
        <w:t>, medial parietal cortex;</w:t>
      </w:r>
      <w:r w:rsidR="00991863" w:rsidRPr="00B54A75">
        <w:t xml:space="preserve"> </w:t>
      </w:r>
      <w:r w:rsidR="00CE0307" w:rsidRPr="00B54A75">
        <w:rPr>
          <w:b/>
        </w:rPr>
        <w:t>MTC</w:t>
      </w:r>
      <w:r w:rsidR="00CE0307" w:rsidRPr="00B54A75">
        <w:t>, middle temporal cortex;</w:t>
      </w:r>
      <w:r w:rsidR="00991863" w:rsidRPr="00B54A75">
        <w:t xml:space="preserve"> </w:t>
      </w:r>
      <w:proofErr w:type="spellStart"/>
      <w:r w:rsidR="00CE0307" w:rsidRPr="00B54A75">
        <w:rPr>
          <w:b/>
        </w:rPr>
        <w:t>aCingC</w:t>
      </w:r>
      <w:proofErr w:type="spellEnd"/>
      <w:r w:rsidR="00CE0307" w:rsidRPr="00B54A75">
        <w:t xml:space="preserve">; anterior cingulate </w:t>
      </w:r>
      <w:r w:rsidR="00991863" w:rsidRPr="00B54A75">
        <w:t>c</w:t>
      </w:r>
      <w:r w:rsidR="00CE0307" w:rsidRPr="00B54A75">
        <w:t>ortex;</w:t>
      </w:r>
      <w:r w:rsidR="00991863" w:rsidRPr="00B54A75">
        <w:t xml:space="preserve"> </w:t>
      </w:r>
      <w:proofErr w:type="spellStart"/>
      <w:r w:rsidR="00CE0307" w:rsidRPr="00B54A75">
        <w:rPr>
          <w:b/>
        </w:rPr>
        <w:t>p</w:t>
      </w:r>
      <w:r w:rsidR="00BD17B8" w:rsidRPr="00B54A75">
        <w:rPr>
          <w:b/>
        </w:rPr>
        <w:t>o</w:t>
      </w:r>
      <w:r w:rsidR="00CE0307" w:rsidRPr="00B54A75">
        <w:rPr>
          <w:b/>
        </w:rPr>
        <w:t>CingC</w:t>
      </w:r>
      <w:proofErr w:type="spellEnd"/>
      <w:r w:rsidR="00CE0307" w:rsidRPr="00B54A75">
        <w:t>, posterior cingulate cortex;</w:t>
      </w:r>
      <w:r w:rsidR="00991863" w:rsidRPr="00B54A75">
        <w:t xml:space="preserve"> </w:t>
      </w:r>
      <w:r w:rsidR="00CE0307" w:rsidRPr="00B54A75">
        <w:rPr>
          <w:b/>
        </w:rPr>
        <w:t>SBI</w:t>
      </w:r>
      <w:r w:rsidR="00CE0307" w:rsidRPr="00B54A75">
        <w:t>, silent brain infarct;</w:t>
      </w:r>
      <w:r w:rsidR="00991863" w:rsidRPr="00B54A75">
        <w:t xml:space="preserve"> </w:t>
      </w:r>
      <w:r w:rsidR="00D723A6" w:rsidRPr="00B54A75">
        <w:rPr>
          <w:b/>
        </w:rPr>
        <w:t>M</w:t>
      </w:r>
      <w:r w:rsidR="00D723A6" w:rsidRPr="00B54A75">
        <w:t>, males;</w:t>
      </w:r>
      <w:r w:rsidR="00991863" w:rsidRPr="00B54A75">
        <w:t xml:space="preserve"> </w:t>
      </w:r>
      <w:r w:rsidR="00D723A6" w:rsidRPr="00B54A75">
        <w:rPr>
          <w:b/>
        </w:rPr>
        <w:t>F</w:t>
      </w:r>
      <w:r w:rsidR="00D723A6" w:rsidRPr="00B54A75">
        <w:t>, females;</w:t>
      </w:r>
      <w:r w:rsidR="00991863" w:rsidRPr="00B54A75">
        <w:t xml:space="preserve"> </w:t>
      </w:r>
      <w:r w:rsidR="00272BBE" w:rsidRPr="00B54A75">
        <w:rPr>
          <w:b/>
        </w:rPr>
        <w:t>TC-</w:t>
      </w:r>
      <w:proofErr w:type="spellStart"/>
      <w:r w:rsidR="00272BBE" w:rsidRPr="00B54A75">
        <w:rPr>
          <w:b/>
        </w:rPr>
        <w:t>GMv</w:t>
      </w:r>
      <w:proofErr w:type="spellEnd"/>
      <w:r w:rsidR="00272BBE" w:rsidRPr="00B54A75">
        <w:t>, total cerebral grey matter volume;</w:t>
      </w:r>
      <w:r w:rsidR="00991863" w:rsidRPr="00B54A75">
        <w:t xml:space="preserve"> </w:t>
      </w:r>
      <w:r w:rsidR="00272BBE" w:rsidRPr="00B54A75">
        <w:rPr>
          <w:b/>
        </w:rPr>
        <w:t>FFQ</w:t>
      </w:r>
      <w:r w:rsidR="00272BBE" w:rsidRPr="00B54A75">
        <w:t xml:space="preserve">, food frequency </w:t>
      </w:r>
      <w:r w:rsidR="00991863" w:rsidRPr="00B54A75">
        <w:t xml:space="preserve"> q</w:t>
      </w:r>
      <w:r w:rsidR="00272BBE" w:rsidRPr="00B54A75">
        <w:t>uestionnaire;</w:t>
      </w:r>
      <w:r w:rsidR="00991863" w:rsidRPr="00B54A75">
        <w:t xml:space="preserve"> </w:t>
      </w:r>
      <w:r w:rsidR="00272BBE" w:rsidRPr="00B54A75">
        <w:rPr>
          <w:rFonts w:cstheme="minorHAnsi"/>
          <w:b/>
        </w:rPr>
        <w:t>ω3-FA</w:t>
      </w:r>
      <w:r w:rsidR="00272BBE" w:rsidRPr="00B54A75">
        <w:rPr>
          <w:rFonts w:cstheme="minorHAnsi"/>
        </w:rPr>
        <w:t>, omega-3 fatty acid;</w:t>
      </w:r>
      <w:r w:rsidR="00991863" w:rsidRPr="00B54A75">
        <w:rPr>
          <w:rFonts w:cstheme="minorHAnsi"/>
        </w:rPr>
        <w:t xml:space="preserve"> </w:t>
      </w:r>
      <w:r w:rsidR="00272BBE" w:rsidRPr="00B54A75">
        <w:rPr>
          <w:rFonts w:cstheme="minorHAnsi"/>
          <w:b/>
        </w:rPr>
        <w:t>ω6-FA</w:t>
      </w:r>
      <w:r w:rsidR="00272BBE" w:rsidRPr="00B54A75">
        <w:rPr>
          <w:rFonts w:cstheme="minorHAnsi"/>
        </w:rPr>
        <w:t>, omega-6 fatty acid;</w:t>
      </w:r>
      <w:r w:rsidR="00991863" w:rsidRPr="00B54A75">
        <w:rPr>
          <w:rFonts w:cstheme="minorHAnsi"/>
        </w:rPr>
        <w:t xml:space="preserve"> </w:t>
      </w:r>
      <w:r w:rsidR="00272BBE" w:rsidRPr="00B54A75">
        <w:rPr>
          <w:rFonts w:cstheme="minorHAnsi"/>
          <w:b/>
        </w:rPr>
        <w:t>LCPUFA</w:t>
      </w:r>
      <w:r w:rsidR="00272BBE" w:rsidRPr="00B54A75">
        <w:rPr>
          <w:rFonts w:cstheme="minorHAnsi"/>
        </w:rPr>
        <w:t>, long-chain polyunsaturated fatty acid;</w:t>
      </w:r>
      <w:r w:rsidR="00991863" w:rsidRPr="00B54A75">
        <w:rPr>
          <w:rFonts w:cstheme="minorHAnsi"/>
        </w:rPr>
        <w:t xml:space="preserve"> </w:t>
      </w:r>
      <w:r w:rsidR="00272BBE" w:rsidRPr="00B54A75">
        <w:rPr>
          <w:rFonts w:cstheme="minorHAnsi"/>
          <w:b/>
        </w:rPr>
        <w:t>FOS</w:t>
      </w:r>
      <w:r w:rsidR="00272BBE" w:rsidRPr="00B54A75">
        <w:rPr>
          <w:rFonts w:cstheme="minorHAnsi"/>
        </w:rPr>
        <w:t>, fish oil supplementation;</w:t>
      </w:r>
      <w:r w:rsidR="00991863" w:rsidRPr="00B54A75">
        <w:rPr>
          <w:rFonts w:cstheme="minorHAnsi"/>
        </w:rPr>
        <w:t xml:space="preserve"> </w:t>
      </w:r>
      <w:r w:rsidR="001B212C" w:rsidRPr="00B54A75">
        <w:rPr>
          <w:rFonts w:cstheme="minorHAnsi"/>
          <w:b/>
        </w:rPr>
        <w:t>Vent-V</w:t>
      </w:r>
      <w:r w:rsidR="001B212C" w:rsidRPr="00B54A75">
        <w:rPr>
          <w:rFonts w:cstheme="minorHAnsi"/>
        </w:rPr>
        <w:t xml:space="preserve">, ventricle volume; </w:t>
      </w:r>
      <w:r w:rsidR="00F91E84" w:rsidRPr="00B54A75">
        <w:rPr>
          <w:rFonts w:cstheme="minorHAnsi"/>
          <w:b/>
        </w:rPr>
        <w:t>DHA</w:t>
      </w:r>
      <w:r w:rsidR="00F91E84" w:rsidRPr="00B54A75">
        <w:rPr>
          <w:rFonts w:cstheme="minorHAnsi"/>
        </w:rPr>
        <w:t>, docosahexaenoic acid;</w:t>
      </w:r>
      <w:r w:rsidR="00991863" w:rsidRPr="00B54A75">
        <w:rPr>
          <w:rFonts w:cstheme="minorHAnsi"/>
        </w:rPr>
        <w:t xml:space="preserve"> </w:t>
      </w:r>
      <w:r w:rsidR="00F91E84" w:rsidRPr="00B54A75">
        <w:rPr>
          <w:rFonts w:cstheme="minorHAnsi"/>
          <w:b/>
        </w:rPr>
        <w:t>EPA</w:t>
      </w:r>
      <w:r w:rsidR="00F91E84" w:rsidRPr="00B54A75">
        <w:rPr>
          <w:rFonts w:cstheme="minorHAnsi"/>
        </w:rPr>
        <w:t>, eicosapentaenoic acid;</w:t>
      </w:r>
      <w:r w:rsidR="00991863" w:rsidRPr="00B54A75">
        <w:rPr>
          <w:rFonts w:cstheme="minorHAnsi"/>
        </w:rPr>
        <w:t xml:space="preserve"> </w:t>
      </w:r>
      <w:r w:rsidR="009459D2" w:rsidRPr="00B54A75">
        <w:rPr>
          <w:rFonts w:cstheme="minorHAnsi"/>
          <w:b/>
        </w:rPr>
        <w:t>C-thin</w:t>
      </w:r>
      <w:r w:rsidR="009459D2" w:rsidRPr="00B54A75">
        <w:rPr>
          <w:rFonts w:cstheme="minorHAnsi"/>
        </w:rPr>
        <w:t>, cortical thinning</w:t>
      </w:r>
      <w:r w:rsidR="00991863" w:rsidRPr="00B54A75">
        <w:rPr>
          <w:rFonts w:cstheme="minorHAnsi"/>
        </w:rPr>
        <w:t xml:space="preserve">; </w:t>
      </w:r>
      <w:r w:rsidR="00F91E84" w:rsidRPr="00B54A75">
        <w:rPr>
          <w:rFonts w:cstheme="minorHAnsi"/>
          <w:b/>
        </w:rPr>
        <w:t>STC</w:t>
      </w:r>
      <w:r w:rsidR="00F91E84" w:rsidRPr="00B54A75">
        <w:rPr>
          <w:rFonts w:cstheme="minorHAnsi"/>
        </w:rPr>
        <w:t>, superior temporal cortex;</w:t>
      </w:r>
      <w:r w:rsidR="00991863" w:rsidRPr="00B54A75">
        <w:rPr>
          <w:rFonts w:cstheme="minorHAnsi"/>
        </w:rPr>
        <w:t xml:space="preserve"> </w:t>
      </w:r>
      <w:r w:rsidR="00F91E84" w:rsidRPr="00B54A75">
        <w:rPr>
          <w:rFonts w:cstheme="minorHAnsi"/>
          <w:b/>
        </w:rPr>
        <w:t>7DFD</w:t>
      </w:r>
      <w:r w:rsidR="00F91E84" w:rsidRPr="00B54A75">
        <w:rPr>
          <w:rFonts w:cstheme="minorHAnsi"/>
        </w:rPr>
        <w:t>, 7-day food diary;</w:t>
      </w:r>
      <w:r w:rsidR="00991863" w:rsidRPr="00B54A75">
        <w:rPr>
          <w:rFonts w:cstheme="minorHAnsi"/>
        </w:rPr>
        <w:t xml:space="preserve"> </w:t>
      </w:r>
      <w:r w:rsidR="006F713A" w:rsidRPr="00B54A75">
        <w:rPr>
          <w:rFonts w:cstheme="minorHAnsi"/>
          <w:b/>
        </w:rPr>
        <w:t>m</w:t>
      </w:r>
      <w:r w:rsidR="00B91A03" w:rsidRPr="00B54A75">
        <w:rPr>
          <w:rFonts w:cstheme="minorHAnsi"/>
          <w:b/>
        </w:rPr>
        <w:t>ed-TL</w:t>
      </w:r>
      <w:r w:rsidR="00B91A03" w:rsidRPr="00B54A75">
        <w:rPr>
          <w:rFonts w:cstheme="minorHAnsi"/>
        </w:rPr>
        <w:t>, medial temporal lobe;</w:t>
      </w:r>
      <w:r w:rsidR="00991863" w:rsidRPr="00B54A75">
        <w:rPr>
          <w:rFonts w:cstheme="minorHAnsi"/>
        </w:rPr>
        <w:t xml:space="preserve"> </w:t>
      </w:r>
      <w:r w:rsidR="00B91A03" w:rsidRPr="00B54A75">
        <w:rPr>
          <w:rFonts w:cstheme="minorHAnsi"/>
          <w:b/>
        </w:rPr>
        <w:t>AMYG</w:t>
      </w:r>
      <w:r w:rsidR="00B91A03" w:rsidRPr="00B54A75">
        <w:rPr>
          <w:rFonts w:cstheme="minorHAnsi"/>
        </w:rPr>
        <w:t>, amygdala;</w:t>
      </w:r>
      <w:r w:rsidR="00991863" w:rsidRPr="00B54A75">
        <w:rPr>
          <w:rFonts w:cstheme="minorHAnsi"/>
        </w:rPr>
        <w:t xml:space="preserve"> </w:t>
      </w:r>
      <w:proofErr w:type="spellStart"/>
      <w:r w:rsidR="00B91A03" w:rsidRPr="00B54A75">
        <w:rPr>
          <w:rFonts w:cstheme="minorHAnsi"/>
          <w:b/>
        </w:rPr>
        <w:t>ParaHC</w:t>
      </w:r>
      <w:proofErr w:type="spellEnd"/>
      <w:r w:rsidR="00B91A03" w:rsidRPr="00B54A75">
        <w:rPr>
          <w:rFonts w:cstheme="minorHAnsi"/>
        </w:rPr>
        <w:t xml:space="preserve">, </w:t>
      </w:r>
      <w:proofErr w:type="spellStart"/>
      <w:r w:rsidR="00B91A03" w:rsidRPr="00B54A75">
        <w:rPr>
          <w:rFonts w:cstheme="minorHAnsi"/>
        </w:rPr>
        <w:t>parahippocampus</w:t>
      </w:r>
      <w:proofErr w:type="spellEnd"/>
      <w:r w:rsidR="00B91A03" w:rsidRPr="00B54A75">
        <w:rPr>
          <w:rFonts w:cstheme="minorHAnsi"/>
        </w:rPr>
        <w:t>;</w:t>
      </w:r>
      <w:r w:rsidR="00991863" w:rsidRPr="00B54A75">
        <w:rPr>
          <w:rFonts w:cstheme="minorHAnsi"/>
        </w:rPr>
        <w:t xml:space="preserve"> </w:t>
      </w:r>
      <w:r w:rsidR="00EB5A6B" w:rsidRPr="00B54A75">
        <w:rPr>
          <w:rFonts w:cstheme="minorHAnsi"/>
          <w:b/>
        </w:rPr>
        <w:t>RBC</w:t>
      </w:r>
      <w:r w:rsidR="00EB5A6B" w:rsidRPr="00B54A75">
        <w:rPr>
          <w:rFonts w:cstheme="minorHAnsi"/>
        </w:rPr>
        <w:t>, red blood cell</w:t>
      </w:r>
      <w:r w:rsidR="009459D2" w:rsidRPr="00B54A75">
        <w:rPr>
          <w:rFonts w:cstheme="minorHAnsi"/>
        </w:rPr>
        <w:t>;</w:t>
      </w:r>
      <w:r w:rsidR="00991863" w:rsidRPr="00B54A75">
        <w:rPr>
          <w:rFonts w:cstheme="minorHAnsi"/>
        </w:rPr>
        <w:t xml:space="preserve"> </w:t>
      </w:r>
      <w:r w:rsidR="008A7ACA" w:rsidRPr="00B54A75">
        <w:rPr>
          <w:rFonts w:cstheme="minorHAnsi"/>
          <w:b/>
        </w:rPr>
        <w:t>VIT-</w:t>
      </w:r>
      <w:r w:rsidR="009459D2" w:rsidRPr="00B54A75">
        <w:rPr>
          <w:rFonts w:cstheme="minorHAnsi"/>
          <w:b/>
        </w:rPr>
        <w:t>D</w:t>
      </w:r>
      <w:r w:rsidR="009459D2" w:rsidRPr="00B54A75">
        <w:rPr>
          <w:rFonts w:cstheme="minorHAnsi"/>
        </w:rPr>
        <w:t>, vitamin D;</w:t>
      </w:r>
      <w:r w:rsidR="00991863" w:rsidRPr="00B54A75">
        <w:rPr>
          <w:rFonts w:cstheme="minorHAnsi"/>
        </w:rPr>
        <w:t xml:space="preserve"> </w:t>
      </w:r>
      <w:proofErr w:type="spellStart"/>
      <w:r w:rsidR="009459D2" w:rsidRPr="00B54A75">
        <w:rPr>
          <w:rFonts w:cstheme="minorHAnsi"/>
          <w:b/>
        </w:rPr>
        <w:t>rLPFC</w:t>
      </w:r>
      <w:proofErr w:type="spellEnd"/>
      <w:r w:rsidR="009459D2" w:rsidRPr="00B54A75">
        <w:rPr>
          <w:rFonts w:cstheme="minorHAnsi"/>
        </w:rPr>
        <w:t>, right lateral prefrontal cortex;</w:t>
      </w:r>
      <w:r w:rsidR="00991863" w:rsidRPr="00B54A75">
        <w:rPr>
          <w:rFonts w:cstheme="minorHAnsi"/>
        </w:rPr>
        <w:t xml:space="preserve"> </w:t>
      </w:r>
      <w:r w:rsidR="009459D2" w:rsidRPr="00B54A75">
        <w:rPr>
          <w:rFonts w:cstheme="minorHAnsi"/>
          <w:b/>
        </w:rPr>
        <w:t>NP</w:t>
      </w:r>
      <w:r w:rsidR="009459D2" w:rsidRPr="00B54A75">
        <w:rPr>
          <w:rFonts w:cstheme="minorHAnsi"/>
        </w:rPr>
        <w:t>, nutrient pattern;</w:t>
      </w:r>
      <w:r w:rsidR="00991863" w:rsidRPr="00B54A75">
        <w:rPr>
          <w:rFonts w:cstheme="minorHAnsi"/>
        </w:rPr>
        <w:t xml:space="preserve"> </w:t>
      </w:r>
      <w:r w:rsidR="008A7ACA" w:rsidRPr="00B54A75">
        <w:rPr>
          <w:rFonts w:cstheme="minorHAnsi"/>
          <w:b/>
        </w:rPr>
        <w:t>VIT-</w:t>
      </w:r>
      <w:r w:rsidR="00A57BF1" w:rsidRPr="00B54A75">
        <w:rPr>
          <w:rFonts w:cstheme="minorHAnsi"/>
          <w:b/>
        </w:rPr>
        <w:t>E</w:t>
      </w:r>
      <w:r w:rsidR="00A57BF1" w:rsidRPr="00B54A75">
        <w:rPr>
          <w:rFonts w:cstheme="minorHAnsi"/>
        </w:rPr>
        <w:t>, vitamin E;</w:t>
      </w:r>
      <w:r w:rsidR="00B14009">
        <w:rPr>
          <w:rFonts w:cstheme="minorHAnsi"/>
        </w:rPr>
        <w:t xml:space="preserve"> </w:t>
      </w:r>
      <w:r w:rsidR="00B14009" w:rsidRPr="00B14009">
        <w:rPr>
          <w:rFonts w:cstheme="minorHAnsi"/>
          <w:b/>
        </w:rPr>
        <w:t>VIT-B</w:t>
      </w:r>
      <w:r w:rsidR="00B14009" w:rsidRPr="00B14009">
        <w:rPr>
          <w:rFonts w:cstheme="minorHAnsi"/>
          <w:b/>
          <w:vertAlign w:val="subscript"/>
        </w:rPr>
        <w:t>1</w:t>
      </w:r>
      <w:r w:rsidR="00B14009">
        <w:rPr>
          <w:rFonts w:cstheme="minorHAnsi"/>
        </w:rPr>
        <w:t>; vitamin B</w:t>
      </w:r>
      <w:r w:rsidR="00B14009" w:rsidRPr="00B14009">
        <w:rPr>
          <w:rFonts w:cstheme="minorHAnsi"/>
          <w:vertAlign w:val="subscript"/>
        </w:rPr>
        <w:t>1</w:t>
      </w:r>
      <w:r w:rsidR="00B14009">
        <w:rPr>
          <w:rFonts w:cstheme="minorHAnsi"/>
        </w:rPr>
        <w:t xml:space="preserve">; </w:t>
      </w:r>
      <w:r w:rsidR="00B14009" w:rsidRPr="00B14009">
        <w:rPr>
          <w:rFonts w:cstheme="minorHAnsi"/>
          <w:b/>
        </w:rPr>
        <w:t>VIT-B</w:t>
      </w:r>
      <w:r w:rsidR="00B14009" w:rsidRPr="00B14009">
        <w:rPr>
          <w:rFonts w:cstheme="minorHAnsi"/>
          <w:b/>
          <w:vertAlign w:val="subscript"/>
        </w:rPr>
        <w:t>2</w:t>
      </w:r>
      <w:r w:rsidR="00B14009">
        <w:rPr>
          <w:rFonts w:cstheme="minorHAnsi"/>
        </w:rPr>
        <w:t>, vitamin B</w:t>
      </w:r>
      <w:r w:rsidR="00B14009" w:rsidRPr="00B14009">
        <w:rPr>
          <w:rFonts w:cstheme="minorHAnsi"/>
          <w:vertAlign w:val="subscript"/>
        </w:rPr>
        <w:t>2</w:t>
      </w:r>
      <w:r w:rsidR="00B14009">
        <w:rPr>
          <w:rFonts w:cstheme="minorHAnsi"/>
        </w:rPr>
        <w:t xml:space="preserve">; </w:t>
      </w:r>
      <w:r w:rsidR="00B14009" w:rsidRPr="00B14009">
        <w:rPr>
          <w:rFonts w:cstheme="minorHAnsi"/>
          <w:b/>
        </w:rPr>
        <w:t>VIT-B</w:t>
      </w:r>
      <w:r w:rsidR="00B14009" w:rsidRPr="00B14009">
        <w:rPr>
          <w:rFonts w:cstheme="minorHAnsi"/>
          <w:b/>
          <w:vertAlign w:val="subscript"/>
        </w:rPr>
        <w:t>3</w:t>
      </w:r>
      <w:r w:rsidR="00B14009">
        <w:rPr>
          <w:rFonts w:cstheme="minorHAnsi"/>
        </w:rPr>
        <w:t>, vitamin B</w:t>
      </w:r>
      <w:r w:rsidR="00B14009" w:rsidRPr="00B14009">
        <w:rPr>
          <w:rFonts w:cstheme="minorHAnsi"/>
          <w:vertAlign w:val="subscript"/>
        </w:rPr>
        <w:t>3</w:t>
      </w:r>
      <w:r w:rsidR="00B14009">
        <w:rPr>
          <w:rFonts w:cstheme="minorHAnsi"/>
        </w:rPr>
        <w:t>;</w:t>
      </w:r>
      <w:r w:rsidR="00991863" w:rsidRPr="00B54A75">
        <w:rPr>
          <w:rFonts w:cstheme="minorHAnsi"/>
        </w:rPr>
        <w:t xml:space="preserve"> </w:t>
      </w:r>
      <w:r w:rsidR="00892187" w:rsidRPr="00B54A75">
        <w:rPr>
          <w:rFonts w:cstheme="minorHAnsi"/>
          <w:b/>
        </w:rPr>
        <w:t>S-Fat</w:t>
      </w:r>
      <w:r w:rsidR="00892187" w:rsidRPr="00B54A75">
        <w:rPr>
          <w:rFonts w:cstheme="minorHAnsi"/>
        </w:rPr>
        <w:t>, saturated fat;</w:t>
      </w:r>
      <w:r w:rsidR="00991863" w:rsidRPr="00B54A75">
        <w:rPr>
          <w:rFonts w:cstheme="minorHAnsi"/>
        </w:rPr>
        <w:t xml:space="preserve"> </w:t>
      </w:r>
      <w:r w:rsidR="00892187" w:rsidRPr="00B54A75">
        <w:rPr>
          <w:rFonts w:cstheme="minorHAnsi"/>
          <w:b/>
        </w:rPr>
        <w:t>T-Fat</w:t>
      </w:r>
      <w:r w:rsidR="00892187" w:rsidRPr="00B54A75">
        <w:rPr>
          <w:rFonts w:cstheme="minorHAnsi"/>
        </w:rPr>
        <w:t>, trans-saturated fats;</w:t>
      </w:r>
      <w:r w:rsidR="00991863" w:rsidRPr="00B54A75">
        <w:rPr>
          <w:rFonts w:cstheme="minorHAnsi"/>
        </w:rPr>
        <w:t xml:space="preserve"> </w:t>
      </w:r>
      <w:r w:rsidR="00ED4C59" w:rsidRPr="00B54A75">
        <w:rPr>
          <w:rFonts w:cstheme="minorHAnsi"/>
          <w:b/>
        </w:rPr>
        <w:t>LL</w:t>
      </w:r>
      <w:r w:rsidR="00ED4C59" w:rsidRPr="00B54A75">
        <w:rPr>
          <w:rFonts w:cstheme="minorHAnsi"/>
        </w:rPr>
        <w:t>, limbic lobe;</w:t>
      </w:r>
      <w:r w:rsidR="00991863" w:rsidRPr="00B54A75">
        <w:rPr>
          <w:rFonts w:cstheme="minorHAnsi"/>
        </w:rPr>
        <w:t xml:space="preserve"> </w:t>
      </w:r>
      <w:r w:rsidR="009459D2" w:rsidRPr="00B54A75">
        <w:rPr>
          <w:rFonts w:cstheme="minorHAnsi"/>
          <w:b/>
        </w:rPr>
        <w:t>NBP</w:t>
      </w:r>
      <w:r w:rsidR="009459D2" w:rsidRPr="00B54A75">
        <w:rPr>
          <w:rFonts w:cstheme="minorHAnsi"/>
        </w:rPr>
        <w:t>, nutrient biomarker pattern;</w:t>
      </w:r>
      <w:r w:rsidR="009F3693">
        <w:rPr>
          <w:rFonts w:cstheme="minorHAnsi"/>
        </w:rPr>
        <w:t xml:space="preserve"> </w:t>
      </w:r>
      <w:r w:rsidR="009F3693" w:rsidRPr="009F3693">
        <w:rPr>
          <w:rFonts w:cstheme="minorHAnsi"/>
          <w:b/>
        </w:rPr>
        <w:t>VIT-C</w:t>
      </w:r>
      <w:r w:rsidR="009F3693">
        <w:rPr>
          <w:rFonts w:cstheme="minorHAnsi"/>
        </w:rPr>
        <w:t>, vitamin C;</w:t>
      </w:r>
      <w:r w:rsidR="00991863" w:rsidRPr="00B54A75">
        <w:rPr>
          <w:rFonts w:cstheme="minorHAnsi"/>
        </w:rPr>
        <w:t xml:space="preserve"> </w:t>
      </w:r>
      <w:proofErr w:type="spellStart"/>
      <w:r w:rsidR="00ED4C59" w:rsidRPr="00B54A75">
        <w:rPr>
          <w:rFonts w:cstheme="minorHAnsi"/>
          <w:b/>
        </w:rPr>
        <w:t>MeDI</w:t>
      </w:r>
      <w:proofErr w:type="spellEnd"/>
      <w:r w:rsidR="00ED4C59" w:rsidRPr="00B54A75">
        <w:rPr>
          <w:rFonts w:cstheme="minorHAnsi"/>
        </w:rPr>
        <w:t xml:space="preserve">, </w:t>
      </w:r>
      <w:proofErr w:type="spellStart"/>
      <w:r w:rsidR="00ED4C59" w:rsidRPr="00B54A75">
        <w:rPr>
          <w:rFonts w:cstheme="minorHAnsi"/>
        </w:rPr>
        <w:t>mediterranean</w:t>
      </w:r>
      <w:proofErr w:type="spellEnd"/>
      <w:r w:rsidR="00ED4C59" w:rsidRPr="00B54A75">
        <w:rPr>
          <w:rFonts w:cstheme="minorHAnsi"/>
        </w:rPr>
        <w:t xml:space="preserve"> </w:t>
      </w:r>
      <w:r w:rsidR="00C4571F" w:rsidRPr="00B54A75">
        <w:rPr>
          <w:rFonts w:cstheme="minorHAnsi"/>
        </w:rPr>
        <w:t xml:space="preserve">style </w:t>
      </w:r>
      <w:r w:rsidR="00ED4C59" w:rsidRPr="00B54A75">
        <w:rPr>
          <w:rFonts w:cstheme="minorHAnsi"/>
        </w:rPr>
        <w:t>diet</w:t>
      </w:r>
      <w:r w:rsidR="00686C2B" w:rsidRPr="00B54A75">
        <w:rPr>
          <w:rFonts w:cstheme="minorHAnsi"/>
        </w:rPr>
        <w:t xml:space="preserve"> score;</w:t>
      </w:r>
      <w:r w:rsidR="00991863" w:rsidRPr="00B54A75">
        <w:rPr>
          <w:rFonts w:cstheme="minorHAnsi"/>
        </w:rPr>
        <w:t xml:space="preserve"> </w:t>
      </w:r>
      <w:r w:rsidR="00551886" w:rsidRPr="00B54A75">
        <w:rPr>
          <w:rFonts w:cstheme="minorHAnsi"/>
          <w:b/>
        </w:rPr>
        <w:t>ERC</w:t>
      </w:r>
      <w:r w:rsidR="00551886" w:rsidRPr="00B54A75">
        <w:rPr>
          <w:rFonts w:cstheme="minorHAnsi"/>
        </w:rPr>
        <w:t>, entorhinal cortex;</w:t>
      </w:r>
      <w:r w:rsidR="00991863" w:rsidRPr="00B54A75">
        <w:rPr>
          <w:rFonts w:cstheme="minorHAnsi"/>
        </w:rPr>
        <w:t xml:space="preserve"> </w:t>
      </w:r>
      <w:proofErr w:type="spellStart"/>
      <w:r w:rsidR="00BD17B8" w:rsidRPr="00B54A75">
        <w:rPr>
          <w:rFonts w:cstheme="minorHAnsi"/>
          <w:b/>
        </w:rPr>
        <w:t>aThR</w:t>
      </w:r>
      <w:proofErr w:type="spellEnd"/>
      <w:r w:rsidR="00BD17B8" w:rsidRPr="00B54A75">
        <w:rPr>
          <w:rFonts w:cstheme="minorHAnsi"/>
        </w:rPr>
        <w:t>, anterior thalamic radiation;</w:t>
      </w:r>
      <w:r w:rsidR="00991863" w:rsidRPr="00B54A75">
        <w:rPr>
          <w:rFonts w:cstheme="minorHAnsi"/>
        </w:rPr>
        <w:t xml:space="preserve"> </w:t>
      </w:r>
      <w:proofErr w:type="spellStart"/>
      <w:r w:rsidR="00BD17B8" w:rsidRPr="00B54A75">
        <w:rPr>
          <w:rFonts w:cstheme="minorHAnsi"/>
          <w:b/>
        </w:rPr>
        <w:t>pThR</w:t>
      </w:r>
      <w:proofErr w:type="spellEnd"/>
      <w:r w:rsidR="00BD17B8" w:rsidRPr="00B54A75">
        <w:rPr>
          <w:rFonts w:cstheme="minorHAnsi"/>
        </w:rPr>
        <w:t>, posterior thalamic radiation;</w:t>
      </w:r>
      <w:r w:rsidR="00991863" w:rsidRPr="00B54A75">
        <w:rPr>
          <w:rFonts w:cstheme="minorHAnsi"/>
        </w:rPr>
        <w:t xml:space="preserve"> </w:t>
      </w:r>
      <w:proofErr w:type="spellStart"/>
      <w:r w:rsidR="00BD17B8" w:rsidRPr="00B54A75">
        <w:rPr>
          <w:rFonts w:cstheme="minorHAnsi"/>
          <w:b/>
        </w:rPr>
        <w:t>pCingG</w:t>
      </w:r>
      <w:proofErr w:type="spellEnd"/>
      <w:r w:rsidR="00BD17B8" w:rsidRPr="00B54A75">
        <w:rPr>
          <w:rFonts w:cstheme="minorHAnsi"/>
        </w:rPr>
        <w:t>, paracingulate gyrus;</w:t>
      </w:r>
      <w:r w:rsidR="00991863" w:rsidRPr="00B54A75">
        <w:rPr>
          <w:rFonts w:cstheme="minorHAnsi"/>
        </w:rPr>
        <w:t xml:space="preserve"> </w:t>
      </w:r>
      <w:proofErr w:type="spellStart"/>
      <w:r w:rsidR="009F3693">
        <w:rPr>
          <w:rFonts w:cstheme="minorHAnsi"/>
          <w:b/>
        </w:rPr>
        <w:t>Para</w:t>
      </w:r>
      <w:r w:rsidR="00BD17B8" w:rsidRPr="00B54A75">
        <w:rPr>
          <w:rFonts w:cstheme="minorHAnsi"/>
          <w:b/>
        </w:rPr>
        <w:t>HC</w:t>
      </w:r>
      <w:proofErr w:type="spellEnd"/>
      <w:r w:rsidR="00BD17B8" w:rsidRPr="00B54A75">
        <w:rPr>
          <w:rFonts w:cstheme="minorHAnsi"/>
          <w:b/>
        </w:rPr>
        <w:t>-F</w:t>
      </w:r>
      <w:r w:rsidR="00BD17B8" w:rsidRPr="00B54A75">
        <w:rPr>
          <w:rFonts w:cstheme="minorHAnsi"/>
        </w:rPr>
        <w:t xml:space="preserve">, </w:t>
      </w:r>
      <w:proofErr w:type="spellStart"/>
      <w:r w:rsidR="00BD17B8" w:rsidRPr="00B54A75">
        <w:rPr>
          <w:rFonts w:cstheme="minorHAnsi"/>
        </w:rPr>
        <w:t>parahippocampal</w:t>
      </w:r>
      <w:proofErr w:type="spellEnd"/>
      <w:r w:rsidR="00BD17B8" w:rsidRPr="00B54A75">
        <w:rPr>
          <w:rFonts w:cstheme="minorHAnsi"/>
        </w:rPr>
        <w:t xml:space="preserve"> fornix;</w:t>
      </w:r>
      <w:r w:rsidR="00991863" w:rsidRPr="00B54A75">
        <w:rPr>
          <w:rFonts w:cstheme="minorHAnsi"/>
        </w:rPr>
        <w:t xml:space="preserve"> </w:t>
      </w:r>
      <w:proofErr w:type="spellStart"/>
      <w:r w:rsidR="00546FE4" w:rsidRPr="00B54A75">
        <w:rPr>
          <w:rFonts w:cstheme="minorHAnsi"/>
          <w:b/>
        </w:rPr>
        <w:t>H</w:t>
      </w:r>
      <w:r w:rsidR="00C4571F" w:rsidRPr="00B54A75">
        <w:rPr>
          <w:rFonts w:cstheme="minorHAnsi"/>
          <w:b/>
        </w:rPr>
        <w:t>MeDI</w:t>
      </w:r>
      <w:proofErr w:type="spellEnd"/>
      <w:r w:rsidR="00C4571F" w:rsidRPr="00B54A75">
        <w:rPr>
          <w:rFonts w:cstheme="minorHAnsi"/>
        </w:rPr>
        <w:t xml:space="preserve">, high </w:t>
      </w:r>
      <w:proofErr w:type="spellStart"/>
      <w:r w:rsidR="00C4571F" w:rsidRPr="00B54A75">
        <w:rPr>
          <w:rFonts w:cstheme="minorHAnsi"/>
        </w:rPr>
        <w:t>mediterranean</w:t>
      </w:r>
      <w:proofErr w:type="spellEnd"/>
      <w:r w:rsidR="00C4571F" w:rsidRPr="00B54A75">
        <w:rPr>
          <w:rFonts w:cstheme="minorHAnsi"/>
        </w:rPr>
        <w:t xml:space="preserve"> style diet score;</w:t>
      </w:r>
      <w:r w:rsidR="00991863" w:rsidRPr="00B54A75">
        <w:rPr>
          <w:rFonts w:cstheme="minorHAnsi"/>
        </w:rPr>
        <w:t xml:space="preserve"> </w:t>
      </w:r>
      <w:proofErr w:type="spellStart"/>
      <w:r w:rsidR="00546FE4" w:rsidRPr="00B54A75">
        <w:rPr>
          <w:rFonts w:cstheme="minorHAnsi"/>
          <w:b/>
        </w:rPr>
        <w:t>L</w:t>
      </w:r>
      <w:r w:rsidR="00C4571F" w:rsidRPr="00B54A75">
        <w:rPr>
          <w:rFonts w:cstheme="minorHAnsi"/>
          <w:b/>
        </w:rPr>
        <w:t>MeDI</w:t>
      </w:r>
      <w:proofErr w:type="spellEnd"/>
      <w:r w:rsidR="00C4571F" w:rsidRPr="00B54A75">
        <w:rPr>
          <w:rFonts w:cstheme="minorHAnsi"/>
        </w:rPr>
        <w:t xml:space="preserve">, low </w:t>
      </w:r>
      <w:proofErr w:type="spellStart"/>
      <w:r w:rsidR="00C4571F" w:rsidRPr="00B54A75">
        <w:rPr>
          <w:rFonts w:cstheme="minorHAnsi"/>
        </w:rPr>
        <w:t>mediterranean</w:t>
      </w:r>
      <w:proofErr w:type="spellEnd"/>
      <w:r w:rsidR="00C4571F" w:rsidRPr="00B54A75">
        <w:rPr>
          <w:rFonts w:cstheme="minorHAnsi"/>
        </w:rPr>
        <w:t xml:space="preserve"> style diet score;</w:t>
      </w:r>
      <w:r w:rsidR="00991863" w:rsidRPr="00B54A75">
        <w:rPr>
          <w:rFonts w:cstheme="minorHAnsi"/>
        </w:rPr>
        <w:t xml:space="preserve"> </w:t>
      </w:r>
      <w:r w:rsidR="009F3693" w:rsidRPr="009F3693">
        <w:rPr>
          <w:rFonts w:cstheme="minorHAnsi"/>
          <w:b/>
        </w:rPr>
        <w:t>OFC</w:t>
      </w:r>
      <w:r w:rsidR="009F3693">
        <w:rPr>
          <w:rFonts w:cstheme="minorHAnsi"/>
        </w:rPr>
        <w:t xml:space="preserve">, </w:t>
      </w:r>
      <w:proofErr w:type="spellStart"/>
      <w:r w:rsidR="009F3693">
        <w:rPr>
          <w:rFonts w:cstheme="minorHAnsi"/>
        </w:rPr>
        <w:t>orbito</w:t>
      </w:r>
      <w:proofErr w:type="spellEnd"/>
      <w:r w:rsidR="009F3693">
        <w:rPr>
          <w:rFonts w:cstheme="minorHAnsi"/>
        </w:rPr>
        <w:t xml:space="preserve"> frontal cortex; </w:t>
      </w:r>
      <w:r w:rsidR="008D05ED" w:rsidRPr="00B54A75">
        <w:rPr>
          <w:rFonts w:cstheme="minorHAnsi"/>
          <w:b/>
        </w:rPr>
        <w:t>P-Diet</w:t>
      </w:r>
      <w:r w:rsidR="008D05ED" w:rsidRPr="00B54A75">
        <w:rPr>
          <w:rFonts w:cstheme="minorHAnsi"/>
        </w:rPr>
        <w:t xml:space="preserve">, prudent diet score; </w:t>
      </w:r>
      <w:proofErr w:type="spellStart"/>
      <w:r w:rsidR="00C4571F" w:rsidRPr="00B54A75">
        <w:rPr>
          <w:rFonts w:cstheme="minorHAnsi"/>
          <w:b/>
        </w:rPr>
        <w:t>WeDI</w:t>
      </w:r>
      <w:proofErr w:type="spellEnd"/>
      <w:r w:rsidR="00C4571F" w:rsidRPr="00B54A75">
        <w:rPr>
          <w:rFonts w:cstheme="minorHAnsi"/>
        </w:rPr>
        <w:t>, Western style diet score</w:t>
      </w:r>
      <w:r w:rsidR="00DF2042" w:rsidRPr="00B54A75">
        <w:rPr>
          <w:rFonts w:cstheme="minorHAnsi"/>
        </w:rPr>
        <w:t>;</w:t>
      </w:r>
      <w:r w:rsidR="00991863" w:rsidRPr="00B54A75">
        <w:rPr>
          <w:rFonts w:cstheme="minorHAnsi"/>
        </w:rPr>
        <w:t xml:space="preserve"> </w:t>
      </w:r>
      <w:r w:rsidR="00DF2042" w:rsidRPr="00B54A75">
        <w:rPr>
          <w:rFonts w:cstheme="minorHAnsi"/>
          <w:b/>
        </w:rPr>
        <w:t>GM-d</w:t>
      </w:r>
      <w:r w:rsidR="00DF2042" w:rsidRPr="00B54A75">
        <w:rPr>
          <w:rFonts w:cstheme="minorHAnsi"/>
        </w:rPr>
        <w:t>, grey matter density;</w:t>
      </w:r>
      <w:r w:rsidR="00991863" w:rsidRPr="00B54A75">
        <w:rPr>
          <w:rFonts w:cstheme="minorHAnsi"/>
        </w:rPr>
        <w:t xml:space="preserve"> </w:t>
      </w:r>
      <w:r w:rsidR="008112AC" w:rsidRPr="00B54A75">
        <w:rPr>
          <w:rFonts w:cstheme="minorHAnsi"/>
          <w:b/>
        </w:rPr>
        <w:t>SQ</w:t>
      </w:r>
      <w:r w:rsidR="00CA1528">
        <w:rPr>
          <w:rFonts w:cstheme="minorHAnsi"/>
        </w:rPr>
        <w:t>, structured questionnaire</w:t>
      </w:r>
      <w:r w:rsidR="00530AD4" w:rsidRPr="00B54A75">
        <w:rPr>
          <w:rFonts w:cstheme="minorHAnsi"/>
        </w:rPr>
        <w:t>;</w:t>
      </w:r>
      <w:r w:rsidR="00991863" w:rsidRPr="00B54A75">
        <w:rPr>
          <w:rFonts w:cstheme="minorHAnsi"/>
        </w:rPr>
        <w:t xml:space="preserve"> </w:t>
      </w:r>
      <w:r w:rsidR="00E7142B" w:rsidRPr="00B54A75">
        <w:rPr>
          <w:rFonts w:cstheme="minorHAnsi"/>
          <w:b/>
        </w:rPr>
        <w:t>APOE</w:t>
      </w:r>
      <w:r w:rsidR="00E7142B" w:rsidRPr="00B54A75">
        <w:rPr>
          <w:rFonts w:cstheme="minorHAnsi"/>
        </w:rPr>
        <w:t xml:space="preserve"> </w:t>
      </w:r>
      <w:r w:rsidR="00E7142B" w:rsidRPr="00B54A75">
        <w:rPr>
          <w:rFonts w:cstheme="minorHAnsi"/>
          <w:b/>
        </w:rPr>
        <w:t>ϵ4</w:t>
      </w:r>
      <w:r w:rsidR="00E7142B" w:rsidRPr="00B54A75">
        <w:rPr>
          <w:rFonts w:cstheme="minorHAnsi"/>
        </w:rPr>
        <w:t>, apo</w:t>
      </w:r>
      <w:r w:rsidR="001965F1" w:rsidRPr="00B54A75">
        <w:rPr>
          <w:rFonts w:cstheme="minorHAnsi"/>
        </w:rPr>
        <w:t>lipoprotein ϵ4;</w:t>
      </w:r>
      <w:r w:rsidR="00991863" w:rsidRPr="00B54A75">
        <w:rPr>
          <w:rFonts w:cstheme="minorHAnsi"/>
        </w:rPr>
        <w:t xml:space="preserve"> </w:t>
      </w:r>
      <w:r w:rsidR="001965F1" w:rsidRPr="00B54A75">
        <w:rPr>
          <w:rFonts w:cstheme="minorHAnsi"/>
          <w:b/>
        </w:rPr>
        <w:t>FFC</w:t>
      </w:r>
      <w:r w:rsidR="001965F1" w:rsidRPr="00B54A75">
        <w:rPr>
          <w:rFonts w:cstheme="minorHAnsi"/>
        </w:rPr>
        <w:t>, frequent fish consumers;</w:t>
      </w:r>
      <w:r w:rsidR="00991863" w:rsidRPr="00B54A75">
        <w:rPr>
          <w:rFonts w:cstheme="minorHAnsi"/>
        </w:rPr>
        <w:t xml:space="preserve"> </w:t>
      </w:r>
      <w:r w:rsidR="001965F1" w:rsidRPr="00B54A75">
        <w:rPr>
          <w:rFonts w:cstheme="minorHAnsi"/>
          <w:b/>
        </w:rPr>
        <w:t>inf-FC</w:t>
      </w:r>
      <w:r w:rsidR="001965F1" w:rsidRPr="00B54A75">
        <w:rPr>
          <w:rFonts w:cstheme="minorHAnsi"/>
        </w:rPr>
        <w:t>, infrequent fish consumers;</w:t>
      </w:r>
      <w:r w:rsidR="00991863" w:rsidRPr="00B54A75">
        <w:rPr>
          <w:rFonts w:cstheme="minorHAnsi"/>
        </w:rPr>
        <w:t xml:space="preserve"> </w:t>
      </w:r>
      <w:proofErr w:type="spellStart"/>
      <w:r w:rsidR="00607DAE" w:rsidRPr="00B54A75">
        <w:rPr>
          <w:rFonts w:cstheme="minorHAnsi"/>
          <w:b/>
        </w:rPr>
        <w:t>preC</w:t>
      </w:r>
      <w:proofErr w:type="spellEnd"/>
      <w:r w:rsidR="00607DAE" w:rsidRPr="00B54A75">
        <w:rPr>
          <w:rFonts w:cstheme="minorHAnsi"/>
        </w:rPr>
        <w:t>, precuneus</w:t>
      </w:r>
      <w:r w:rsidR="00991863" w:rsidRPr="00B54A75">
        <w:rPr>
          <w:rFonts w:cstheme="minorHAnsi"/>
        </w:rPr>
        <w:t xml:space="preserve">. </w:t>
      </w:r>
      <w:r w:rsidR="00991863" w:rsidRPr="00B54A75">
        <w:rPr>
          <w:rFonts w:cstheme="minorHAnsi"/>
          <w:b/>
        </w:rPr>
        <w:t>Symbols:</w:t>
      </w:r>
      <w:r w:rsidR="00991863" w:rsidRPr="00B54A75">
        <w:rPr>
          <w:rFonts w:cstheme="minorHAnsi"/>
        </w:rPr>
        <w:t xml:space="preserve"> </w:t>
      </w:r>
      <w:r w:rsidR="00991863" w:rsidRPr="00B54A75">
        <w:rPr>
          <w:b/>
        </w:rPr>
        <w:t>*</w:t>
      </w:r>
      <w:r w:rsidR="00B1343D" w:rsidRPr="00B54A75">
        <w:rPr>
          <w:b/>
        </w:rPr>
        <w:t xml:space="preserve"> </w:t>
      </w:r>
      <w:r w:rsidR="00523469" w:rsidRPr="00B54A75">
        <w:t>All studies examined blood biomarkers unless otherwise specified;</w:t>
      </w:r>
      <w:r w:rsidR="00FE2D1A" w:rsidRPr="00B54A75">
        <w:rPr>
          <w:rFonts w:cstheme="minorHAnsi"/>
          <w:b/>
        </w:rPr>
        <w:t>†</w:t>
      </w:r>
      <w:r w:rsidR="00B1343D" w:rsidRPr="00B54A75">
        <w:rPr>
          <w:rFonts w:cstheme="minorHAnsi"/>
          <w:b/>
        </w:rPr>
        <w:t xml:space="preserve"> </w:t>
      </w:r>
      <w:r w:rsidR="0076715C" w:rsidRPr="00B54A75">
        <w:t>Study i</w:t>
      </w:r>
      <w:r w:rsidR="00AE3FC7" w:rsidRPr="00B54A75">
        <w:t>ncluded participants with CN, MCI, or AD (</w:t>
      </w:r>
      <w:r w:rsidR="00794B56">
        <w:t xml:space="preserve">baseline </w:t>
      </w:r>
      <w:r w:rsidR="0076715C" w:rsidRPr="00B54A75">
        <w:t>diagnosis were controlled for during analysis)</w:t>
      </w:r>
      <w:r w:rsidR="00991863" w:rsidRPr="00B54A75">
        <w:t xml:space="preserve">; </w:t>
      </w:r>
      <w:r w:rsidR="00FE2D1A" w:rsidRPr="00B54A75">
        <w:rPr>
          <w:rFonts w:cstheme="minorHAnsi"/>
          <w:b/>
        </w:rPr>
        <w:t>‡</w:t>
      </w:r>
      <w:r w:rsidR="00B1343D" w:rsidRPr="00B54A75">
        <w:rPr>
          <w:rFonts w:cstheme="minorHAnsi"/>
        </w:rPr>
        <w:t xml:space="preserve"> </w:t>
      </w:r>
      <w:r w:rsidR="0076715C" w:rsidRPr="00B54A75">
        <w:rPr>
          <w:rFonts w:cstheme="minorHAnsi"/>
        </w:rPr>
        <w:t>Study i</w:t>
      </w:r>
      <w:r w:rsidR="00AE3FC7" w:rsidRPr="00B54A75">
        <w:rPr>
          <w:rFonts w:cstheme="minorHAnsi"/>
        </w:rPr>
        <w:t>nclude</w:t>
      </w:r>
      <w:r w:rsidR="0076715C" w:rsidRPr="00B54A75">
        <w:rPr>
          <w:rFonts w:cstheme="minorHAnsi"/>
        </w:rPr>
        <w:t>d participants (3% of whole sample) with dementia</w:t>
      </w:r>
      <w:r w:rsidR="00AE3FC7" w:rsidRPr="00B54A75">
        <w:rPr>
          <w:rFonts w:cstheme="minorHAnsi"/>
        </w:rPr>
        <w:t xml:space="preserve"> (</w:t>
      </w:r>
      <w:r w:rsidR="0076715C" w:rsidRPr="00B54A75">
        <w:rPr>
          <w:rFonts w:cstheme="minorHAnsi"/>
        </w:rPr>
        <w:t>secondary analysis adjusted for dementia diagnosis)</w:t>
      </w:r>
      <w:r w:rsidR="00CA630B" w:rsidRPr="00B54A75">
        <w:t xml:space="preserve">; </w:t>
      </w:r>
      <w:r w:rsidR="00E4707C" w:rsidRPr="00B54A75">
        <w:rPr>
          <w:rFonts w:cstheme="minorHAnsi"/>
          <w:b/>
        </w:rPr>
        <w:t>§</w:t>
      </w:r>
      <w:r w:rsidR="00E4707C">
        <w:rPr>
          <w:rFonts w:cstheme="minorHAnsi"/>
          <w:b/>
        </w:rPr>
        <w:t xml:space="preserve"> </w:t>
      </w:r>
      <w:r w:rsidR="00E4707C">
        <w:rPr>
          <w:rFonts w:cstheme="minorHAnsi"/>
        </w:rPr>
        <w:t>Confirmation of dementia free status was received through corre</w:t>
      </w:r>
      <w:r w:rsidR="00303DDA">
        <w:rPr>
          <w:rFonts w:cstheme="minorHAnsi"/>
        </w:rPr>
        <w:t>spondence with original authors;</w:t>
      </w:r>
      <w:r w:rsidR="003C25D2" w:rsidRPr="00B54A75">
        <w:rPr>
          <w:rFonts w:cstheme="minorHAnsi"/>
          <w:b/>
        </w:rPr>
        <w:t>|</w:t>
      </w:r>
      <w:r w:rsidR="00B1343D" w:rsidRPr="00B54A75">
        <w:rPr>
          <w:rFonts w:cstheme="minorHAnsi"/>
          <w:b/>
        </w:rPr>
        <w:t xml:space="preserve"> </w:t>
      </w:r>
      <w:r w:rsidR="0076715C" w:rsidRPr="00B54A75">
        <w:t xml:space="preserve">Study included </w:t>
      </w:r>
      <w:r w:rsidR="00B174DF">
        <w:t>one</w:t>
      </w:r>
      <w:r w:rsidR="00CA630B" w:rsidRPr="00B54A75">
        <w:t xml:space="preserve"> participant (</w:t>
      </w:r>
      <w:r w:rsidR="00AE3FC7" w:rsidRPr="00B54A75">
        <w:t xml:space="preserve">&lt; 0.1% of whole sample) </w:t>
      </w:r>
      <w:r w:rsidR="00B174DF">
        <w:t xml:space="preserve">who </w:t>
      </w:r>
      <w:r w:rsidR="00CA630B" w:rsidRPr="00B54A75">
        <w:t xml:space="preserve">developed dementia </w:t>
      </w:r>
      <w:r w:rsidR="00B174DF">
        <w:t>during interval between diet assessment &amp; MRI scan</w:t>
      </w:r>
      <w:r w:rsidR="00CA630B" w:rsidRPr="00B54A75">
        <w:t>;</w:t>
      </w:r>
      <w:r w:rsidR="00303DDA">
        <w:t xml:space="preserve"> </w:t>
      </w:r>
      <w:r w:rsidR="003C25D2" w:rsidRPr="00B54A75">
        <w:rPr>
          <w:rFonts w:cstheme="minorHAnsi"/>
          <w:b/>
        </w:rPr>
        <w:t>¶</w:t>
      </w:r>
      <w:r w:rsidR="00B1343D" w:rsidRPr="00B54A75">
        <w:rPr>
          <w:rFonts w:cstheme="minorHAnsi"/>
          <w:b/>
        </w:rPr>
        <w:t xml:space="preserve"> </w:t>
      </w:r>
      <w:r w:rsidR="0076715C" w:rsidRPr="00B54A75">
        <w:rPr>
          <w:rFonts w:cstheme="minorHAnsi"/>
        </w:rPr>
        <w:t>Study included</w:t>
      </w:r>
      <w:r w:rsidR="00687CB0" w:rsidRPr="00B54A75">
        <w:rPr>
          <w:rFonts w:cstheme="minorHAnsi"/>
        </w:rPr>
        <w:t xml:space="preserve"> </w:t>
      </w:r>
      <w:r w:rsidR="00BD13B8">
        <w:rPr>
          <w:rFonts w:cstheme="minorHAnsi"/>
        </w:rPr>
        <w:t>4</w:t>
      </w:r>
      <w:r w:rsidR="00AE3FC7" w:rsidRPr="00B54A75">
        <w:rPr>
          <w:rFonts w:cstheme="minorHAnsi"/>
        </w:rPr>
        <w:t xml:space="preserve"> participants with dementia (analysis was repeated following exclusion of dementia cases</w:t>
      </w:r>
      <w:r w:rsidR="00303DDA">
        <w:rPr>
          <w:rFonts w:cstheme="minorHAnsi"/>
        </w:rPr>
        <w:t xml:space="preserve"> in supplementary analysis</w:t>
      </w:r>
      <w:r w:rsidR="00AE3FC7" w:rsidRPr="00B54A75">
        <w:rPr>
          <w:rFonts w:cstheme="minorHAnsi"/>
        </w:rPr>
        <w:t>)</w:t>
      </w:r>
      <w:r w:rsidR="00546FE4" w:rsidRPr="00B54A75">
        <w:rPr>
          <w:rFonts w:cstheme="minorHAnsi"/>
        </w:rPr>
        <w:t>;</w:t>
      </w:r>
      <w:r w:rsidR="00523469" w:rsidRPr="00B54A75">
        <w:rPr>
          <w:rFonts w:cstheme="minorHAnsi"/>
        </w:rPr>
        <w:t xml:space="preserve"> </w:t>
      </w:r>
      <w:r w:rsidR="003C25D2" w:rsidRPr="00B54A75">
        <w:rPr>
          <w:rFonts w:cstheme="minorHAnsi"/>
          <w:b/>
        </w:rPr>
        <w:t>**</w:t>
      </w:r>
      <w:r w:rsidR="00B1343D" w:rsidRPr="00B54A75">
        <w:rPr>
          <w:rFonts w:cstheme="minorHAnsi"/>
          <w:b/>
        </w:rPr>
        <w:t xml:space="preserve"> </w:t>
      </w:r>
      <w:r w:rsidR="0076715C" w:rsidRPr="00B54A75">
        <w:rPr>
          <w:rFonts w:cstheme="minorHAnsi"/>
        </w:rPr>
        <w:t>Study i</w:t>
      </w:r>
      <w:r w:rsidR="00104A70" w:rsidRPr="00B54A75">
        <w:rPr>
          <w:rFonts w:cstheme="minorHAnsi"/>
        </w:rPr>
        <w:t>ncluded 28 dementia cases (</w:t>
      </w:r>
      <w:r w:rsidR="0076715C" w:rsidRPr="00B54A75">
        <w:rPr>
          <w:rFonts w:cstheme="minorHAnsi"/>
        </w:rPr>
        <w:t>analysis was repeated following exclusion of dementia cases</w:t>
      </w:r>
      <w:r w:rsidR="009957A6">
        <w:rPr>
          <w:rFonts w:cstheme="minorHAnsi"/>
        </w:rPr>
        <w:t xml:space="preserve"> in sensitivity analysis</w:t>
      </w:r>
      <w:r w:rsidR="0076715C" w:rsidRPr="00B54A75">
        <w:rPr>
          <w:rFonts w:cstheme="minorHAnsi"/>
        </w:rPr>
        <w:t>)</w:t>
      </w:r>
      <w:r w:rsidR="00546FE4" w:rsidRPr="00B54A75">
        <w:rPr>
          <w:rFonts w:cstheme="minorHAnsi"/>
        </w:rPr>
        <w:t xml:space="preserve">; </w:t>
      </w:r>
      <w:r w:rsidR="003C25D2" w:rsidRPr="00B54A75">
        <w:rPr>
          <w:rFonts w:cstheme="minorHAnsi"/>
          <w:b/>
        </w:rPr>
        <w:t>††</w:t>
      </w:r>
      <w:r w:rsidR="00546FE4" w:rsidRPr="00B54A75">
        <w:rPr>
          <w:rFonts w:cstheme="minorHAnsi"/>
        </w:rPr>
        <w:t xml:space="preserve"> </w:t>
      </w:r>
      <w:r w:rsidR="00687CB0" w:rsidRPr="00B54A75">
        <w:rPr>
          <w:rFonts w:cstheme="minorHAnsi"/>
        </w:rPr>
        <w:t>Study included 22 dementia or suspected dementia cases (analysis was repeated fo</w:t>
      </w:r>
      <w:r w:rsidR="00CA630B" w:rsidRPr="00B54A75">
        <w:rPr>
          <w:rFonts w:cstheme="minorHAnsi"/>
        </w:rPr>
        <w:t>llowing exclusion of dementia &amp;</w:t>
      </w:r>
      <w:r w:rsidR="00687CB0" w:rsidRPr="00B54A75">
        <w:rPr>
          <w:rFonts w:cstheme="minorHAnsi"/>
        </w:rPr>
        <w:t xml:space="preserve"> suspected dementia cases</w:t>
      </w:r>
      <w:r w:rsidR="00303DDA">
        <w:rPr>
          <w:rFonts w:cstheme="minorHAnsi"/>
        </w:rPr>
        <w:t xml:space="preserve"> in supplementary analysis</w:t>
      </w:r>
      <w:r w:rsidR="00687CB0" w:rsidRPr="00B54A75">
        <w:rPr>
          <w:rFonts w:cstheme="minorHAnsi"/>
        </w:rPr>
        <w:t>)</w:t>
      </w:r>
      <w:r w:rsidR="00546FE4" w:rsidRPr="00B54A75">
        <w:rPr>
          <w:rFonts w:cstheme="minorHAnsi"/>
        </w:rPr>
        <w:t>;</w:t>
      </w:r>
      <w:r w:rsidR="00CA630B" w:rsidRPr="00B54A75">
        <w:rPr>
          <w:rFonts w:cstheme="minorHAnsi"/>
        </w:rPr>
        <w:t xml:space="preserve"> </w:t>
      </w:r>
      <w:r w:rsidR="00E25240" w:rsidRPr="00B54A75">
        <w:rPr>
          <w:rFonts w:cstheme="minorHAnsi"/>
          <w:b/>
        </w:rPr>
        <w:t>↑</w:t>
      </w:r>
      <w:r w:rsidR="006F2F0B" w:rsidRPr="00B54A75">
        <w:t xml:space="preserve"> Greater/Increased</w:t>
      </w:r>
      <w:r w:rsidR="00546FE4" w:rsidRPr="00B54A75">
        <w:t xml:space="preserve">; </w:t>
      </w:r>
      <w:r w:rsidR="00E25240" w:rsidRPr="00B54A75">
        <w:rPr>
          <w:rFonts w:cstheme="minorHAnsi"/>
          <w:b/>
        </w:rPr>
        <w:t>↓</w:t>
      </w:r>
      <w:r w:rsidR="006F2F0B" w:rsidRPr="00B54A75">
        <w:t xml:space="preserve"> Lower/Decreased</w:t>
      </w:r>
      <w:r w:rsidR="00546FE4" w:rsidRPr="00B54A75">
        <w:t>.</w:t>
      </w:r>
    </w:p>
    <w:p w:rsidR="006F2F0B" w:rsidRPr="00B54A75" w:rsidRDefault="006F2F0B" w:rsidP="006F2F0B"/>
    <w:p w:rsidR="00F71ADF" w:rsidRPr="00B54A75" w:rsidRDefault="00F71ADF" w:rsidP="006F2F0B">
      <w:pPr>
        <w:sectPr w:rsidR="00F71ADF" w:rsidRPr="00B54A75" w:rsidSect="00291B3D">
          <w:pgSz w:w="16838" w:h="11906" w:orient="landscape"/>
          <w:pgMar w:top="1440" w:right="1440" w:bottom="1440" w:left="851" w:header="708" w:footer="708" w:gutter="0"/>
          <w:cols w:space="708"/>
          <w:docGrid w:linePitch="360"/>
        </w:sectPr>
      </w:pPr>
    </w:p>
    <w:p w:rsidR="006F2F0B" w:rsidRPr="00B54A75" w:rsidRDefault="006F2F0B" w:rsidP="006F2F0B"/>
    <w:p w:rsidR="00F71ADF" w:rsidRPr="00B54A75" w:rsidRDefault="00F71ADF" w:rsidP="006F2F0B"/>
    <w:p w:rsidR="001B6432" w:rsidRPr="00B54A75" w:rsidRDefault="00F71ADF" w:rsidP="001B6432">
      <w:r w:rsidRPr="00B54A75">
        <w:t>References</w:t>
      </w:r>
    </w:p>
    <w:p w:rsidR="00C73D5C" w:rsidRPr="00C73D5C" w:rsidRDefault="001B6432" w:rsidP="00C73D5C">
      <w:pPr>
        <w:widowControl w:val="0"/>
        <w:autoSpaceDE w:val="0"/>
        <w:autoSpaceDN w:val="0"/>
        <w:adjustRightInd w:val="0"/>
        <w:spacing w:before="100" w:after="100" w:line="240" w:lineRule="auto"/>
        <w:ind w:left="640" w:hanging="640"/>
        <w:rPr>
          <w:rFonts w:ascii="Calibri" w:hAnsi="Calibri" w:cs="Calibri"/>
          <w:noProof/>
          <w:szCs w:val="24"/>
        </w:rPr>
      </w:pPr>
      <w:r w:rsidRPr="00B54A75">
        <w:rPr>
          <w:rFonts w:ascii="Times New Roman" w:eastAsiaTheme="minorEastAsia" w:hAnsi="Times New Roman" w:cs="Times New Roman"/>
          <w:sz w:val="24"/>
          <w:szCs w:val="24"/>
          <w:lang w:eastAsia="en-AU"/>
        </w:rPr>
        <w:fldChar w:fldCharType="begin" w:fldLock="1"/>
      </w:r>
      <w:r w:rsidRPr="00B54A75">
        <w:instrText xml:space="preserve">ADDIN Mendeley Bibliography CSL_BIBLIOGRAPHY </w:instrText>
      </w:r>
      <w:r w:rsidRPr="00B54A75">
        <w:rPr>
          <w:rFonts w:ascii="Times New Roman" w:eastAsiaTheme="minorEastAsia" w:hAnsi="Times New Roman" w:cs="Times New Roman"/>
          <w:sz w:val="24"/>
          <w:szCs w:val="24"/>
          <w:lang w:eastAsia="en-AU"/>
        </w:rPr>
        <w:fldChar w:fldCharType="separate"/>
      </w:r>
      <w:r w:rsidR="00C73D5C" w:rsidRPr="00C73D5C">
        <w:rPr>
          <w:rFonts w:ascii="Calibri" w:hAnsi="Calibri" w:cs="Calibri"/>
          <w:noProof/>
          <w:szCs w:val="24"/>
        </w:rPr>
        <w:t xml:space="preserve">1. </w:t>
      </w:r>
      <w:r w:rsidR="00C73D5C" w:rsidRPr="00C73D5C">
        <w:rPr>
          <w:rFonts w:ascii="Calibri" w:hAnsi="Calibri" w:cs="Calibri"/>
          <w:noProof/>
          <w:szCs w:val="24"/>
        </w:rPr>
        <w:tab/>
        <w:t xml:space="preserve">Tan B, Venketasubramanian N, Vrooman H, et al. (2018) Homocysteine and Cerebral Atrophy: The Epidemiology of Dementia in Singapore Study. </w:t>
      </w:r>
      <w:r w:rsidR="00C73D5C" w:rsidRPr="00C73D5C">
        <w:rPr>
          <w:rFonts w:ascii="Calibri" w:hAnsi="Calibri" w:cs="Calibri"/>
          <w:i/>
          <w:iCs/>
          <w:noProof/>
          <w:szCs w:val="24"/>
        </w:rPr>
        <w:t>J. Alzheimer’s Dis.</w:t>
      </w:r>
      <w:r w:rsidR="00C73D5C" w:rsidRPr="00C73D5C">
        <w:rPr>
          <w:rFonts w:ascii="Calibri" w:hAnsi="Calibri" w:cs="Calibri"/>
          <w:noProof/>
          <w:szCs w:val="24"/>
        </w:rPr>
        <w:t xml:space="preserve"> </w:t>
      </w:r>
      <w:r w:rsidR="00C73D5C" w:rsidRPr="00C73D5C">
        <w:rPr>
          <w:rFonts w:ascii="Calibri" w:hAnsi="Calibri" w:cs="Calibri"/>
          <w:b/>
          <w:bCs/>
          <w:noProof/>
          <w:szCs w:val="24"/>
        </w:rPr>
        <w:t>62</w:t>
      </w:r>
      <w:r w:rsidR="00C73D5C" w:rsidRPr="00C73D5C">
        <w:rPr>
          <w:rFonts w:ascii="Calibri" w:hAnsi="Calibri" w:cs="Calibri"/>
          <w:noProof/>
          <w:szCs w:val="24"/>
        </w:rPr>
        <w:t>, 877–885.</w:t>
      </w:r>
    </w:p>
    <w:p w:rsidR="00C73D5C" w:rsidRPr="00C73D5C" w:rsidRDefault="00C73D5C" w:rsidP="00C73D5C">
      <w:pPr>
        <w:widowControl w:val="0"/>
        <w:autoSpaceDE w:val="0"/>
        <w:autoSpaceDN w:val="0"/>
        <w:adjustRightInd w:val="0"/>
        <w:spacing w:before="100" w:after="100" w:line="240" w:lineRule="auto"/>
        <w:ind w:left="640" w:hanging="640"/>
        <w:rPr>
          <w:rFonts w:ascii="Calibri" w:hAnsi="Calibri" w:cs="Calibri"/>
          <w:noProof/>
          <w:szCs w:val="24"/>
        </w:rPr>
      </w:pPr>
      <w:r w:rsidRPr="00C73D5C">
        <w:rPr>
          <w:rFonts w:ascii="Calibri" w:hAnsi="Calibri" w:cs="Calibri"/>
          <w:noProof/>
          <w:szCs w:val="24"/>
        </w:rPr>
        <w:t xml:space="preserve">2. </w:t>
      </w:r>
      <w:r w:rsidRPr="00C73D5C">
        <w:rPr>
          <w:rFonts w:ascii="Calibri" w:hAnsi="Calibri" w:cs="Calibri"/>
          <w:noProof/>
          <w:szCs w:val="24"/>
        </w:rPr>
        <w:tab/>
        <w:t xml:space="preserve">Kobe T, Witte AV, Schnelle A, et al. (2016) Vitamin B-12 concentration, memory performance, and hippocampal structure in patients with mild cognitive impairment. </w:t>
      </w:r>
      <w:r w:rsidRPr="00C73D5C">
        <w:rPr>
          <w:rFonts w:ascii="Calibri" w:hAnsi="Calibri" w:cs="Calibri"/>
          <w:i/>
          <w:iCs/>
          <w:noProof/>
          <w:szCs w:val="24"/>
        </w:rPr>
        <w:t>Am. J. Clin. Nutr.</w:t>
      </w:r>
      <w:r w:rsidRPr="00C73D5C">
        <w:rPr>
          <w:rFonts w:ascii="Calibri" w:hAnsi="Calibri" w:cs="Calibri"/>
          <w:noProof/>
          <w:szCs w:val="24"/>
        </w:rPr>
        <w:t xml:space="preserve"> </w:t>
      </w:r>
      <w:r w:rsidRPr="00C73D5C">
        <w:rPr>
          <w:rFonts w:ascii="Calibri" w:hAnsi="Calibri" w:cs="Calibri"/>
          <w:b/>
          <w:bCs/>
          <w:noProof/>
          <w:szCs w:val="24"/>
        </w:rPr>
        <w:t>103</w:t>
      </w:r>
      <w:r w:rsidRPr="00C73D5C">
        <w:rPr>
          <w:rFonts w:ascii="Calibri" w:hAnsi="Calibri" w:cs="Calibri"/>
          <w:noProof/>
          <w:szCs w:val="24"/>
        </w:rPr>
        <w:t>, 1045–1054.</w:t>
      </w:r>
    </w:p>
    <w:p w:rsidR="00C73D5C" w:rsidRPr="00C73D5C" w:rsidRDefault="00C73D5C" w:rsidP="00C73D5C">
      <w:pPr>
        <w:widowControl w:val="0"/>
        <w:autoSpaceDE w:val="0"/>
        <w:autoSpaceDN w:val="0"/>
        <w:adjustRightInd w:val="0"/>
        <w:spacing w:before="100" w:after="100" w:line="240" w:lineRule="auto"/>
        <w:ind w:left="640" w:hanging="640"/>
        <w:rPr>
          <w:rFonts w:ascii="Calibri" w:hAnsi="Calibri" w:cs="Calibri"/>
          <w:noProof/>
          <w:szCs w:val="24"/>
        </w:rPr>
      </w:pPr>
      <w:r w:rsidRPr="00C73D5C">
        <w:rPr>
          <w:rFonts w:ascii="Calibri" w:hAnsi="Calibri" w:cs="Calibri"/>
          <w:noProof/>
          <w:szCs w:val="24"/>
        </w:rPr>
        <w:t xml:space="preserve">3. </w:t>
      </w:r>
      <w:r w:rsidRPr="00C73D5C">
        <w:rPr>
          <w:rFonts w:ascii="Calibri" w:hAnsi="Calibri" w:cs="Calibri"/>
          <w:noProof/>
          <w:szCs w:val="24"/>
        </w:rPr>
        <w:tab/>
        <w:t xml:space="preserve">Hsu J-L, Chen W-H, Bai C-H, et al. (2015) Microstructural white matter tissue characteristics are modulated by homocysteine: a diffusion tensor imaging study. </w:t>
      </w:r>
      <w:r w:rsidRPr="00C73D5C">
        <w:rPr>
          <w:rFonts w:ascii="Calibri" w:hAnsi="Calibri" w:cs="Calibri"/>
          <w:i/>
          <w:iCs/>
          <w:noProof/>
          <w:szCs w:val="24"/>
        </w:rPr>
        <w:t>PLoS One</w:t>
      </w:r>
      <w:r w:rsidRPr="00C73D5C">
        <w:rPr>
          <w:rFonts w:ascii="Calibri" w:hAnsi="Calibri" w:cs="Calibri"/>
          <w:noProof/>
          <w:szCs w:val="24"/>
        </w:rPr>
        <w:t xml:space="preserve"> </w:t>
      </w:r>
      <w:r w:rsidRPr="00C73D5C">
        <w:rPr>
          <w:rFonts w:ascii="Calibri" w:hAnsi="Calibri" w:cs="Calibri"/>
          <w:b/>
          <w:bCs/>
          <w:noProof/>
          <w:szCs w:val="24"/>
        </w:rPr>
        <w:t>10</w:t>
      </w:r>
      <w:r w:rsidRPr="00C73D5C">
        <w:rPr>
          <w:rFonts w:ascii="Calibri" w:hAnsi="Calibri" w:cs="Calibri"/>
          <w:noProof/>
          <w:szCs w:val="24"/>
        </w:rPr>
        <w:t>, e0116330.</w:t>
      </w:r>
    </w:p>
    <w:p w:rsidR="00C73D5C" w:rsidRPr="00C73D5C" w:rsidRDefault="00C73D5C" w:rsidP="00C73D5C">
      <w:pPr>
        <w:widowControl w:val="0"/>
        <w:autoSpaceDE w:val="0"/>
        <w:autoSpaceDN w:val="0"/>
        <w:adjustRightInd w:val="0"/>
        <w:spacing w:before="100" w:after="100" w:line="240" w:lineRule="auto"/>
        <w:ind w:left="640" w:hanging="640"/>
        <w:rPr>
          <w:rFonts w:ascii="Calibri" w:hAnsi="Calibri" w:cs="Calibri"/>
          <w:noProof/>
          <w:szCs w:val="24"/>
        </w:rPr>
      </w:pPr>
      <w:r w:rsidRPr="00C73D5C">
        <w:rPr>
          <w:rFonts w:ascii="Calibri" w:hAnsi="Calibri" w:cs="Calibri"/>
          <w:noProof/>
          <w:szCs w:val="24"/>
        </w:rPr>
        <w:t xml:space="preserve">4. </w:t>
      </w:r>
      <w:r w:rsidRPr="00C73D5C">
        <w:rPr>
          <w:rFonts w:ascii="Calibri" w:hAnsi="Calibri" w:cs="Calibri"/>
          <w:noProof/>
          <w:szCs w:val="24"/>
        </w:rPr>
        <w:tab/>
        <w:t xml:space="preserve">Madsen SK, Rajagopalan P, Joshi SH, et al. (2015) Higher homocysteine associated with thinner cortical gray matter in 803 participants from the Alzheimer’s Disease Neuroimaging Initiative. </w:t>
      </w:r>
      <w:r w:rsidRPr="00C73D5C">
        <w:rPr>
          <w:rFonts w:ascii="Calibri" w:hAnsi="Calibri" w:cs="Calibri"/>
          <w:i/>
          <w:iCs/>
          <w:noProof/>
          <w:szCs w:val="24"/>
        </w:rPr>
        <w:t>Neurobiol. Aging</w:t>
      </w:r>
      <w:r w:rsidRPr="00C73D5C">
        <w:rPr>
          <w:rFonts w:ascii="Calibri" w:hAnsi="Calibri" w:cs="Calibri"/>
          <w:noProof/>
          <w:szCs w:val="24"/>
        </w:rPr>
        <w:t xml:space="preserve"> </w:t>
      </w:r>
      <w:r w:rsidRPr="00C73D5C">
        <w:rPr>
          <w:rFonts w:ascii="Calibri" w:hAnsi="Calibri" w:cs="Calibri"/>
          <w:b/>
          <w:bCs/>
          <w:noProof/>
          <w:szCs w:val="24"/>
        </w:rPr>
        <w:t>36</w:t>
      </w:r>
      <w:r w:rsidR="00CD6CEA">
        <w:rPr>
          <w:rFonts w:ascii="Calibri" w:hAnsi="Calibri" w:cs="Calibri"/>
          <w:noProof/>
          <w:szCs w:val="24"/>
        </w:rPr>
        <w:t>, S203–S210</w:t>
      </w:r>
      <w:r w:rsidRPr="00C73D5C">
        <w:rPr>
          <w:rFonts w:ascii="Calibri" w:hAnsi="Calibri" w:cs="Calibri"/>
          <w:noProof/>
          <w:szCs w:val="24"/>
        </w:rPr>
        <w:t>.</w:t>
      </w:r>
    </w:p>
    <w:p w:rsidR="00C73D5C" w:rsidRPr="00C73D5C" w:rsidRDefault="00C73D5C" w:rsidP="00C73D5C">
      <w:pPr>
        <w:widowControl w:val="0"/>
        <w:autoSpaceDE w:val="0"/>
        <w:autoSpaceDN w:val="0"/>
        <w:adjustRightInd w:val="0"/>
        <w:spacing w:before="100" w:after="100" w:line="240" w:lineRule="auto"/>
        <w:ind w:left="640" w:hanging="640"/>
        <w:rPr>
          <w:rFonts w:ascii="Calibri" w:hAnsi="Calibri" w:cs="Calibri"/>
          <w:noProof/>
          <w:szCs w:val="24"/>
        </w:rPr>
      </w:pPr>
      <w:r w:rsidRPr="00C73D5C">
        <w:rPr>
          <w:rFonts w:ascii="Calibri" w:hAnsi="Calibri" w:cs="Calibri"/>
          <w:noProof/>
          <w:szCs w:val="24"/>
        </w:rPr>
        <w:t xml:space="preserve">5. </w:t>
      </w:r>
      <w:r w:rsidRPr="00C73D5C">
        <w:rPr>
          <w:rFonts w:ascii="Calibri" w:hAnsi="Calibri" w:cs="Calibri"/>
          <w:noProof/>
          <w:szCs w:val="24"/>
        </w:rPr>
        <w:tab/>
        <w:t xml:space="preserve">Bettcher BM, Watson CL, Walsh CM, et al. (2014) Interleukin-6, age, and corpus callosum integrity. </w:t>
      </w:r>
      <w:r w:rsidRPr="00C73D5C">
        <w:rPr>
          <w:rFonts w:ascii="Calibri" w:hAnsi="Calibri" w:cs="Calibri"/>
          <w:i/>
          <w:iCs/>
          <w:noProof/>
          <w:szCs w:val="24"/>
        </w:rPr>
        <w:t>PLoS One</w:t>
      </w:r>
      <w:r w:rsidRPr="00C73D5C">
        <w:rPr>
          <w:rFonts w:ascii="Calibri" w:hAnsi="Calibri" w:cs="Calibri"/>
          <w:noProof/>
          <w:szCs w:val="24"/>
        </w:rPr>
        <w:t xml:space="preserve"> </w:t>
      </w:r>
      <w:r w:rsidRPr="00C73D5C">
        <w:rPr>
          <w:rFonts w:ascii="Calibri" w:hAnsi="Calibri" w:cs="Calibri"/>
          <w:b/>
          <w:bCs/>
          <w:noProof/>
          <w:szCs w:val="24"/>
        </w:rPr>
        <w:t>9</w:t>
      </w:r>
      <w:r w:rsidRPr="00C73D5C">
        <w:rPr>
          <w:rFonts w:ascii="Calibri" w:hAnsi="Calibri" w:cs="Calibri"/>
          <w:noProof/>
          <w:szCs w:val="24"/>
        </w:rPr>
        <w:t>, e106521.</w:t>
      </w:r>
    </w:p>
    <w:p w:rsidR="00C73D5C" w:rsidRPr="00C73D5C" w:rsidRDefault="00C73D5C" w:rsidP="00C73D5C">
      <w:pPr>
        <w:widowControl w:val="0"/>
        <w:autoSpaceDE w:val="0"/>
        <w:autoSpaceDN w:val="0"/>
        <w:adjustRightInd w:val="0"/>
        <w:spacing w:before="100" w:after="100" w:line="240" w:lineRule="auto"/>
        <w:ind w:left="640" w:hanging="640"/>
        <w:rPr>
          <w:rFonts w:ascii="Calibri" w:hAnsi="Calibri" w:cs="Calibri"/>
          <w:noProof/>
          <w:szCs w:val="24"/>
        </w:rPr>
      </w:pPr>
      <w:r w:rsidRPr="00C73D5C">
        <w:rPr>
          <w:rFonts w:ascii="Calibri" w:hAnsi="Calibri" w:cs="Calibri"/>
          <w:noProof/>
          <w:szCs w:val="24"/>
        </w:rPr>
        <w:t xml:space="preserve">6. </w:t>
      </w:r>
      <w:r w:rsidRPr="00C73D5C">
        <w:rPr>
          <w:rFonts w:ascii="Calibri" w:hAnsi="Calibri" w:cs="Calibri"/>
          <w:noProof/>
          <w:szCs w:val="24"/>
        </w:rPr>
        <w:tab/>
        <w:t xml:space="preserve">Feng L, Isaac V, Sim S, et al. (2013) Associations Between Elevated Homocysteine, Cognitive Impairment, and Reduced White Matter Volume in Healthy Old Adults. </w:t>
      </w:r>
      <w:r w:rsidRPr="00C73D5C">
        <w:rPr>
          <w:rFonts w:ascii="Calibri" w:hAnsi="Calibri" w:cs="Calibri"/>
          <w:i/>
          <w:iCs/>
          <w:noProof/>
          <w:szCs w:val="24"/>
        </w:rPr>
        <w:t>Am. J. Geriatr. Psychiatry</w:t>
      </w:r>
      <w:r w:rsidRPr="00C73D5C">
        <w:rPr>
          <w:rFonts w:ascii="Calibri" w:hAnsi="Calibri" w:cs="Calibri"/>
          <w:noProof/>
          <w:szCs w:val="24"/>
        </w:rPr>
        <w:t xml:space="preserve"> </w:t>
      </w:r>
      <w:r w:rsidRPr="00C73D5C">
        <w:rPr>
          <w:rFonts w:ascii="Calibri" w:hAnsi="Calibri" w:cs="Calibri"/>
          <w:b/>
          <w:bCs/>
          <w:noProof/>
          <w:szCs w:val="24"/>
        </w:rPr>
        <w:t>21</w:t>
      </w:r>
      <w:r w:rsidRPr="00C73D5C">
        <w:rPr>
          <w:rFonts w:ascii="Calibri" w:hAnsi="Calibri" w:cs="Calibri"/>
          <w:noProof/>
          <w:szCs w:val="24"/>
        </w:rPr>
        <w:t>, 164–172.</w:t>
      </w:r>
    </w:p>
    <w:p w:rsidR="00C73D5C" w:rsidRPr="00C73D5C" w:rsidRDefault="00C73D5C" w:rsidP="00C73D5C">
      <w:pPr>
        <w:widowControl w:val="0"/>
        <w:autoSpaceDE w:val="0"/>
        <w:autoSpaceDN w:val="0"/>
        <w:adjustRightInd w:val="0"/>
        <w:spacing w:before="100" w:after="100" w:line="240" w:lineRule="auto"/>
        <w:ind w:left="640" w:hanging="640"/>
        <w:rPr>
          <w:rFonts w:ascii="Calibri" w:hAnsi="Calibri" w:cs="Calibri"/>
          <w:noProof/>
          <w:szCs w:val="24"/>
        </w:rPr>
      </w:pPr>
      <w:r w:rsidRPr="00C73D5C">
        <w:rPr>
          <w:rFonts w:ascii="Calibri" w:hAnsi="Calibri" w:cs="Calibri"/>
          <w:noProof/>
          <w:szCs w:val="24"/>
        </w:rPr>
        <w:t xml:space="preserve">7. </w:t>
      </w:r>
      <w:r w:rsidRPr="00C73D5C">
        <w:rPr>
          <w:rFonts w:ascii="Calibri" w:hAnsi="Calibri" w:cs="Calibri"/>
          <w:noProof/>
          <w:szCs w:val="24"/>
        </w:rPr>
        <w:tab/>
        <w:t xml:space="preserve">Ford AH, Garrido GJ, Beer C, et al. (2012) Homocysteine, grey matter and cognitive function in adults with cardiovascular disease. </w:t>
      </w:r>
      <w:r w:rsidRPr="00C73D5C">
        <w:rPr>
          <w:rFonts w:ascii="Calibri" w:hAnsi="Calibri" w:cs="Calibri"/>
          <w:i/>
          <w:iCs/>
          <w:noProof/>
          <w:szCs w:val="24"/>
        </w:rPr>
        <w:t>PLoS One</w:t>
      </w:r>
      <w:r w:rsidRPr="00C73D5C">
        <w:rPr>
          <w:rFonts w:ascii="Calibri" w:hAnsi="Calibri" w:cs="Calibri"/>
          <w:noProof/>
          <w:szCs w:val="24"/>
        </w:rPr>
        <w:t xml:space="preserve"> </w:t>
      </w:r>
      <w:r w:rsidRPr="00C73D5C">
        <w:rPr>
          <w:rFonts w:ascii="Calibri" w:hAnsi="Calibri" w:cs="Calibri"/>
          <w:b/>
          <w:bCs/>
          <w:noProof/>
          <w:szCs w:val="24"/>
        </w:rPr>
        <w:t>7</w:t>
      </w:r>
      <w:r w:rsidRPr="00C73D5C">
        <w:rPr>
          <w:rFonts w:ascii="Calibri" w:hAnsi="Calibri" w:cs="Calibri"/>
          <w:noProof/>
          <w:szCs w:val="24"/>
        </w:rPr>
        <w:t>, e33345.</w:t>
      </w:r>
    </w:p>
    <w:p w:rsidR="00C73D5C" w:rsidRPr="00C73D5C" w:rsidRDefault="00C73D5C" w:rsidP="00C73D5C">
      <w:pPr>
        <w:widowControl w:val="0"/>
        <w:autoSpaceDE w:val="0"/>
        <w:autoSpaceDN w:val="0"/>
        <w:adjustRightInd w:val="0"/>
        <w:spacing w:before="100" w:after="100" w:line="240" w:lineRule="auto"/>
        <w:ind w:left="640" w:hanging="640"/>
        <w:rPr>
          <w:rFonts w:ascii="Calibri" w:hAnsi="Calibri" w:cs="Calibri"/>
          <w:noProof/>
          <w:szCs w:val="24"/>
        </w:rPr>
      </w:pPr>
      <w:r w:rsidRPr="00C73D5C">
        <w:rPr>
          <w:rFonts w:ascii="Calibri" w:hAnsi="Calibri" w:cs="Calibri"/>
          <w:noProof/>
          <w:szCs w:val="24"/>
        </w:rPr>
        <w:t xml:space="preserve">8. </w:t>
      </w:r>
      <w:r w:rsidRPr="00C73D5C">
        <w:rPr>
          <w:rFonts w:ascii="Calibri" w:hAnsi="Calibri" w:cs="Calibri"/>
          <w:noProof/>
          <w:szCs w:val="24"/>
        </w:rPr>
        <w:tab/>
        <w:t xml:space="preserve">Raz N, Yang Y, Dahle CL, et al. (2012) Volume of white matter hyperintensities in healthy adults: contribution of age, vascular risk factors, and inflammation-related genetic variants. </w:t>
      </w:r>
      <w:r w:rsidRPr="00C73D5C">
        <w:rPr>
          <w:rFonts w:ascii="Calibri" w:hAnsi="Calibri" w:cs="Calibri"/>
          <w:i/>
          <w:iCs/>
          <w:noProof/>
          <w:szCs w:val="24"/>
        </w:rPr>
        <w:t>Biochim. Biophys. Acta</w:t>
      </w:r>
      <w:r w:rsidRPr="00C73D5C">
        <w:rPr>
          <w:rFonts w:ascii="Calibri" w:hAnsi="Calibri" w:cs="Calibri"/>
          <w:noProof/>
          <w:szCs w:val="24"/>
        </w:rPr>
        <w:t xml:space="preserve"> </w:t>
      </w:r>
      <w:r w:rsidRPr="00C73D5C">
        <w:rPr>
          <w:rFonts w:ascii="Calibri" w:hAnsi="Calibri" w:cs="Calibri"/>
          <w:b/>
          <w:bCs/>
          <w:noProof/>
          <w:szCs w:val="24"/>
        </w:rPr>
        <w:t>1822</w:t>
      </w:r>
      <w:r w:rsidRPr="00C73D5C">
        <w:rPr>
          <w:rFonts w:ascii="Calibri" w:hAnsi="Calibri" w:cs="Calibri"/>
          <w:noProof/>
          <w:szCs w:val="24"/>
        </w:rPr>
        <w:t>, 361–369.</w:t>
      </w:r>
    </w:p>
    <w:p w:rsidR="00C73D5C" w:rsidRPr="00C73D5C" w:rsidRDefault="00C73D5C" w:rsidP="00C73D5C">
      <w:pPr>
        <w:widowControl w:val="0"/>
        <w:autoSpaceDE w:val="0"/>
        <w:autoSpaceDN w:val="0"/>
        <w:adjustRightInd w:val="0"/>
        <w:spacing w:before="100" w:after="100" w:line="240" w:lineRule="auto"/>
        <w:ind w:left="640" w:hanging="640"/>
        <w:rPr>
          <w:rFonts w:ascii="Calibri" w:hAnsi="Calibri" w:cs="Calibri"/>
          <w:noProof/>
          <w:szCs w:val="24"/>
        </w:rPr>
      </w:pPr>
      <w:r w:rsidRPr="00C73D5C">
        <w:rPr>
          <w:rFonts w:ascii="Calibri" w:hAnsi="Calibri" w:cs="Calibri"/>
          <w:noProof/>
          <w:szCs w:val="24"/>
        </w:rPr>
        <w:t xml:space="preserve">9. </w:t>
      </w:r>
      <w:r w:rsidRPr="00C73D5C">
        <w:rPr>
          <w:rFonts w:ascii="Calibri" w:hAnsi="Calibri" w:cs="Calibri"/>
          <w:noProof/>
          <w:szCs w:val="24"/>
        </w:rPr>
        <w:tab/>
        <w:t>Narayan SK, Firbank MJ, Saxby BK, et al. (2011) Elevated plasma homocysteine is associated with increased brain atrophy rates in older subjects with mild hypertensio</w:t>
      </w:r>
      <w:r w:rsidR="00813F5C">
        <w:rPr>
          <w:rFonts w:ascii="Calibri" w:hAnsi="Calibri" w:cs="Calibri"/>
          <w:noProof/>
          <w:szCs w:val="24"/>
        </w:rPr>
        <w:t>n</w:t>
      </w:r>
      <w:r w:rsidRPr="00C73D5C">
        <w:rPr>
          <w:rFonts w:ascii="Calibri" w:hAnsi="Calibri" w:cs="Calibri"/>
          <w:noProof/>
          <w:szCs w:val="24"/>
        </w:rPr>
        <w:t xml:space="preserve">. </w:t>
      </w:r>
      <w:r w:rsidRPr="00C73D5C">
        <w:rPr>
          <w:rFonts w:ascii="Calibri" w:hAnsi="Calibri" w:cs="Calibri"/>
          <w:i/>
          <w:iCs/>
          <w:noProof/>
          <w:szCs w:val="24"/>
        </w:rPr>
        <w:t>Dement. Geriatr. Cogn. Disord.</w:t>
      </w:r>
      <w:r w:rsidRPr="00C73D5C">
        <w:rPr>
          <w:rFonts w:ascii="Calibri" w:hAnsi="Calibri" w:cs="Calibri"/>
          <w:noProof/>
          <w:szCs w:val="24"/>
        </w:rPr>
        <w:t xml:space="preserve"> </w:t>
      </w:r>
      <w:r w:rsidRPr="00C73D5C">
        <w:rPr>
          <w:rFonts w:ascii="Calibri" w:hAnsi="Calibri" w:cs="Calibri"/>
          <w:b/>
          <w:bCs/>
          <w:noProof/>
          <w:szCs w:val="24"/>
        </w:rPr>
        <w:t>31</w:t>
      </w:r>
      <w:r w:rsidRPr="00C73D5C">
        <w:rPr>
          <w:rFonts w:ascii="Calibri" w:hAnsi="Calibri" w:cs="Calibri"/>
          <w:noProof/>
          <w:szCs w:val="24"/>
        </w:rPr>
        <w:t>, 341–348.</w:t>
      </w:r>
    </w:p>
    <w:p w:rsidR="00C73D5C" w:rsidRPr="00C73D5C" w:rsidRDefault="00C73D5C" w:rsidP="00C73D5C">
      <w:pPr>
        <w:widowControl w:val="0"/>
        <w:autoSpaceDE w:val="0"/>
        <w:autoSpaceDN w:val="0"/>
        <w:adjustRightInd w:val="0"/>
        <w:spacing w:before="100" w:after="100" w:line="240" w:lineRule="auto"/>
        <w:ind w:left="640" w:hanging="640"/>
        <w:rPr>
          <w:rFonts w:ascii="Calibri" w:hAnsi="Calibri" w:cs="Calibri"/>
          <w:noProof/>
          <w:szCs w:val="24"/>
        </w:rPr>
      </w:pPr>
      <w:r w:rsidRPr="00C73D5C">
        <w:rPr>
          <w:rFonts w:ascii="Calibri" w:hAnsi="Calibri" w:cs="Calibri"/>
          <w:noProof/>
          <w:szCs w:val="24"/>
        </w:rPr>
        <w:t xml:space="preserve">10. </w:t>
      </w:r>
      <w:r w:rsidRPr="00C73D5C">
        <w:rPr>
          <w:rFonts w:ascii="Calibri" w:hAnsi="Calibri" w:cs="Calibri"/>
          <w:noProof/>
          <w:szCs w:val="24"/>
        </w:rPr>
        <w:tab/>
        <w:t xml:space="preserve">Rajagopalan P, Hua X, Toga AW, et al. (2011) Homocysteine effects on brain volumes mapped in 732 elderly individuals. </w:t>
      </w:r>
      <w:r w:rsidRPr="00C73D5C">
        <w:rPr>
          <w:rFonts w:ascii="Calibri" w:hAnsi="Calibri" w:cs="Calibri"/>
          <w:i/>
          <w:iCs/>
          <w:noProof/>
          <w:szCs w:val="24"/>
        </w:rPr>
        <w:t>Neuroreport</w:t>
      </w:r>
      <w:r w:rsidRPr="00C73D5C">
        <w:rPr>
          <w:rFonts w:ascii="Calibri" w:hAnsi="Calibri" w:cs="Calibri"/>
          <w:noProof/>
          <w:szCs w:val="24"/>
        </w:rPr>
        <w:t xml:space="preserve"> </w:t>
      </w:r>
      <w:r w:rsidRPr="00C73D5C">
        <w:rPr>
          <w:rFonts w:ascii="Calibri" w:hAnsi="Calibri" w:cs="Calibri"/>
          <w:b/>
          <w:bCs/>
          <w:noProof/>
          <w:szCs w:val="24"/>
        </w:rPr>
        <w:t>22</w:t>
      </w:r>
      <w:r w:rsidRPr="00C73D5C">
        <w:rPr>
          <w:rFonts w:ascii="Calibri" w:hAnsi="Calibri" w:cs="Calibri"/>
          <w:noProof/>
          <w:szCs w:val="24"/>
        </w:rPr>
        <w:t>, 391–395.</w:t>
      </w:r>
    </w:p>
    <w:p w:rsidR="00C73D5C" w:rsidRPr="00C73D5C" w:rsidRDefault="00C73D5C" w:rsidP="00C73D5C">
      <w:pPr>
        <w:widowControl w:val="0"/>
        <w:autoSpaceDE w:val="0"/>
        <w:autoSpaceDN w:val="0"/>
        <w:adjustRightInd w:val="0"/>
        <w:spacing w:before="100" w:after="100" w:line="240" w:lineRule="auto"/>
        <w:ind w:left="640" w:hanging="640"/>
        <w:rPr>
          <w:rFonts w:ascii="Calibri" w:hAnsi="Calibri" w:cs="Calibri"/>
          <w:noProof/>
          <w:szCs w:val="24"/>
        </w:rPr>
      </w:pPr>
      <w:r w:rsidRPr="00C73D5C">
        <w:rPr>
          <w:rFonts w:ascii="Calibri" w:hAnsi="Calibri" w:cs="Calibri"/>
          <w:noProof/>
          <w:szCs w:val="24"/>
        </w:rPr>
        <w:t xml:space="preserve">11. </w:t>
      </w:r>
      <w:r w:rsidRPr="00C73D5C">
        <w:rPr>
          <w:rFonts w:ascii="Calibri" w:hAnsi="Calibri" w:cs="Calibri"/>
          <w:noProof/>
          <w:szCs w:val="24"/>
        </w:rPr>
        <w:tab/>
        <w:t xml:space="preserve">Tangney CC, Aggarwal NT, Li H, et al. (2011) Vitamin B12, cognition, and brain MRI measures: a cross-sectional examination. </w:t>
      </w:r>
      <w:r w:rsidRPr="00C73D5C">
        <w:rPr>
          <w:rFonts w:ascii="Calibri" w:hAnsi="Calibri" w:cs="Calibri"/>
          <w:i/>
          <w:iCs/>
          <w:noProof/>
          <w:szCs w:val="24"/>
        </w:rPr>
        <w:t>Neurology</w:t>
      </w:r>
      <w:r w:rsidRPr="00C73D5C">
        <w:rPr>
          <w:rFonts w:ascii="Calibri" w:hAnsi="Calibri" w:cs="Calibri"/>
          <w:noProof/>
          <w:szCs w:val="24"/>
        </w:rPr>
        <w:t xml:space="preserve"> </w:t>
      </w:r>
      <w:r w:rsidRPr="00C73D5C">
        <w:rPr>
          <w:rFonts w:ascii="Calibri" w:hAnsi="Calibri" w:cs="Calibri"/>
          <w:b/>
          <w:bCs/>
          <w:noProof/>
          <w:szCs w:val="24"/>
        </w:rPr>
        <w:t>77</w:t>
      </w:r>
      <w:r w:rsidRPr="00C73D5C">
        <w:rPr>
          <w:rFonts w:ascii="Calibri" w:hAnsi="Calibri" w:cs="Calibri"/>
          <w:noProof/>
          <w:szCs w:val="24"/>
        </w:rPr>
        <w:t>, 1276–1282.</w:t>
      </w:r>
    </w:p>
    <w:p w:rsidR="00C73D5C" w:rsidRPr="00C73D5C" w:rsidRDefault="00C73D5C" w:rsidP="00C73D5C">
      <w:pPr>
        <w:widowControl w:val="0"/>
        <w:autoSpaceDE w:val="0"/>
        <w:autoSpaceDN w:val="0"/>
        <w:adjustRightInd w:val="0"/>
        <w:spacing w:before="100" w:after="100" w:line="240" w:lineRule="auto"/>
        <w:ind w:left="640" w:hanging="640"/>
        <w:rPr>
          <w:rFonts w:ascii="Calibri" w:hAnsi="Calibri" w:cs="Calibri"/>
          <w:noProof/>
          <w:szCs w:val="24"/>
        </w:rPr>
      </w:pPr>
      <w:r w:rsidRPr="00C73D5C">
        <w:rPr>
          <w:rFonts w:ascii="Calibri" w:hAnsi="Calibri" w:cs="Calibri"/>
          <w:noProof/>
          <w:szCs w:val="24"/>
        </w:rPr>
        <w:t xml:space="preserve">12. </w:t>
      </w:r>
      <w:r w:rsidRPr="00C73D5C">
        <w:rPr>
          <w:rFonts w:ascii="Calibri" w:hAnsi="Calibri" w:cs="Calibri"/>
          <w:noProof/>
          <w:szCs w:val="24"/>
        </w:rPr>
        <w:tab/>
        <w:t xml:space="preserve">Firbank MJ, Narayan SK, Saxby BK, et al. (2010) Homocysteine is associated with hippocampal and white matter atrophy in older subjects with mild hypertension. </w:t>
      </w:r>
      <w:r w:rsidRPr="00C73D5C">
        <w:rPr>
          <w:rFonts w:ascii="Calibri" w:hAnsi="Calibri" w:cs="Calibri"/>
          <w:i/>
          <w:iCs/>
          <w:noProof/>
          <w:szCs w:val="24"/>
        </w:rPr>
        <w:t>Int. Psychogeriatrics</w:t>
      </w:r>
      <w:r w:rsidRPr="00C73D5C">
        <w:rPr>
          <w:rFonts w:ascii="Calibri" w:hAnsi="Calibri" w:cs="Calibri"/>
          <w:noProof/>
          <w:szCs w:val="24"/>
        </w:rPr>
        <w:t xml:space="preserve"> </w:t>
      </w:r>
      <w:r w:rsidRPr="00C73D5C">
        <w:rPr>
          <w:rFonts w:ascii="Calibri" w:hAnsi="Calibri" w:cs="Calibri"/>
          <w:b/>
          <w:bCs/>
          <w:noProof/>
          <w:szCs w:val="24"/>
        </w:rPr>
        <w:t>22</w:t>
      </w:r>
      <w:r w:rsidRPr="00C73D5C">
        <w:rPr>
          <w:rFonts w:ascii="Calibri" w:hAnsi="Calibri" w:cs="Calibri"/>
          <w:noProof/>
          <w:szCs w:val="24"/>
        </w:rPr>
        <w:t>, 804–811.</w:t>
      </w:r>
    </w:p>
    <w:p w:rsidR="00C73D5C" w:rsidRPr="00C73D5C" w:rsidRDefault="00C73D5C" w:rsidP="00C73D5C">
      <w:pPr>
        <w:widowControl w:val="0"/>
        <w:autoSpaceDE w:val="0"/>
        <w:autoSpaceDN w:val="0"/>
        <w:adjustRightInd w:val="0"/>
        <w:spacing w:before="100" w:after="100" w:line="240" w:lineRule="auto"/>
        <w:ind w:left="640" w:hanging="640"/>
        <w:rPr>
          <w:rFonts w:ascii="Calibri" w:hAnsi="Calibri" w:cs="Calibri"/>
          <w:noProof/>
          <w:szCs w:val="24"/>
        </w:rPr>
      </w:pPr>
      <w:r w:rsidRPr="00C73D5C">
        <w:rPr>
          <w:rFonts w:ascii="Calibri" w:hAnsi="Calibri" w:cs="Calibri"/>
          <w:noProof/>
          <w:szCs w:val="24"/>
        </w:rPr>
        <w:t xml:space="preserve">13. </w:t>
      </w:r>
      <w:r w:rsidRPr="00C73D5C">
        <w:rPr>
          <w:rFonts w:ascii="Calibri" w:hAnsi="Calibri" w:cs="Calibri"/>
          <w:noProof/>
          <w:szCs w:val="24"/>
        </w:rPr>
        <w:tab/>
        <w:t xml:space="preserve">Chee MWL, Chen KHM, Zheng H, et al. (2009) Cognitive function and brain structure correlations in healthy elderly East Asians. </w:t>
      </w:r>
      <w:r w:rsidRPr="00C73D5C">
        <w:rPr>
          <w:rFonts w:ascii="Calibri" w:hAnsi="Calibri" w:cs="Calibri"/>
          <w:i/>
          <w:iCs/>
          <w:noProof/>
          <w:szCs w:val="24"/>
        </w:rPr>
        <w:t>Neuroimage</w:t>
      </w:r>
      <w:r w:rsidRPr="00C73D5C">
        <w:rPr>
          <w:rFonts w:ascii="Calibri" w:hAnsi="Calibri" w:cs="Calibri"/>
          <w:noProof/>
          <w:szCs w:val="24"/>
        </w:rPr>
        <w:t xml:space="preserve"> </w:t>
      </w:r>
      <w:r w:rsidRPr="00C73D5C">
        <w:rPr>
          <w:rFonts w:ascii="Calibri" w:hAnsi="Calibri" w:cs="Calibri"/>
          <w:b/>
          <w:bCs/>
          <w:noProof/>
          <w:szCs w:val="24"/>
        </w:rPr>
        <w:t>46</w:t>
      </w:r>
      <w:r w:rsidR="00CD6CEA">
        <w:rPr>
          <w:rFonts w:ascii="Calibri" w:hAnsi="Calibri" w:cs="Calibri"/>
          <w:noProof/>
          <w:szCs w:val="24"/>
        </w:rPr>
        <w:t>, 257–269</w:t>
      </w:r>
      <w:r w:rsidRPr="00C73D5C">
        <w:rPr>
          <w:rFonts w:ascii="Calibri" w:hAnsi="Calibri" w:cs="Calibri"/>
          <w:noProof/>
          <w:szCs w:val="24"/>
        </w:rPr>
        <w:t>.</w:t>
      </w:r>
    </w:p>
    <w:p w:rsidR="00C73D5C" w:rsidRPr="00C73D5C" w:rsidRDefault="00C73D5C" w:rsidP="00C73D5C">
      <w:pPr>
        <w:widowControl w:val="0"/>
        <w:autoSpaceDE w:val="0"/>
        <w:autoSpaceDN w:val="0"/>
        <w:adjustRightInd w:val="0"/>
        <w:spacing w:before="100" w:after="100" w:line="240" w:lineRule="auto"/>
        <w:ind w:left="640" w:hanging="640"/>
        <w:rPr>
          <w:rFonts w:ascii="Calibri" w:hAnsi="Calibri" w:cs="Calibri"/>
          <w:noProof/>
          <w:szCs w:val="24"/>
        </w:rPr>
      </w:pPr>
      <w:r w:rsidRPr="00C73D5C">
        <w:rPr>
          <w:rFonts w:ascii="Calibri" w:hAnsi="Calibri" w:cs="Calibri"/>
          <w:noProof/>
          <w:szCs w:val="24"/>
        </w:rPr>
        <w:t xml:space="preserve">14. </w:t>
      </w:r>
      <w:r w:rsidRPr="00C73D5C">
        <w:rPr>
          <w:rFonts w:ascii="Calibri" w:hAnsi="Calibri" w:cs="Calibri"/>
          <w:noProof/>
          <w:szCs w:val="24"/>
        </w:rPr>
        <w:tab/>
        <w:t xml:space="preserve">de Lau LML, Smith AD, Refsum H, et al. (2009) Plasma vitamin B12 status and cerebral white-matter lesions. </w:t>
      </w:r>
      <w:r w:rsidRPr="00C73D5C">
        <w:rPr>
          <w:rFonts w:ascii="Calibri" w:hAnsi="Calibri" w:cs="Calibri"/>
          <w:i/>
          <w:iCs/>
          <w:noProof/>
          <w:szCs w:val="24"/>
        </w:rPr>
        <w:t>J. Neurol. Neurosurgery, Psychiatry</w:t>
      </w:r>
      <w:r w:rsidRPr="00C73D5C">
        <w:rPr>
          <w:rFonts w:ascii="Calibri" w:hAnsi="Calibri" w:cs="Calibri"/>
          <w:noProof/>
          <w:szCs w:val="24"/>
        </w:rPr>
        <w:t xml:space="preserve"> </w:t>
      </w:r>
      <w:r w:rsidRPr="00C73D5C">
        <w:rPr>
          <w:rFonts w:ascii="Calibri" w:hAnsi="Calibri" w:cs="Calibri"/>
          <w:b/>
          <w:bCs/>
          <w:noProof/>
          <w:szCs w:val="24"/>
        </w:rPr>
        <w:t>80</w:t>
      </w:r>
      <w:r w:rsidRPr="00C73D5C">
        <w:rPr>
          <w:rFonts w:ascii="Calibri" w:hAnsi="Calibri" w:cs="Calibri"/>
          <w:noProof/>
          <w:szCs w:val="24"/>
        </w:rPr>
        <w:t>, 149–157.</w:t>
      </w:r>
    </w:p>
    <w:p w:rsidR="00C73D5C" w:rsidRPr="00C73D5C" w:rsidRDefault="00C73D5C" w:rsidP="00C73D5C">
      <w:pPr>
        <w:widowControl w:val="0"/>
        <w:autoSpaceDE w:val="0"/>
        <w:autoSpaceDN w:val="0"/>
        <w:adjustRightInd w:val="0"/>
        <w:spacing w:before="100" w:after="100" w:line="240" w:lineRule="auto"/>
        <w:ind w:left="640" w:hanging="640"/>
        <w:rPr>
          <w:rFonts w:ascii="Calibri" w:hAnsi="Calibri" w:cs="Calibri"/>
          <w:noProof/>
          <w:szCs w:val="24"/>
        </w:rPr>
      </w:pPr>
      <w:r w:rsidRPr="00C73D5C">
        <w:rPr>
          <w:rFonts w:ascii="Calibri" w:hAnsi="Calibri" w:cs="Calibri"/>
          <w:noProof/>
          <w:szCs w:val="24"/>
        </w:rPr>
        <w:t xml:space="preserve">15. </w:t>
      </w:r>
      <w:r w:rsidRPr="00C73D5C">
        <w:rPr>
          <w:rFonts w:ascii="Calibri" w:hAnsi="Calibri" w:cs="Calibri"/>
          <w:noProof/>
          <w:szCs w:val="24"/>
        </w:rPr>
        <w:tab/>
        <w:t xml:space="preserve">Erickson KI, Suever BL, Prakash RS, et al. (2008) Greater intake of vitamins B6 and B12 spares gray matter in healthy elderly: a voxel-based morphometry study. </w:t>
      </w:r>
      <w:r w:rsidRPr="00C73D5C">
        <w:rPr>
          <w:rFonts w:ascii="Calibri" w:hAnsi="Calibri" w:cs="Calibri"/>
          <w:i/>
          <w:iCs/>
          <w:noProof/>
          <w:szCs w:val="24"/>
        </w:rPr>
        <w:t>Brain Res.</w:t>
      </w:r>
      <w:r w:rsidRPr="00C73D5C">
        <w:rPr>
          <w:rFonts w:ascii="Calibri" w:hAnsi="Calibri" w:cs="Calibri"/>
          <w:noProof/>
          <w:szCs w:val="24"/>
        </w:rPr>
        <w:t xml:space="preserve"> </w:t>
      </w:r>
      <w:r w:rsidRPr="00C73D5C">
        <w:rPr>
          <w:rFonts w:ascii="Calibri" w:hAnsi="Calibri" w:cs="Calibri"/>
          <w:b/>
          <w:bCs/>
          <w:noProof/>
          <w:szCs w:val="24"/>
        </w:rPr>
        <w:t>1199</w:t>
      </w:r>
      <w:r w:rsidRPr="00C73D5C">
        <w:rPr>
          <w:rFonts w:ascii="Calibri" w:hAnsi="Calibri" w:cs="Calibri"/>
          <w:noProof/>
          <w:szCs w:val="24"/>
        </w:rPr>
        <w:t>, 20–26.</w:t>
      </w:r>
    </w:p>
    <w:p w:rsidR="00C73D5C" w:rsidRPr="00C73D5C" w:rsidRDefault="00C73D5C" w:rsidP="00C73D5C">
      <w:pPr>
        <w:widowControl w:val="0"/>
        <w:autoSpaceDE w:val="0"/>
        <w:autoSpaceDN w:val="0"/>
        <w:adjustRightInd w:val="0"/>
        <w:spacing w:before="100" w:after="100" w:line="240" w:lineRule="auto"/>
        <w:ind w:left="640" w:hanging="640"/>
        <w:rPr>
          <w:rFonts w:ascii="Calibri" w:hAnsi="Calibri" w:cs="Calibri"/>
          <w:noProof/>
          <w:szCs w:val="24"/>
        </w:rPr>
      </w:pPr>
      <w:r w:rsidRPr="00C73D5C">
        <w:rPr>
          <w:rFonts w:ascii="Calibri" w:hAnsi="Calibri" w:cs="Calibri"/>
          <w:noProof/>
          <w:szCs w:val="24"/>
        </w:rPr>
        <w:t xml:space="preserve">16. </w:t>
      </w:r>
      <w:r w:rsidRPr="00C73D5C">
        <w:rPr>
          <w:rFonts w:ascii="Calibri" w:hAnsi="Calibri" w:cs="Calibri"/>
          <w:noProof/>
          <w:szCs w:val="24"/>
        </w:rPr>
        <w:tab/>
        <w:t xml:space="preserve">Seshadri S, Wolf PA, Beiser AS, et al. (2008) Association of Plasma Total Homocysteine Levels With Subclinical Brain Injury. </w:t>
      </w:r>
      <w:r w:rsidRPr="00C73D5C">
        <w:rPr>
          <w:rFonts w:ascii="Calibri" w:hAnsi="Calibri" w:cs="Calibri"/>
          <w:i/>
          <w:iCs/>
          <w:noProof/>
          <w:szCs w:val="24"/>
        </w:rPr>
        <w:t>Arch. Neurol.</w:t>
      </w:r>
      <w:r w:rsidRPr="00C73D5C">
        <w:rPr>
          <w:rFonts w:ascii="Calibri" w:hAnsi="Calibri" w:cs="Calibri"/>
          <w:noProof/>
          <w:szCs w:val="24"/>
        </w:rPr>
        <w:t xml:space="preserve"> </w:t>
      </w:r>
      <w:r w:rsidRPr="00C73D5C">
        <w:rPr>
          <w:rFonts w:ascii="Calibri" w:hAnsi="Calibri" w:cs="Calibri"/>
          <w:b/>
          <w:bCs/>
          <w:noProof/>
          <w:szCs w:val="24"/>
        </w:rPr>
        <w:t>65</w:t>
      </w:r>
      <w:r w:rsidRPr="00C73D5C">
        <w:rPr>
          <w:rFonts w:ascii="Calibri" w:hAnsi="Calibri" w:cs="Calibri"/>
          <w:noProof/>
          <w:szCs w:val="24"/>
        </w:rPr>
        <w:t>, 642–649.</w:t>
      </w:r>
    </w:p>
    <w:p w:rsidR="00C73D5C" w:rsidRPr="00C73D5C" w:rsidRDefault="00C73D5C" w:rsidP="00C73D5C">
      <w:pPr>
        <w:widowControl w:val="0"/>
        <w:autoSpaceDE w:val="0"/>
        <w:autoSpaceDN w:val="0"/>
        <w:adjustRightInd w:val="0"/>
        <w:spacing w:before="100" w:after="100" w:line="240" w:lineRule="auto"/>
        <w:ind w:left="640" w:hanging="640"/>
        <w:rPr>
          <w:rFonts w:ascii="Calibri" w:hAnsi="Calibri" w:cs="Calibri"/>
          <w:noProof/>
          <w:szCs w:val="24"/>
        </w:rPr>
      </w:pPr>
      <w:r w:rsidRPr="00C73D5C">
        <w:rPr>
          <w:rFonts w:ascii="Calibri" w:hAnsi="Calibri" w:cs="Calibri"/>
          <w:noProof/>
          <w:szCs w:val="24"/>
        </w:rPr>
        <w:t xml:space="preserve">17. </w:t>
      </w:r>
      <w:r w:rsidRPr="00C73D5C">
        <w:rPr>
          <w:rFonts w:ascii="Calibri" w:hAnsi="Calibri" w:cs="Calibri"/>
          <w:noProof/>
          <w:szCs w:val="24"/>
        </w:rPr>
        <w:tab/>
        <w:t xml:space="preserve">Vogiatzoglou A, Smith SM &amp; Bradley KM (2008) Vitamin B12 status and rate of brain volume loss in community-dwelling elderly. </w:t>
      </w:r>
      <w:r w:rsidRPr="00C73D5C">
        <w:rPr>
          <w:rFonts w:ascii="Calibri" w:hAnsi="Calibri" w:cs="Calibri"/>
          <w:i/>
          <w:iCs/>
          <w:noProof/>
          <w:szCs w:val="24"/>
        </w:rPr>
        <w:t>Neurology</w:t>
      </w:r>
      <w:r w:rsidRPr="00C73D5C">
        <w:rPr>
          <w:rFonts w:ascii="Calibri" w:hAnsi="Calibri" w:cs="Calibri"/>
          <w:noProof/>
          <w:szCs w:val="24"/>
        </w:rPr>
        <w:t xml:space="preserve"> </w:t>
      </w:r>
      <w:r w:rsidRPr="00C73D5C">
        <w:rPr>
          <w:rFonts w:ascii="Calibri" w:hAnsi="Calibri" w:cs="Calibri"/>
          <w:b/>
          <w:bCs/>
          <w:noProof/>
          <w:szCs w:val="24"/>
        </w:rPr>
        <w:t>71</w:t>
      </w:r>
      <w:r w:rsidRPr="00C73D5C">
        <w:rPr>
          <w:rFonts w:ascii="Calibri" w:hAnsi="Calibri" w:cs="Calibri"/>
          <w:noProof/>
          <w:szCs w:val="24"/>
        </w:rPr>
        <w:t>, 826–832.</w:t>
      </w:r>
    </w:p>
    <w:p w:rsidR="00C73D5C" w:rsidRPr="00C73D5C" w:rsidRDefault="00C73D5C" w:rsidP="00C73D5C">
      <w:pPr>
        <w:widowControl w:val="0"/>
        <w:autoSpaceDE w:val="0"/>
        <w:autoSpaceDN w:val="0"/>
        <w:adjustRightInd w:val="0"/>
        <w:spacing w:before="100" w:after="100" w:line="240" w:lineRule="auto"/>
        <w:ind w:left="640" w:hanging="640"/>
        <w:rPr>
          <w:rFonts w:ascii="Calibri" w:hAnsi="Calibri" w:cs="Calibri"/>
          <w:noProof/>
          <w:szCs w:val="24"/>
        </w:rPr>
      </w:pPr>
      <w:r w:rsidRPr="00C73D5C">
        <w:rPr>
          <w:rFonts w:ascii="Calibri" w:hAnsi="Calibri" w:cs="Calibri"/>
          <w:noProof/>
          <w:szCs w:val="24"/>
        </w:rPr>
        <w:t xml:space="preserve">18. </w:t>
      </w:r>
      <w:r w:rsidRPr="00C73D5C">
        <w:rPr>
          <w:rFonts w:ascii="Calibri" w:hAnsi="Calibri" w:cs="Calibri"/>
          <w:noProof/>
          <w:szCs w:val="24"/>
        </w:rPr>
        <w:tab/>
        <w:t xml:space="preserve">Sachdev P, Parslow R, Salonikas C, et al. (2004) Homocysteine and the brain in midadult life: Evidence for an increased risk of leukoaraiosis in men. </w:t>
      </w:r>
      <w:r w:rsidRPr="00C73D5C">
        <w:rPr>
          <w:rFonts w:ascii="Calibri" w:hAnsi="Calibri" w:cs="Calibri"/>
          <w:i/>
          <w:iCs/>
          <w:noProof/>
          <w:szCs w:val="24"/>
        </w:rPr>
        <w:t>Arch. Neurol.</w:t>
      </w:r>
      <w:r w:rsidRPr="00C73D5C">
        <w:rPr>
          <w:rFonts w:ascii="Calibri" w:hAnsi="Calibri" w:cs="Calibri"/>
          <w:noProof/>
          <w:szCs w:val="24"/>
        </w:rPr>
        <w:t xml:space="preserve"> </w:t>
      </w:r>
      <w:r w:rsidRPr="00C73D5C">
        <w:rPr>
          <w:rFonts w:ascii="Calibri" w:hAnsi="Calibri" w:cs="Calibri"/>
          <w:b/>
          <w:bCs/>
          <w:noProof/>
          <w:szCs w:val="24"/>
        </w:rPr>
        <w:t>61</w:t>
      </w:r>
      <w:r w:rsidRPr="00C73D5C">
        <w:rPr>
          <w:rFonts w:ascii="Calibri" w:hAnsi="Calibri" w:cs="Calibri"/>
          <w:noProof/>
          <w:szCs w:val="24"/>
        </w:rPr>
        <w:t>, 1369–1376.</w:t>
      </w:r>
    </w:p>
    <w:p w:rsidR="00C73D5C" w:rsidRPr="00C73D5C" w:rsidRDefault="00C73D5C" w:rsidP="00C73D5C">
      <w:pPr>
        <w:widowControl w:val="0"/>
        <w:autoSpaceDE w:val="0"/>
        <w:autoSpaceDN w:val="0"/>
        <w:adjustRightInd w:val="0"/>
        <w:spacing w:before="100" w:after="100" w:line="240" w:lineRule="auto"/>
        <w:ind w:left="640" w:hanging="640"/>
        <w:rPr>
          <w:rFonts w:ascii="Calibri" w:hAnsi="Calibri" w:cs="Calibri"/>
          <w:noProof/>
          <w:szCs w:val="24"/>
        </w:rPr>
      </w:pPr>
      <w:r w:rsidRPr="00C73D5C">
        <w:rPr>
          <w:rFonts w:ascii="Calibri" w:hAnsi="Calibri" w:cs="Calibri"/>
          <w:noProof/>
          <w:szCs w:val="24"/>
        </w:rPr>
        <w:lastRenderedPageBreak/>
        <w:t xml:space="preserve">19. </w:t>
      </w:r>
      <w:r w:rsidRPr="00C73D5C">
        <w:rPr>
          <w:rFonts w:ascii="Calibri" w:hAnsi="Calibri" w:cs="Calibri"/>
          <w:noProof/>
          <w:szCs w:val="24"/>
        </w:rPr>
        <w:tab/>
        <w:t xml:space="preserve">den Heijer T, Vermeer SE, Clarke R, et al. (2003) Homocysteine and brain atrophy on MRI of non-demented elderly. </w:t>
      </w:r>
      <w:r w:rsidRPr="00C73D5C">
        <w:rPr>
          <w:rFonts w:ascii="Calibri" w:hAnsi="Calibri" w:cs="Calibri"/>
          <w:i/>
          <w:iCs/>
          <w:noProof/>
          <w:szCs w:val="24"/>
        </w:rPr>
        <w:t>Brain</w:t>
      </w:r>
      <w:r w:rsidRPr="00C73D5C">
        <w:rPr>
          <w:rFonts w:ascii="Calibri" w:hAnsi="Calibri" w:cs="Calibri"/>
          <w:noProof/>
          <w:szCs w:val="24"/>
        </w:rPr>
        <w:t xml:space="preserve"> </w:t>
      </w:r>
      <w:r w:rsidRPr="00C73D5C">
        <w:rPr>
          <w:rFonts w:ascii="Calibri" w:hAnsi="Calibri" w:cs="Calibri"/>
          <w:b/>
          <w:bCs/>
          <w:noProof/>
          <w:szCs w:val="24"/>
        </w:rPr>
        <w:t>126</w:t>
      </w:r>
      <w:r w:rsidRPr="00C73D5C">
        <w:rPr>
          <w:rFonts w:ascii="Calibri" w:hAnsi="Calibri" w:cs="Calibri"/>
          <w:noProof/>
          <w:szCs w:val="24"/>
        </w:rPr>
        <w:t>, 170–175.</w:t>
      </w:r>
    </w:p>
    <w:p w:rsidR="00C73D5C" w:rsidRPr="00C73D5C" w:rsidRDefault="00C73D5C" w:rsidP="00C73D5C">
      <w:pPr>
        <w:widowControl w:val="0"/>
        <w:autoSpaceDE w:val="0"/>
        <w:autoSpaceDN w:val="0"/>
        <w:adjustRightInd w:val="0"/>
        <w:spacing w:before="100" w:after="100" w:line="240" w:lineRule="auto"/>
        <w:ind w:left="640" w:hanging="640"/>
        <w:rPr>
          <w:rFonts w:ascii="Calibri" w:hAnsi="Calibri" w:cs="Calibri"/>
          <w:noProof/>
          <w:szCs w:val="24"/>
        </w:rPr>
      </w:pPr>
      <w:r w:rsidRPr="00C73D5C">
        <w:rPr>
          <w:rFonts w:ascii="Calibri" w:hAnsi="Calibri" w:cs="Calibri"/>
          <w:noProof/>
          <w:szCs w:val="24"/>
        </w:rPr>
        <w:t xml:space="preserve">20. </w:t>
      </w:r>
      <w:r w:rsidRPr="00C73D5C">
        <w:rPr>
          <w:rFonts w:ascii="Calibri" w:hAnsi="Calibri" w:cs="Calibri"/>
          <w:noProof/>
          <w:szCs w:val="24"/>
        </w:rPr>
        <w:tab/>
        <w:t xml:space="preserve">Whalley LJ, Staff RT, Murray AD, et al. (2003) Plasma vitamin C, cholesterol and homocysteine are associated with grey matter volume determined by MRI in non-demented old people. </w:t>
      </w:r>
      <w:r w:rsidRPr="00C73D5C">
        <w:rPr>
          <w:rFonts w:ascii="Calibri" w:hAnsi="Calibri" w:cs="Calibri"/>
          <w:i/>
          <w:iCs/>
          <w:noProof/>
          <w:szCs w:val="24"/>
        </w:rPr>
        <w:t>Neurosci. Lett.</w:t>
      </w:r>
      <w:r w:rsidRPr="00C73D5C">
        <w:rPr>
          <w:rFonts w:ascii="Calibri" w:hAnsi="Calibri" w:cs="Calibri"/>
          <w:noProof/>
          <w:szCs w:val="24"/>
        </w:rPr>
        <w:t xml:space="preserve"> </w:t>
      </w:r>
      <w:r w:rsidRPr="00C73D5C">
        <w:rPr>
          <w:rFonts w:ascii="Calibri" w:hAnsi="Calibri" w:cs="Calibri"/>
          <w:b/>
          <w:bCs/>
          <w:noProof/>
          <w:szCs w:val="24"/>
        </w:rPr>
        <w:t>341</w:t>
      </w:r>
      <w:r w:rsidRPr="00C73D5C">
        <w:rPr>
          <w:rFonts w:ascii="Calibri" w:hAnsi="Calibri" w:cs="Calibri"/>
          <w:noProof/>
          <w:szCs w:val="24"/>
        </w:rPr>
        <w:t>, 173–176.</w:t>
      </w:r>
    </w:p>
    <w:p w:rsidR="00C73D5C" w:rsidRPr="00C73D5C" w:rsidRDefault="00C73D5C" w:rsidP="00C73D5C">
      <w:pPr>
        <w:widowControl w:val="0"/>
        <w:autoSpaceDE w:val="0"/>
        <w:autoSpaceDN w:val="0"/>
        <w:adjustRightInd w:val="0"/>
        <w:spacing w:before="100" w:after="100" w:line="240" w:lineRule="auto"/>
        <w:ind w:left="640" w:hanging="640"/>
        <w:rPr>
          <w:rFonts w:ascii="Calibri" w:hAnsi="Calibri" w:cs="Calibri"/>
          <w:noProof/>
          <w:szCs w:val="24"/>
        </w:rPr>
      </w:pPr>
      <w:r w:rsidRPr="00C73D5C">
        <w:rPr>
          <w:rFonts w:ascii="Calibri" w:hAnsi="Calibri" w:cs="Calibri"/>
          <w:noProof/>
          <w:szCs w:val="24"/>
        </w:rPr>
        <w:t xml:space="preserve">21. </w:t>
      </w:r>
      <w:r w:rsidRPr="00C73D5C">
        <w:rPr>
          <w:rFonts w:ascii="Calibri" w:hAnsi="Calibri" w:cs="Calibri"/>
          <w:noProof/>
          <w:szCs w:val="24"/>
        </w:rPr>
        <w:tab/>
        <w:t xml:space="preserve">Sachdev PS, Valenzuela M, Wang XL, et al. (2002) Relationship between plasma homocysteine levels and brain atrophy in healthy elderly individuals. </w:t>
      </w:r>
      <w:r w:rsidRPr="00C73D5C">
        <w:rPr>
          <w:rFonts w:ascii="Calibri" w:hAnsi="Calibri" w:cs="Calibri"/>
          <w:i/>
          <w:iCs/>
          <w:noProof/>
          <w:szCs w:val="24"/>
        </w:rPr>
        <w:t>Neurology</w:t>
      </w:r>
      <w:r w:rsidRPr="00C73D5C">
        <w:rPr>
          <w:rFonts w:ascii="Calibri" w:hAnsi="Calibri" w:cs="Calibri"/>
          <w:noProof/>
          <w:szCs w:val="24"/>
        </w:rPr>
        <w:t xml:space="preserve"> </w:t>
      </w:r>
      <w:r w:rsidRPr="00C73D5C">
        <w:rPr>
          <w:rFonts w:ascii="Calibri" w:hAnsi="Calibri" w:cs="Calibri"/>
          <w:b/>
          <w:bCs/>
          <w:noProof/>
          <w:szCs w:val="24"/>
        </w:rPr>
        <w:t>58</w:t>
      </w:r>
      <w:r w:rsidRPr="00C73D5C">
        <w:rPr>
          <w:rFonts w:ascii="Calibri" w:hAnsi="Calibri" w:cs="Calibri"/>
          <w:noProof/>
          <w:szCs w:val="24"/>
        </w:rPr>
        <w:t>, 1539–1541.</w:t>
      </w:r>
    </w:p>
    <w:p w:rsidR="00C73D5C" w:rsidRPr="00C73D5C" w:rsidRDefault="00C73D5C" w:rsidP="00C73D5C">
      <w:pPr>
        <w:widowControl w:val="0"/>
        <w:autoSpaceDE w:val="0"/>
        <w:autoSpaceDN w:val="0"/>
        <w:adjustRightInd w:val="0"/>
        <w:spacing w:before="100" w:after="100" w:line="240" w:lineRule="auto"/>
        <w:ind w:left="640" w:hanging="640"/>
        <w:rPr>
          <w:rFonts w:ascii="Calibri" w:hAnsi="Calibri" w:cs="Calibri"/>
          <w:noProof/>
          <w:szCs w:val="24"/>
        </w:rPr>
      </w:pPr>
      <w:r w:rsidRPr="00C73D5C">
        <w:rPr>
          <w:rFonts w:ascii="Calibri" w:hAnsi="Calibri" w:cs="Calibri"/>
          <w:noProof/>
          <w:szCs w:val="24"/>
        </w:rPr>
        <w:t xml:space="preserve">22. </w:t>
      </w:r>
      <w:r w:rsidRPr="00C73D5C">
        <w:rPr>
          <w:rFonts w:ascii="Calibri" w:hAnsi="Calibri" w:cs="Calibri"/>
          <w:noProof/>
          <w:szCs w:val="24"/>
        </w:rPr>
        <w:tab/>
        <w:t xml:space="preserve">Vermeer SE, van Dijk EJ, Koudstaal PJ, et al. (2002) Homocysteine, silent brain infarcts, and white matter lesions: The Rotterdam Scan Study. </w:t>
      </w:r>
      <w:r w:rsidRPr="00C73D5C">
        <w:rPr>
          <w:rFonts w:ascii="Calibri" w:hAnsi="Calibri" w:cs="Calibri"/>
          <w:i/>
          <w:iCs/>
          <w:noProof/>
          <w:szCs w:val="24"/>
        </w:rPr>
        <w:t>Ann. Neurol.</w:t>
      </w:r>
      <w:r w:rsidRPr="00C73D5C">
        <w:rPr>
          <w:rFonts w:ascii="Calibri" w:hAnsi="Calibri" w:cs="Calibri"/>
          <w:noProof/>
          <w:szCs w:val="24"/>
        </w:rPr>
        <w:t xml:space="preserve"> </w:t>
      </w:r>
      <w:r w:rsidRPr="00C73D5C">
        <w:rPr>
          <w:rFonts w:ascii="Calibri" w:hAnsi="Calibri" w:cs="Calibri"/>
          <w:b/>
          <w:bCs/>
          <w:noProof/>
          <w:szCs w:val="24"/>
        </w:rPr>
        <w:t>51</w:t>
      </w:r>
      <w:r w:rsidRPr="00C73D5C">
        <w:rPr>
          <w:rFonts w:ascii="Calibri" w:hAnsi="Calibri" w:cs="Calibri"/>
          <w:noProof/>
          <w:szCs w:val="24"/>
        </w:rPr>
        <w:t>, 285–289.</w:t>
      </w:r>
    </w:p>
    <w:p w:rsidR="00C73D5C" w:rsidRPr="00C73D5C" w:rsidRDefault="00C73D5C" w:rsidP="00C73D5C">
      <w:pPr>
        <w:widowControl w:val="0"/>
        <w:autoSpaceDE w:val="0"/>
        <w:autoSpaceDN w:val="0"/>
        <w:adjustRightInd w:val="0"/>
        <w:spacing w:before="100" w:after="100" w:line="240" w:lineRule="auto"/>
        <w:ind w:left="640" w:hanging="640"/>
        <w:rPr>
          <w:rFonts w:ascii="Calibri" w:hAnsi="Calibri" w:cs="Calibri"/>
          <w:noProof/>
          <w:szCs w:val="24"/>
        </w:rPr>
      </w:pPr>
      <w:r w:rsidRPr="00C73D5C">
        <w:rPr>
          <w:rFonts w:ascii="Calibri" w:hAnsi="Calibri" w:cs="Calibri"/>
          <w:noProof/>
          <w:szCs w:val="24"/>
        </w:rPr>
        <w:t xml:space="preserve">23. </w:t>
      </w:r>
      <w:r w:rsidRPr="00C73D5C">
        <w:rPr>
          <w:rFonts w:ascii="Calibri" w:hAnsi="Calibri" w:cs="Calibri"/>
          <w:noProof/>
          <w:szCs w:val="24"/>
        </w:rPr>
        <w:tab/>
        <w:t xml:space="preserve">Williams JH, Periera EAC, Budge MM, et al. (2002) Minimal hippocampal width relates to plasma homocysteine in community-dwelling older people. </w:t>
      </w:r>
      <w:r w:rsidRPr="00C73D5C">
        <w:rPr>
          <w:rFonts w:ascii="Calibri" w:hAnsi="Calibri" w:cs="Calibri"/>
          <w:i/>
          <w:iCs/>
          <w:noProof/>
          <w:szCs w:val="24"/>
        </w:rPr>
        <w:t>Age Ageing</w:t>
      </w:r>
      <w:r w:rsidRPr="00C73D5C">
        <w:rPr>
          <w:rFonts w:ascii="Calibri" w:hAnsi="Calibri" w:cs="Calibri"/>
          <w:noProof/>
          <w:szCs w:val="24"/>
        </w:rPr>
        <w:t xml:space="preserve"> </w:t>
      </w:r>
      <w:r w:rsidRPr="00C73D5C">
        <w:rPr>
          <w:rFonts w:ascii="Calibri" w:hAnsi="Calibri" w:cs="Calibri"/>
          <w:b/>
          <w:bCs/>
          <w:noProof/>
          <w:szCs w:val="24"/>
        </w:rPr>
        <w:t>31</w:t>
      </w:r>
      <w:r w:rsidRPr="00C73D5C">
        <w:rPr>
          <w:rFonts w:ascii="Calibri" w:hAnsi="Calibri" w:cs="Calibri"/>
          <w:noProof/>
          <w:szCs w:val="24"/>
        </w:rPr>
        <w:t>, 440–444.</w:t>
      </w:r>
    </w:p>
    <w:p w:rsidR="00C73D5C" w:rsidRPr="00C73D5C" w:rsidRDefault="00C73D5C" w:rsidP="00C73D5C">
      <w:pPr>
        <w:widowControl w:val="0"/>
        <w:autoSpaceDE w:val="0"/>
        <w:autoSpaceDN w:val="0"/>
        <w:adjustRightInd w:val="0"/>
        <w:spacing w:before="100" w:after="100" w:line="240" w:lineRule="auto"/>
        <w:ind w:left="640" w:hanging="640"/>
        <w:rPr>
          <w:rFonts w:ascii="Calibri" w:hAnsi="Calibri" w:cs="Calibri"/>
          <w:noProof/>
          <w:szCs w:val="24"/>
        </w:rPr>
      </w:pPr>
      <w:r w:rsidRPr="00C73D5C">
        <w:rPr>
          <w:rFonts w:ascii="Calibri" w:hAnsi="Calibri" w:cs="Calibri"/>
          <w:noProof/>
          <w:szCs w:val="24"/>
        </w:rPr>
        <w:t xml:space="preserve">24. </w:t>
      </w:r>
      <w:r w:rsidRPr="00C73D5C">
        <w:rPr>
          <w:rFonts w:ascii="Calibri" w:hAnsi="Calibri" w:cs="Calibri"/>
          <w:noProof/>
          <w:szCs w:val="24"/>
        </w:rPr>
        <w:tab/>
        <w:t xml:space="preserve">Poly C, Massaro JM, Seshadri S, et al. (2011) The relation of dietary choline to cognitive performance and white-matter hyperintensity in the Framingham Offspring Cohort. </w:t>
      </w:r>
      <w:r w:rsidRPr="00C73D5C">
        <w:rPr>
          <w:rFonts w:ascii="Calibri" w:hAnsi="Calibri" w:cs="Calibri"/>
          <w:i/>
          <w:iCs/>
          <w:noProof/>
          <w:szCs w:val="24"/>
        </w:rPr>
        <w:t>Am. J. Clin. Nutr.</w:t>
      </w:r>
      <w:r w:rsidRPr="00C73D5C">
        <w:rPr>
          <w:rFonts w:ascii="Calibri" w:hAnsi="Calibri" w:cs="Calibri"/>
          <w:noProof/>
          <w:szCs w:val="24"/>
        </w:rPr>
        <w:t xml:space="preserve"> </w:t>
      </w:r>
      <w:r w:rsidRPr="00C73D5C">
        <w:rPr>
          <w:rFonts w:ascii="Calibri" w:hAnsi="Calibri" w:cs="Calibri"/>
          <w:b/>
          <w:bCs/>
          <w:noProof/>
          <w:szCs w:val="24"/>
        </w:rPr>
        <w:t>94</w:t>
      </w:r>
      <w:r w:rsidRPr="00C73D5C">
        <w:rPr>
          <w:rFonts w:ascii="Calibri" w:hAnsi="Calibri" w:cs="Calibri"/>
          <w:noProof/>
          <w:szCs w:val="24"/>
        </w:rPr>
        <w:t>, 1584–1591.</w:t>
      </w:r>
    </w:p>
    <w:p w:rsidR="00C73D5C" w:rsidRPr="00C73D5C" w:rsidRDefault="00C73D5C" w:rsidP="00C73D5C">
      <w:pPr>
        <w:widowControl w:val="0"/>
        <w:autoSpaceDE w:val="0"/>
        <w:autoSpaceDN w:val="0"/>
        <w:adjustRightInd w:val="0"/>
        <w:spacing w:before="100" w:after="100" w:line="240" w:lineRule="auto"/>
        <w:ind w:left="640" w:hanging="640"/>
        <w:rPr>
          <w:rFonts w:ascii="Calibri" w:hAnsi="Calibri" w:cs="Calibri"/>
          <w:noProof/>
          <w:szCs w:val="24"/>
        </w:rPr>
      </w:pPr>
      <w:r w:rsidRPr="00C73D5C">
        <w:rPr>
          <w:rFonts w:ascii="Calibri" w:hAnsi="Calibri" w:cs="Calibri"/>
          <w:noProof/>
          <w:szCs w:val="24"/>
        </w:rPr>
        <w:t xml:space="preserve">25. </w:t>
      </w:r>
      <w:r w:rsidRPr="00C73D5C">
        <w:rPr>
          <w:rFonts w:ascii="Calibri" w:hAnsi="Calibri" w:cs="Calibri"/>
          <w:noProof/>
          <w:szCs w:val="24"/>
        </w:rPr>
        <w:tab/>
        <w:t xml:space="preserve">Zamroziewicz MK, Paul EJ, Zwilling CE, et al. (2017) Predictors of memory in healthy aging: Polyunsaturated fatty acid balance and fornix white matter integrity. </w:t>
      </w:r>
      <w:r w:rsidRPr="00C73D5C">
        <w:rPr>
          <w:rFonts w:ascii="Calibri" w:hAnsi="Calibri" w:cs="Calibri"/>
          <w:i/>
          <w:iCs/>
          <w:noProof/>
          <w:szCs w:val="24"/>
        </w:rPr>
        <w:t>Aging Dis.</w:t>
      </w:r>
      <w:r w:rsidRPr="00C73D5C">
        <w:rPr>
          <w:rFonts w:ascii="Calibri" w:hAnsi="Calibri" w:cs="Calibri"/>
          <w:noProof/>
          <w:szCs w:val="24"/>
        </w:rPr>
        <w:t xml:space="preserve"> </w:t>
      </w:r>
      <w:r w:rsidRPr="00C73D5C">
        <w:rPr>
          <w:rFonts w:ascii="Calibri" w:hAnsi="Calibri" w:cs="Calibri"/>
          <w:b/>
          <w:bCs/>
          <w:noProof/>
          <w:szCs w:val="24"/>
        </w:rPr>
        <w:t>8</w:t>
      </w:r>
      <w:r w:rsidRPr="00C73D5C">
        <w:rPr>
          <w:rFonts w:ascii="Calibri" w:hAnsi="Calibri" w:cs="Calibri"/>
          <w:noProof/>
          <w:szCs w:val="24"/>
        </w:rPr>
        <w:t>, 372–383.</w:t>
      </w:r>
    </w:p>
    <w:p w:rsidR="00C73D5C" w:rsidRPr="00C73D5C" w:rsidRDefault="00813F5C" w:rsidP="00C73D5C">
      <w:pPr>
        <w:widowControl w:val="0"/>
        <w:autoSpaceDE w:val="0"/>
        <w:autoSpaceDN w:val="0"/>
        <w:adjustRightInd w:val="0"/>
        <w:spacing w:before="100" w:after="100" w:line="240" w:lineRule="auto"/>
        <w:ind w:left="640" w:hanging="640"/>
        <w:rPr>
          <w:rFonts w:ascii="Calibri" w:hAnsi="Calibri" w:cs="Calibri"/>
          <w:noProof/>
          <w:szCs w:val="24"/>
        </w:rPr>
      </w:pPr>
      <w:r>
        <w:rPr>
          <w:rFonts w:ascii="Calibri" w:hAnsi="Calibri" w:cs="Calibri"/>
          <w:noProof/>
          <w:szCs w:val="24"/>
        </w:rPr>
        <w:t xml:space="preserve">26. </w:t>
      </w:r>
      <w:r>
        <w:rPr>
          <w:rFonts w:ascii="Calibri" w:hAnsi="Calibri" w:cs="Calibri"/>
          <w:noProof/>
          <w:szCs w:val="24"/>
        </w:rPr>
        <w:tab/>
        <w:t>Daiello LA</w:t>
      </w:r>
      <w:r w:rsidR="00C73D5C" w:rsidRPr="00C73D5C">
        <w:rPr>
          <w:rFonts w:ascii="Calibri" w:hAnsi="Calibri" w:cs="Calibri"/>
          <w:noProof/>
          <w:szCs w:val="24"/>
        </w:rPr>
        <w:t xml:space="preserve">, Gongvatana A, Dunsiger S, et al. (2015) Association of fish oil supplement use with preservation of brain volume and cognitive function. </w:t>
      </w:r>
      <w:r w:rsidR="00C73D5C" w:rsidRPr="00C73D5C">
        <w:rPr>
          <w:rFonts w:ascii="Calibri" w:hAnsi="Calibri" w:cs="Calibri"/>
          <w:i/>
          <w:iCs/>
          <w:noProof/>
          <w:szCs w:val="24"/>
        </w:rPr>
        <w:t>Alzheimer’s Dement.</w:t>
      </w:r>
      <w:r w:rsidR="00C73D5C" w:rsidRPr="00C73D5C">
        <w:rPr>
          <w:rFonts w:ascii="Calibri" w:hAnsi="Calibri" w:cs="Calibri"/>
          <w:noProof/>
          <w:szCs w:val="24"/>
        </w:rPr>
        <w:t xml:space="preserve"> </w:t>
      </w:r>
      <w:r w:rsidR="00C73D5C" w:rsidRPr="00C73D5C">
        <w:rPr>
          <w:rFonts w:ascii="Calibri" w:hAnsi="Calibri" w:cs="Calibri"/>
          <w:b/>
          <w:bCs/>
          <w:noProof/>
          <w:szCs w:val="24"/>
        </w:rPr>
        <w:t>11</w:t>
      </w:r>
      <w:r w:rsidR="00C73D5C" w:rsidRPr="00C73D5C">
        <w:rPr>
          <w:rFonts w:ascii="Calibri" w:hAnsi="Calibri" w:cs="Calibri"/>
          <w:noProof/>
          <w:szCs w:val="24"/>
        </w:rPr>
        <w:t>, 226–235.</w:t>
      </w:r>
    </w:p>
    <w:p w:rsidR="00C73D5C" w:rsidRPr="00C73D5C" w:rsidRDefault="00C73D5C" w:rsidP="00C73D5C">
      <w:pPr>
        <w:widowControl w:val="0"/>
        <w:autoSpaceDE w:val="0"/>
        <w:autoSpaceDN w:val="0"/>
        <w:adjustRightInd w:val="0"/>
        <w:spacing w:before="100" w:after="100" w:line="240" w:lineRule="auto"/>
        <w:ind w:left="640" w:hanging="640"/>
        <w:rPr>
          <w:rFonts w:ascii="Calibri" w:hAnsi="Calibri" w:cs="Calibri"/>
          <w:noProof/>
          <w:szCs w:val="24"/>
        </w:rPr>
      </w:pPr>
      <w:r w:rsidRPr="00C73D5C">
        <w:rPr>
          <w:rFonts w:ascii="Calibri" w:hAnsi="Calibri" w:cs="Calibri"/>
          <w:noProof/>
          <w:szCs w:val="24"/>
        </w:rPr>
        <w:t xml:space="preserve">27. </w:t>
      </w:r>
      <w:r w:rsidRPr="00C73D5C">
        <w:rPr>
          <w:rFonts w:ascii="Calibri" w:hAnsi="Calibri" w:cs="Calibri"/>
          <w:noProof/>
          <w:szCs w:val="24"/>
        </w:rPr>
        <w:tab/>
        <w:t xml:space="preserve">Pottala J, Yaffe K, Robinson JG, et al. (2014) Higher RBC EPA + DHA corresponds with larger total brain and hippocampal volumes: WHIMS-MRI study. </w:t>
      </w:r>
      <w:r w:rsidRPr="00C73D5C">
        <w:rPr>
          <w:rFonts w:ascii="Calibri" w:hAnsi="Calibri" w:cs="Calibri"/>
          <w:i/>
          <w:iCs/>
          <w:noProof/>
          <w:szCs w:val="24"/>
        </w:rPr>
        <w:t>Neurology</w:t>
      </w:r>
      <w:r w:rsidRPr="00C73D5C">
        <w:rPr>
          <w:rFonts w:ascii="Calibri" w:hAnsi="Calibri" w:cs="Calibri"/>
          <w:noProof/>
          <w:szCs w:val="24"/>
        </w:rPr>
        <w:t xml:space="preserve"> </w:t>
      </w:r>
      <w:r w:rsidRPr="00C73D5C">
        <w:rPr>
          <w:rFonts w:ascii="Calibri" w:hAnsi="Calibri" w:cs="Calibri"/>
          <w:b/>
          <w:bCs/>
          <w:noProof/>
          <w:szCs w:val="24"/>
        </w:rPr>
        <w:t>82</w:t>
      </w:r>
      <w:r w:rsidRPr="00C73D5C">
        <w:rPr>
          <w:rFonts w:ascii="Calibri" w:hAnsi="Calibri" w:cs="Calibri"/>
          <w:noProof/>
          <w:szCs w:val="24"/>
        </w:rPr>
        <w:t>, 435–442.</w:t>
      </w:r>
    </w:p>
    <w:p w:rsidR="00C73D5C" w:rsidRPr="00C73D5C" w:rsidRDefault="00C73D5C" w:rsidP="00C73D5C">
      <w:pPr>
        <w:widowControl w:val="0"/>
        <w:autoSpaceDE w:val="0"/>
        <w:autoSpaceDN w:val="0"/>
        <w:adjustRightInd w:val="0"/>
        <w:spacing w:before="100" w:after="100" w:line="240" w:lineRule="auto"/>
        <w:ind w:left="640" w:hanging="640"/>
        <w:rPr>
          <w:rFonts w:ascii="Calibri" w:hAnsi="Calibri" w:cs="Calibri"/>
          <w:noProof/>
          <w:szCs w:val="24"/>
        </w:rPr>
      </w:pPr>
      <w:r w:rsidRPr="00C73D5C">
        <w:rPr>
          <w:rFonts w:ascii="Calibri" w:hAnsi="Calibri" w:cs="Calibri"/>
          <w:noProof/>
          <w:szCs w:val="24"/>
        </w:rPr>
        <w:t xml:space="preserve">28. </w:t>
      </w:r>
      <w:r w:rsidRPr="00C73D5C">
        <w:rPr>
          <w:rFonts w:ascii="Calibri" w:hAnsi="Calibri" w:cs="Calibri"/>
          <w:noProof/>
          <w:szCs w:val="24"/>
        </w:rPr>
        <w:tab/>
        <w:t xml:space="preserve">Walhovd KB, Storsve AB, Westlye LT, et al. (2014) Blood markers of fatty acids and vitamin D, cardiovascular measures, body mass index, and physical activity relate to longitudinal cortical thinning in normal aging. </w:t>
      </w:r>
      <w:r w:rsidRPr="00C73D5C">
        <w:rPr>
          <w:rFonts w:ascii="Calibri" w:hAnsi="Calibri" w:cs="Calibri"/>
          <w:i/>
          <w:iCs/>
          <w:noProof/>
          <w:szCs w:val="24"/>
        </w:rPr>
        <w:t>Neurobiol. Aging</w:t>
      </w:r>
      <w:r w:rsidRPr="00C73D5C">
        <w:rPr>
          <w:rFonts w:ascii="Calibri" w:hAnsi="Calibri" w:cs="Calibri"/>
          <w:noProof/>
          <w:szCs w:val="24"/>
        </w:rPr>
        <w:t xml:space="preserve"> </w:t>
      </w:r>
      <w:r w:rsidRPr="00C73D5C">
        <w:rPr>
          <w:rFonts w:ascii="Calibri" w:hAnsi="Calibri" w:cs="Calibri"/>
          <w:b/>
          <w:bCs/>
          <w:noProof/>
          <w:szCs w:val="24"/>
        </w:rPr>
        <w:t>35</w:t>
      </w:r>
      <w:r w:rsidR="00CD6CEA">
        <w:rPr>
          <w:rFonts w:ascii="Calibri" w:hAnsi="Calibri" w:cs="Calibri"/>
          <w:noProof/>
          <w:szCs w:val="24"/>
        </w:rPr>
        <w:t>, 1055–1064</w:t>
      </w:r>
      <w:r w:rsidRPr="00C73D5C">
        <w:rPr>
          <w:rFonts w:ascii="Calibri" w:hAnsi="Calibri" w:cs="Calibri"/>
          <w:noProof/>
          <w:szCs w:val="24"/>
        </w:rPr>
        <w:t>.</w:t>
      </w:r>
    </w:p>
    <w:p w:rsidR="00C73D5C" w:rsidRPr="00C73D5C" w:rsidRDefault="00C73D5C" w:rsidP="00C73D5C">
      <w:pPr>
        <w:widowControl w:val="0"/>
        <w:autoSpaceDE w:val="0"/>
        <w:autoSpaceDN w:val="0"/>
        <w:adjustRightInd w:val="0"/>
        <w:spacing w:before="100" w:after="100" w:line="240" w:lineRule="auto"/>
        <w:ind w:left="640" w:hanging="640"/>
        <w:rPr>
          <w:rFonts w:ascii="Calibri" w:hAnsi="Calibri" w:cs="Calibri"/>
          <w:noProof/>
          <w:szCs w:val="24"/>
        </w:rPr>
      </w:pPr>
      <w:r w:rsidRPr="00C73D5C">
        <w:rPr>
          <w:rFonts w:ascii="Calibri" w:hAnsi="Calibri" w:cs="Calibri"/>
          <w:noProof/>
          <w:szCs w:val="24"/>
        </w:rPr>
        <w:t xml:space="preserve">29. </w:t>
      </w:r>
      <w:r w:rsidRPr="00C73D5C">
        <w:rPr>
          <w:rFonts w:ascii="Calibri" w:hAnsi="Calibri" w:cs="Calibri"/>
          <w:noProof/>
          <w:szCs w:val="24"/>
        </w:rPr>
        <w:tab/>
        <w:t xml:space="preserve">Bowman GL, Dodge HH, Mattek N, et al. (2013) Plasma omega-3 PUFA and white matter mediated executive decline in older adults. </w:t>
      </w:r>
      <w:r w:rsidRPr="00C73D5C">
        <w:rPr>
          <w:rFonts w:ascii="Calibri" w:hAnsi="Calibri" w:cs="Calibri"/>
          <w:i/>
          <w:iCs/>
          <w:noProof/>
          <w:szCs w:val="24"/>
        </w:rPr>
        <w:t>Front. Aging Neurosci.</w:t>
      </w:r>
      <w:r w:rsidRPr="00C73D5C">
        <w:rPr>
          <w:rFonts w:ascii="Calibri" w:hAnsi="Calibri" w:cs="Calibri"/>
          <w:noProof/>
          <w:szCs w:val="24"/>
        </w:rPr>
        <w:t xml:space="preserve"> </w:t>
      </w:r>
      <w:r w:rsidRPr="00C73D5C">
        <w:rPr>
          <w:rFonts w:ascii="Calibri" w:hAnsi="Calibri" w:cs="Calibri"/>
          <w:b/>
          <w:bCs/>
          <w:noProof/>
          <w:szCs w:val="24"/>
        </w:rPr>
        <w:t>5</w:t>
      </w:r>
      <w:r w:rsidRPr="00C73D5C">
        <w:rPr>
          <w:rFonts w:ascii="Calibri" w:hAnsi="Calibri" w:cs="Calibri"/>
          <w:noProof/>
          <w:szCs w:val="24"/>
        </w:rPr>
        <w:t>, 92.</w:t>
      </w:r>
    </w:p>
    <w:p w:rsidR="00C73D5C" w:rsidRPr="00C73D5C" w:rsidRDefault="00C73D5C" w:rsidP="00C73D5C">
      <w:pPr>
        <w:widowControl w:val="0"/>
        <w:autoSpaceDE w:val="0"/>
        <w:autoSpaceDN w:val="0"/>
        <w:adjustRightInd w:val="0"/>
        <w:spacing w:before="100" w:after="100" w:line="240" w:lineRule="auto"/>
        <w:ind w:left="640" w:hanging="640"/>
        <w:rPr>
          <w:rFonts w:ascii="Calibri" w:hAnsi="Calibri" w:cs="Calibri"/>
          <w:noProof/>
          <w:szCs w:val="24"/>
        </w:rPr>
      </w:pPr>
      <w:r w:rsidRPr="00C73D5C">
        <w:rPr>
          <w:rFonts w:ascii="Calibri" w:hAnsi="Calibri" w:cs="Calibri"/>
          <w:noProof/>
          <w:szCs w:val="24"/>
        </w:rPr>
        <w:t xml:space="preserve">30. </w:t>
      </w:r>
      <w:r w:rsidRPr="00C73D5C">
        <w:rPr>
          <w:rFonts w:ascii="Calibri" w:hAnsi="Calibri" w:cs="Calibri"/>
          <w:noProof/>
          <w:szCs w:val="24"/>
        </w:rPr>
        <w:tab/>
        <w:t xml:space="preserve">Titova OE, Sjögren P, Brooks SJ, et al. (2013) Dietary intake of eicosapentaenoic and docosahexaenoic acids is linked to gray matter volume and cognitive function in elderly. </w:t>
      </w:r>
      <w:r w:rsidR="008251F9">
        <w:rPr>
          <w:rFonts w:ascii="Calibri" w:hAnsi="Calibri" w:cs="Calibri"/>
          <w:i/>
          <w:iCs/>
          <w:noProof/>
          <w:szCs w:val="24"/>
        </w:rPr>
        <w:t>Age</w:t>
      </w:r>
      <w:r w:rsidRPr="00C73D5C">
        <w:rPr>
          <w:rFonts w:ascii="Calibri" w:hAnsi="Calibri" w:cs="Calibri"/>
          <w:noProof/>
          <w:szCs w:val="24"/>
        </w:rPr>
        <w:t xml:space="preserve"> </w:t>
      </w:r>
      <w:r w:rsidRPr="00C73D5C">
        <w:rPr>
          <w:rFonts w:ascii="Calibri" w:hAnsi="Calibri" w:cs="Calibri"/>
          <w:b/>
          <w:bCs/>
          <w:noProof/>
          <w:szCs w:val="24"/>
        </w:rPr>
        <w:t>35</w:t>
      </w:r>
      <w:r w:rsidRPr="00C73D5C">
        <w:rPr>
          <w:rFonts w:ascii="Calibri" w:hAnsi="Calibri" w:cs="Calibri"/>
          <w:noProof/>
          <w:szCs w:val="24"/>
        </w:rPr>
        <w:t>, 1495–1505.</w:t>
      </w:r>
    </w:p>
    <w:p w:rsidR="00C73D5C" w:rsidRPr="00C73D5C" w:rsidRDefault="00C73D5C" w:rsidP="00C73D5C">
      <w:pPr>
        <w:widowControl w:val="0"/>
        <w:autoSpaceDE w:val="0"/>
        <w:autoSpaceDN w:val="0"/>
        <w:adjustRightInd w:val="0"/>
        <w:spacing w:before="100" w:after="100" w:line="240" w:lineRule="auto"/>
        <w:ind w:left="640" w:hanging="640"/>
        <w:rPr>
          <w:rFonts w:ascii="Calibri" w:hAnsi="Calibri" w:cs="Calibri"/>
          <w:noProof/>
          <w:szCs w:val="24"/>
        </w:rPr>
      </w:pPr>
      <w:r w:rsidRPr="00C73D5C">
        <w:rPr>
          <w:rFonts w:ascii="Calibri" w:hAnsi="Calibri" w:cs="Calibri"/>
          <w:noProof/>
          <w:szCs w:val="24"/>
        </w:rPr>
        <w:t xml:space="preserve">31. </w:t>
      </w:r>
      <w:r w:rsidRPr="00C73D5C">
        <w:rPr>
          <w:rFonts w:ascii="Calibri" w:hAnsi="Calibri" w:cs="Calibri"/>
          <w:noProof/>
          <w:szCs w:val="24"/>
        </w:rPr>
        <w:tab/>
        <w:t xml:space="preserve">Samieri C, Maillard P, Crivello F, et al. (2012) Plasma long-chain omega-3 fatty acids and atrophy of the medial temporal lobe. </w:t>
      </w:r>
      <w:r w:rsidRPr="00C73D5C">
        <w:rPr>
          <w:rFonts w:ascii="Calibri" w:hAnsi="Calibri" w:cs="Calibri"/>
          <w:i/>
          <w:iCs/>
          <w:noProof/>
          <w:szCs w:val="24"/>
        </w:rPr>
        <w:t>Neurology</w:t>
      </w:r>
      <w:r w:rsidRPr="00C73D5C">
        <w:rPr>
          <w:rFonts w:ascii="Calibri" w:hAnsi="Calibri" w:cs="Calibri"/>
          <w:noProof/>
          <w:szCs w:val="24"/>
        </w:rPr>
        <w:t xml:space="preserve"> </w:t>
      </w:r>
      <w:r w:rsidRPr="00C73D5C">
        <w:rPr>
          <w:rFonts w:ascii="Calibri" w:hAnsi="Calibri" w:cs="Calibri"/>
          <w:b/>
          <w:bCs/>
          <w:noProof/>
          <w:szCs w:val="24"/>
        </w:rPr>
        <w:t>79</w:t>
      </w:r>
      <w:r w:rsidRPr="00C73D5C">
        <w:rPr>
          <w:rFonts w:ascii="Calibri" w:hAnsi="Calibri" w:cs="Calibri"/>
          <w:noProof/>
          <w:szCs w:val="24"/>
        </w:rPr>
        <w:t>, 642–650.</w:t>
      </w:r>
    </w:p>
    <w:p w:rsidR="00C73D5C" w:rsidRPr="00C73D5C" w:rsidRDefault="00C73D5C" w:rsidP="00C73D5C">
      <w:pPr>
        <w:widowControl w:val="0"/>
        <w:autoSpaceDE w:val="0"/>
        <w:autoSpaceDN w:val="0"/>
        <w:adjustRightInd w:val="0"/>
        <w:spacing w:before="100" w:after="100" w:line="240" w:lineRule="auto"/>
        <w:ind w:left="640" w:hanging="640"/>
        <w:rPr>
          <w:rFonts w:ascii="Calibri" w:hAnsi="Calibri" w:cs="Calibri"/>
          <w:noProof/>
          <w:szCs w:val="24"/>
        </w:rPr>
      </w:pPr>
      <w:r w:rsidRPr="00C73D5C">
        <w:rPr>
          <w:rFonts w:ascii="Calibri" w:hAnsi="Calibri" w:cs="Calibri"/>
          <w:noProof/>
          <w:szCs w:val="24"/>
        </w:rPr>
        <w:t xml:space="preserve">32. </w:t>
      </w:r>
      <w:r w:rsidRPr="00C73D5C">
        <w:rPr>
          <w:rFonts w:ascii="Calibri" w:hAnsi="Calibri" w:cs="Calibri"/>
          <w:noProof/>
          <w:szCs w:val="24"/>
        </w:rPr>
        <w:tab/>
        <w:t xml:space="preserve">Tan ZS, Harris WS, Beiser AS, et al. (2012) Red blood cell omega-3 fatty acid levels and markers of accelerated brain aging. </w:t>
      </w:r>
      <w:r w:rsidRPr="00C73D5C">
        <w:rPr>
          <w:rFonts w:ascii="Calibri" w:hAnsi="Calibri" w:cs="Calibri"/>
          <w:i/>
          <w:iCs/>
          <w:noProof/>
          <w:szCs w:val="24"/>
        </w:rPr>
        <w:t>Neurology</w:t>
      </w:r>
      <w:r w:rsidRPr="00C73D5C">
        <w:rPr>
          <w:rFonts w:ascii="Calibri" w:hAnsi="Calibri" w:cs="Calibri"/>
          <w:noProof/>
          <w:szCs w:val="24"/>
        </w:rPr>
        <w:t xml:space="preserve"> </w:t>
      </w:r>
      <w:r w:rsidRPr="00C73D5C">
        <w:rPr>
          <w:rFonts w:ascii="Calibri" w:hAnsi="Calibri" w:cs="Calibri"/>
          <w:b/>
          <w:bCs/>
          <w:noProof/>
          <w:szCs w:val="24"/>
        </w:rPr>
        <w:t>78</w:t>
      </w:r>
      <w:r w:rsidRPr="00C73D5C">
        <w:rPr>
          <w:rFonts w:ascii="Calibri" w:hAnsi="Calibri" w:cs="Calibri"/>
          <w:noProof/>
          <w:szCs w:val="24"/>
        </w:rPr>
        <w:t>, 658–664.</w:t>
      </w:r>
    </w:p>
    <w:p w:rsidR="00C73D5C" w:rsidRPr="00C73D5C" w:rsidRDefault="00C73D5C" w:rsidP="00C73D5C">
      <w:pPr>
        <w:widowControl w:val="0"/>
        <w:autoSpaceDE w:val="0"/>
        <w:autoSpaceDN w:val="0"/>
        <w:adjustRightInd w:val="0"/>
        <w:spacing w:before="100" w:after="100" w:line="240" w:lineRule="auto"/>
        <w:ind w:left="640" w:hanging="640"/>
        <w:rPr>
          <w:rFonts w:ascii="Calibri" w:hAnsi="Calibri" w:cs="Calibri"/>
          <w:noProof/>
          <w:szCs w:val="24"/>
        </w:rPr>
      </w:pPr>
      <w:r w:rsidRPr="00C73D5C">
        <w:rPr>
          <w:rFonts w:ascii="Calibri" w:hAnsi="Calibri" w:cs="Calibri"/>
          <w:noProof/>
          <w:szCs w:val="24"/>
        </w:rPr>
        <w:t xml:space="preserve">33. </w:t>
      </w:r>
      <w:r w:rsidRPr="00C73D5C">
        <w:rPr>
          <w:rFonts w:ascii="Calibri" w:hAnsi="Calibri" w:cs="Calibri"/>
          <w:noProof/>
          <w:szCs w:val="24"/>
        </w:rPr>
        <w:tab/>
        <w:t xml:space="preserve">Karakis I, Pase MP, Beiser A, et al. (2016) Association of Serum Vitamin D with the Risk of Incident Dementia and Subclinical Indices of Brain Aging: The Framingham Heart Study. </w:t>
      </w:r>
      <w:r w:rsidRPr="00C73D5C">
        <w:rPr>
          <w:rFonts w:ascii="Calibri" w:hAnsi="Calibri" w:cs="Calibri"/>
          <w:i/>
          <w:iCs/>
          <w:noProof/>
          <w:szCs w:val="24"/>
        </w:rPr>
        <w:t>J. Alzheimer’s Dis.</w:t>
      </w:r>
      <w:r w:rsidRPr="00C73D5C">
        <w:rPr>
          <w:rFonts w:ascii="Calibri" w:hAnsi="Calibri" w:cs="Calibri"/>
          <w:noProof/>
          <w:szCs w:val="24"/>
        </w:rPr>
        <w:t xml:space="preserve"> </w:t>
      </w:r>
      <w:r w:rsidRPr="00C73D5C">
        <w:rPr>
          <w:rFonts w:ascii="Calibri" w:hAnsi="Calibri" w:cs="Calibri"/>
          <w:b/>
          <w:bCs/>
          <w:noProof/>
          <w:szCs w:val="24"/>
        </w:rPr>
        <w:t>51</w:t>
      </w:r>
      <w:r w:rsidRPr="00C73D5C">
        <w:rPr>
          <w:rFonts w:ascii="Calibri" w:hAnsi="Calibri" w:cs="Calibri"/>
          <w:noProof/>
          <w:szCs w:val="24"/>
        </w:rPr>
        <w:t>, 451–461.</w:t>
      </w:r>
    </w:p>
    <w:p w:rsidR="00C73D5C" w:rsidRPr="00C73D5C" w:rsidRDefault="00C73D5C" w:rsidP="00C73D5C">
      <w:pPr>
        <w:widowControl w:val="0"/>
        <w:autoSpaceDE w:val="0"/>
        <w:autoSpaceDN w:val="0"/>
        <w:adjustRightInd w:val="0"/>
        <w:spacing w:before="100" w:after="100" w:line="240" w:lineRule="auto"/>
        <w:ind w:left="640" w:hanging="640"/>
        <w:rPr>
          <w:rFonts w:ascii="Calibri" w:hAnsi="Calibri" w:cs="Calibri"/>
          <w:noProof/>
          <w:szCs w:val="24"/>
        </w:rPr>
      </w:pPr>
      <w:r w:rsidRPr="00C73D5C">
        <w:rPr>
          <w:rFonts w:ascii="Calibri" w:hAnsi="Calibri" w:cs="Calibri"/>
          <w:noProof/>
          <w:szCs w:val="24"/>
        </w:rPr>
        <w:t xml:space="preserve">34. </w:t>
      </w:r>
      <w:r w:rsidRPr="00C73D5C">
        <w:rPr>
          <w:rFonts w:ascii="Calibri" w:hAnsi="Calibri" w:cs="Calibri"/>
          <w:noProof/>
          <w:szCs w:val="24"/>
        </w:rPr>
        <w:tab/>
        <w:t xml:space="preserve">Gu Y, Vorburger RS, Gazes Y, et al. (2016) White Matter Integrity as a Mediator in the Relationship between Dietary Nutrients and Cognition in the Elderly. </w:t>
      </w:r>
      <w:r w:rsidRPr="00C73D5C">
        <w:rPr>
          <w:rFonts w:ascii="Calibri" w:hAnsi="Calibri" w:cs="Calibri"/>
          <w:i/>
          <w:iCs/>
          <w:noProof/>
          <w:szCs w:val="24"/>
        </w:rPr>
        <w:t>Ann. Neurol.</w:t>
      </w:r>
      <w:r w:rsidRPr="00C73D5C">
        <w:rPr>
          <w:rFonts w:ascii="Calibri" w:hAnsi="Calibri" w:cs="Calibri"/>
          <w:noProof/>
          <w:szCs w:val="24"/>
        </w:rPr>
        <w:t xml:space="preserve"> </w:t>
      </w:r>
      <w:r w:rsidRPr="00C73D5C">
        <w:rPr>
          <w:rFonts w:ascii="Calibri" w:hAnsi="Calibri" w:cs="Calibri"/>
          <w:b/>
          <w:bCs/>
          <w:noProof/>
          <w:szCs w:val="24"/>
        </w:rPr>
        <w:t>79</w:t>
      </w:r>
      <w:r w:rsidRPr="00C73D5C">
        <w:rPr>
          <w:rFonts w:ascii="Calibri" w:hAnsi="Calibri" w:cs="Calibri"/>
          <w:noProof/>
          <w:szCs w:val="24"/>
        </w:rPr>
        <w:t>, 1014–1025.</w:t>
      </w:r>
    </w:p>
    <w:p w:rsidR="00C73D5C" w:rsidRPr="00C73D5C" w:rsidRDefault="00C73D5C" w:rsidP="00C73D5C">
      <w:pPr>
        <w:widowControl w:val="0"/>
        <w:autoSpaceDE w:val="0"/>
        <w:autoSpaceDN w:val="0"/>
        <w:adjustRightInd w:val="0"/>
        <w:spacing w:before="100" w:after="100" w:line="240" w:lineRule="auto"/>
        <w:ind w:left="640" w:hanging="640"/>
        <w:rPr>
          <w:rFonts w:ascii="Calibri" w:hAnsi="Calibri" w:cs="Calibri"/>
          <w:noProof/>
          <w:szCs w:val="24"/>
        </w:rPr>
      </w:pPr>
      <w:r w:rsidRPr="00C73D5C">
        <w:rPr>
          <w:rFonts w:ascii="Calibri" w:hAnsi="Calibri" w:cs="Calibri"/>
          <w:noProof/>
          <w:szCs w:val="24"/>
        </w:rPr>
        <w:t xml:space="preserve">35. </w:t>
      </w:r>
      <w:r w:rsidRPr="00C73D5C">
        <w:rPr>
          <w:rFonts w:ascii="Calibri" w:hAnsi="Calibri" w:cs="Calibri"/>
          <w:noProof/>
          <w:szCs w:val="24"/>
        </w:rPr>
        <w:tab/>
        <w:t xml:space="preserve">Berti V, Murray J, Davies M, et al. (2015) Nutrient patterns and brain biomarkers of Alzheimer’s disease in cognitively normal individuals. </w:t>
      </w:r>
      <w:r w:rsidRPr="00C73D5C">
        <w:rPr>
          <w:rFonts w:ascii="Calibri" w:hAnsi="Calibri" w:cs="Calibri"/>
          <w:i/>
          <w:iCs/>
          <w:noProof/>
          <w:szCs w:val="24"/>
        </w:rPr>
        <w:t>J. Nutr. Health Aging</w:t>
      </w:r>
      <w:r w:rsidRPr="00C73D5C">
        <w:rPr>
          <w:rFonts w:ascii="Calibri" w:hAnsi="Calibri" w:cs="Calibri"/>
          <w:noProof/>
          <w:szCs w:val="24"/>
        </w:rPr>
        <w:t xml:space="preserve"> </w:t>
      </w:r>
      <w:r w:rsidRPr="00C73D5C">
        <w:rPr>
          <w:rFonts w:ascii="Calibri" w:hAnsi="Calibri" w:cs="Calibri"/>
          <w:b/>
          <w:bCs/>
          <w:noProof/>
          <w:szCs w:val="24"/>
        </w:rPr>
        <w:t>19</w:t>
      </w:r>
      <w:r w:rsidRPr="00C73D5C">
        <w:rPr>
          <w:rFonts w:ascii="Calibri" w:hAnsi="Calibri" w:cs="Calibri"/>
          <w:noProof/>
          <w:szCs w:val="24"/>
        </w:rPr>
        <w:t>, 413–423.</w:t>
      </w:r>
    </w:p>
    <w:p w:rsidR="00C73D5C" w:rsidRPr="00C73D5C" w:rsidRDefault="00C73D5C" w:rsidP="00C73D5C">
      <w:pPr>
        <w:widowControl w:val="0"/>
        <w:autoSpaceDE w:val="0"/>
        <w:autoSpaceDN w:val="0"/>
        <w:adjustRightInd w:val="0"/>
        <w:spacing w:before="100" w:after="100" w:line="240" w:lineRule="auto"/>
        <w:ind w:left="640" w:hanging="640"/>
        <w:rPr>
          <w:rFonts w:ascii="Calibri" w:hAnsi="Calibri" w:cs="Calibri"/>
          <w:noProof/>
          <w:szCs w:val="24"/>
        </w:rPr>
      </w:pPr>
      <w:r w:rsidRPr="00C73D5C">
        <w:rPr>
          <w:rFonts w:ascii="Calibri" w:hAnsi="Calibri" w:cs="Calibri"/>
          <w:noProof/>
          <w:szCs w:val="24"/>
        </w:rPr>
        <w:t xml:space="preserve">36. </w:t>
      </w:r>
      <w:r w:rsidRPr="00C73D5C">
        <w:rPr>
          <w:rFonts w:ascii="Calibri" w:hAnsi="Calibri" w:cs="Calibri"/>
          <w:noProof/>
          <w:szCs w:val="24"/>
        </w:rPr>
        <w:tab/>
        <w:t xml:space="preserve">Bowman GL, Howieson D, Traber MG, et al. (2012) Nutrient biomarker patterns, cognitive function, and MRI measures of brain aging. </w:t>
      </w:r>
      <w:r w:rsidRPr="00C73D5C">
        <w:rPr>
          <w:rFonts w:ascii="Calibri" w:hAnsi="Calibri" w:cs="Calibri"/>
          <w:i/>
          <w:iCs/>
          <w:noProof/>
          <w:szCs w:val="24"/>
        </w:rPr>
        <w:t>Neurology</w:t>
      </w:r>
      <w:r w:rsidRPr="00C73D5C">
        <w:rPr>
          <w:rFonts w:ascii="Calibri" w:hAnsi="Calibri" w:cs="Calibri"/>
          <w:noProof/>
          <w:szCs w:val="24"/>
        </w:rPr>
        <w:t xml:space="preserve"> </w:t>
      </w:r>
      <w:r w:rsidRPr="00C73D5C">
        <w:rPr>
          <w:rFonts w:ascii="Calibri" w:hAnsi="Calibri" w:cs="Calibri"/>
          <w:b/>
          <w:bCs/>
          <w:noProof/>
          <w:szCs w:val="24"/>
        </w:rPr>
        <w:t>78</w:t>
      </w:r>
      <w:r w:rsidRPr="00C73D5C">
        <w:rPr>
          <w:rFonts w:ascii="Calibri" w:hAnsi="Calibri" w:cs="Calibri"/>
          <w:noProof/>
          <w:szCs w:val="24"/>
        </w:rPr>
        <w:t>, 241–249.</w:t>
      </w:r>
    </w:p>
    <w:p w:rsidR="00C73D5C" w:rsidRPr="00C73D5C" w:rsidRDefault="00C73D5C" w:rsidP="00C73D5C">
      <w:pPr>
        <w:widowControl w:val="0"/>
        <w:autoSpaceDE w:val="0"/>
        <w:autoSpaceDN w:val="0"/>
        <w:adjustRightInd w:val="0"/>
        <w:spacing w:before="100" w:after="100" w:line="240" w:lineRule="auto"/>
        <w:ind w:left="640" w:hanging="640"/>
        <w:rPr>
          <w:rFonts w:ascii="Calibri" w:hAnsi="Calibri" w:cs="Calibri"/>
          <w:noProof/>
          <w:szCs w:val="24"/>
        </w:rPr>
      </w:pPr>
      <w:r w:rsidRPr="00C73D5C">
        <w:rPr>
          <w:rFonts w:ascii="Calibri" w:hAnsi="Calibri" w:cs="Calibri"/>
          <w:noProof/>
          <w:szCs w:val="24"/>
        </w:rPr>
        <w:t xml:space="preserve">37. </w:t>
      </w:r>
      <w:r w:rsidRPr="00C73D5C">
        <w:rPr>
          <w:rFonts w:ascii="Calibri" w:hAnsi="Calibri" w:cs="Calibri"/>
          <w:noProof/>
          <w:szCs w:val="24"/>
        </w:rPr>
        <w:tab/>
        <w:t xml:space="preserve">Luciano M, Corley J, Cox SR, et al. (2017) Mediterranean-type diet and brain structural change from 73 to 76 years in a Scottish cohort. </w:t>
      </w:r>
      <w:r w:rsidRPr="00C73D5C">
        <w:rPr>
          <w:rFonts w:ascii="Calibri" w:hAnsi="Calibri" w:cs="Calibri"/>
          <w:i/>
          <w:iCs/>
          <w:noProof/>
          <w:szCs w:val="24"/>
        </w:rPr>
        <w:t>Neurology</w:t>
      </w:r>
      <w:r w:rsidRPr="00C73D5C">
        <w:rPr>
          <w:rFonts w:ascii="Calibri" w:hAnsi="Calibri" w:cs="Calibri"/>
          <w:noProof/>
          <w:szCs w:val="24"/>
        </w:rPr>
        <w:t xml:space="preserve"> </w:t>
      </w:r>
      <w:r w:rsidRPr="00C73D5C">
        <w:rPr>
          <w:rFonts w:ascii="Calibri" w:hAnsi="Calibri" w:cs="Calibri"/>
          <w:b/>
          <w:bCs/>
          <w:noProof/>
          <w:szCs w:val="24"/>
        </w:rPr>
        <w:t>88</w:t>
      </w:r>
      <w:r w:rsidRPr="00C73D5C">
        <w:rPr>
          <w:rFonts w:ascii="Calibri" w:hAnsi="Calibri" w:cs="Calibri"/>
          <w:noProof/>
          <w:szCs w:val="24"/>
        </w:rPr>
        <w:t>, 449–456.</w:t>
      </w:r>
    </w:p>
    <w:p w:rsidR="00C73D5C" w:rsidRPr="00C73D5C" w:rsidRDefault="00CD6CEA" w:rsidP="00C73D5C">
      <w:pPr>
        <w:widowControl w:val="0"/>
        <w:autoSpaceDE w:val="0"/>
        <w:autoSpaceDN w:val="0"/>
        <w:adjustRightInd w:val="0"/>
        <w:spacing w:before="100" w:after="100" w:line="240" w:lineRule="auto"/>
        <w:ind w:left="640" w:hanging="640"/>
        <w:rPr>
          <w:rFonts w:ascii="Calibri" w:hAnsi="Calibri" w:cs="Calibri"/>
          <w:noProof/>
          <w:szCs w:val="24"/>
        </w:rPr>
      </w:pPr>
      <w:r>
        <w:rPr>
          <w:rFonts w:ascii="Calibri" w:hAnsi="Calibri" w:cs="Calibri"/>
          <w:noProof/>
          <w:szCs w:val="24"/>
        </w:rPr>
        <w:t xml:space="preserve">38. </w:t>
      </w:r>
      <w:r>
        <w:rPr>
          <w:rFonts w:ascii="Calibri" w:hAnsi="Calibri" w:cs="Calibri"/>
          <w:noProof/>
          <w:szCs w:val="24"/>
        </w:rPr>
        <w:tab/>
        <w:t>Staubo SC, Aakre JA</w:t>
      </w:r>
      <w:r w:rsidR="00C73D5C" w:rsidRPr="00C73D5C">
        <w:rPr>
          <w:rFonts w:ascii="Calibri" w:hAnsi="Calibri" w:cs="Calibri"/>
          <w:noProof/>
          <w:szCs w:val="24"/>
        </w:rPr>
        <w:t xml:space="preserve">, Vemuri P, et al. (2017) Mediterranean diet, micronutrients and macronutrients, and MRI measures of cortical thickness. </w:t>
      </w:r>
      <w:r w:rsidR="00C73D5C" w:rsidRPr="00C73D5C">
        <w:rPr>
          <w:rFonts w:ascii="Calibri" w:hAnsi="Calibri" w:cs="Calibri"/>
          <w:i/>
          <w:iCs/>
          <w:noProof/>
          <w:szCs w:val="24"/>
        </w:rPr>
        <w:t>Alzheimer’s Dement.</w:t>
      </w:r>
      <w:r w:rsidR="00C73D5C" w:rsidRPr="00C73D5C">
        <w:rPr>
          <w:rFonts w:ascii="Calibri" w:hAnsi="Calibri" w:cs="Calibri"/>
          <w:noProof/>
          <w:szCs w:val="24"/>
        </w:rPr>
        <w:t xml:space="preserve"> </w:t>
      </w:r>
      <w:r w:rsidR="00C73D5C" w:rsidRPr="00C73D5C">
        <w:rPr>
          <w:rFonts w:ascii="Calibri" w:hAnsi="Calibri" w:cs="Calibri"/>
          <w:b/>
          <w:bCs/>
          <w:noProof/>
          <w:szCs w:val="24"/>
        </w:rPr>
        <w:t>13</w:t>
      </w:r>
      <w:r w:rsidR="00C73D5C" w:rsidRPr="00C73D5C">
        <w:rPr>
          <w:rFonts w:ascii="Calibri" w:hAnsi="Calibri" w:cs="Calibri"/>
          <w:noProof/>
          <w:szCs w:val="24"/>
        </w:rPr>
        <w:t xml:space="preserve">, 168–177. </w:t>
      </w:r>
    </w:p>
    <w:p w:rsidR="00C73D5C" w:rsidRPr="00C73D5C" w:rsidRDefault="00C73D5C" w:rsidP="00C73D5C">
      <w:pPr>
        <w:widowControl w:val="0"/>
        <w:autoSpaceDE w:val="0"/>
        <w:autoSpaceDN w:val="0"/>
        <w:adjustRightInd w:val="0"/>
        <w:spacing w:before="100" w:after="100" w:line="240" w:lineRule="auto"/>
        <w:ind w:left="640" w:hanging="640"/>
        <w:rPr>
          <w:rFonts w:ascii="Calibri" w:hAnsi="Calibri" w:cs="Calibri"/>
          <w:noProof/>
          <w:szCs w:val="24"/>
        </w:rPr>
      </w:pPr>
      <w:r w:rsidRPr="00C73D5C">
        <w:rPr>
          <w:rFonts w:ascii="Calibri" w:hAnsi="Calibri" w:cs="Calibri"/>
          <w:noProof/>
          <w:szCs w:val="24"/>
        </w:rPr>
        <w:lastRenderedPageBreak/>
        <w:t xml:space="preserve">39. </w:t>
      </w:r>
      <w:r w:rsidRPr="00C73D5C">
        <w:rPr>
          <w:rFonts w:ascii="Calibri" w:hAnsi="Calibri" w:cs="Calibri"/>
          <w:noProof/>
          <w:szCs w:val="24"/>
        </w:rPr>
        <w:tab/>
        <w:t xml:space="preserve">Gu Y, Brickman AM, Stern Y, et al. (2015) Mediterranean diet and brain structure in a multiethnic elderly cohort. </w:t>
      </w:r>
      <w:r w:rsidRPr="00C73D5C">
        <w:rPr>
          <w:rFonts w:ascii="Calibri" w:hAnsi="Calibri" w:cs="Calibri"/>
          <w:i/>
          <w:iCs/>
          <w:noProof/>
          <w:szCs w:val="24"/>
        </w:rPr>
        <w:t>Neurology</w:t>
      </w:r>
      <w:r w:rsidRPr="00C73D5C">
        <w:rPr>
          <w:rFonts w:ascii="Calibri" w:hAnsi="Calibri" w:cs="Calibri"/>
          <w:noProof/>
          <w:szCs w:val="24"/>
        </w:rPr>
        <w:t xml:space="preserve"> </w:t>
      </w:r>
      <w:r w:rsidRPr="00C73D5C">
        <w:rPr>
          <w:rFonts w:ascii="Calibri" w:hAnsi="Calibri" w:cs="Calibri"/>
          <w:b/>
          <w:bCs/>
          <w:noProof/>
          <w:szCs w:val="24"/>
        </w:rPr>
        <w:t>85</w:t>
      </w:r>
      <w:r w:rsidRPr="00C73D5C">
        <w:rPr>
          <w:rFonts w:ascii="Calibri" w:hAnsi="Calibri" w:cs="Calibri"/>
          <w:noProof/>
          <w:szCs w:val="24"/>
        </w:rPr>
        <w:t>, 1–8.</w:t>
      </w:r>
    </w:p>
    <w:p w:rsidR="00C73D5C" w:rsidRPr="00C73D5C" w:rsidRDefault="00C73D5C" w:rsidP="00C73D5C">
      <w:pPr>
        <w:widowControl w:val="0"/>
        <w:autoSpaceDE w:val="0"/>
        <w:autoSpaceDN w:val="0"/>
        <w:adjustRightInd w:val="0"/>
        <w:spacing w:before="100" w:after="100" w:line="240" w:lineRule="auto"/>
        <w:ind w:left="640" w:hanging="640"/>
        <w:rPr>
          <w:rFonts w:ascii="Calibri" w:hAnsi="Calibri" w:cs="Calibri"/>
          <w:noProof/>
          <w:szCs w:val="24"/>
        </w:rPr>
      </w:pPr>
      <w:r w:rsidRPr="00C73D5C">
        <w:rPr>
          <w:rFonts w:ascii="Calibri" w:hAnsi="Calibri" w:cs="Calibri"/>
          <w:noProof/>
          <w:szCs w:val="24"/>
        </w:rPr>
        <w:t xml:space="preserve">40. </w:t>
      </w:r>
      <w:r w:rsidRPr="00C73D5C">
        <w:rPr>
          <w:rFonts w:ascii="Calibri" w:hAnsi="Calibri" w:cs="Calibri"/>
          <w:noProof/>
          <w:szCs w:val="24"/>
        </w:rPr>
        <w:tab/>
        <w:t xml:space="preserve">Pelletier A, Barul C &amp; Catherine F (2015) Mediterranean diet and preserved brain structural connectivity in older subjects. </w:t>
      </w:r>
      <w:r w:rsidRPr="00C73D5C">
        <w:rPr>
          <w:rFonts w:ascii="Calibri" w:hAnsi="Calibri" w:cs="Calibri"/>
          <w:i/>
          <w:iCs/>
          <w:noProof/>
          <w:szCs w:val="24"/>
        </w:rPr>
        <w:t>Alzheimer’s Dement.</w:t>
      </w:r>
      <w:r w:rsidRPr="00C73D5C">
        <w:rPr>
          <w:rFonts w:ascii="Calibri" w:hAnsi="Calibri" w:cs="Calibri"/>
          <w:noProof/>
          <w:szCs w:val="24"/>
        </w:rPr>
        <w:t xml:space="preserve"> </w:t>
      </w:r>
      <w:r w:rsidRPr="00C73D5C">
        <w:rPr>
          <w:rFonts w:ascii="Calibri" w:hAnsi="Calibri" w:cs="Calibri"/>
          <w:b/>
          <w:bCs/>
          <w:noProof/>
          <w:szCs w:val="24"/>
        </w:rPr>
        <w:t>11</w:t>
      </w:r>
      <w:r w:rsidRPr="00C73D5C">
        <w:rPr>
          <w:rFonts w:ascii="Calibri" w:hAnsi="Calibri" w:cs="Calibri"/>
          <w:noProof/>
          <w:szCs w:val="24"/>
        </w:rPr>
        <w:t>, 1023–1031.</w:t>
      </w:r>
    </w:p>
    <w:p w:rsidR="00C73D5C" w:rsidRPr="00C73D5C" w:rsidRDefault="00C73D5C" w:rsidP="00C73D5C">
      <w:pPr>
        <w:widowControl w:val="0"/>
        <w:autoSpaceDE w:val="0"/>
        <w:autoSpaceDN w:val="0"/>
        <w:adjustRightInd w:val="0"/>
        <w:spacing w:before="100" w:after="100" w:line="240" w:lineRule="auto"/>
        <w:ind w:left="640" w:hanging="640"/>
        <w:rPr>
          <w:rFonts w:ascii="Calibri" w:hAnsi="Calibri" w:cs="Calibri"/>
          <w:noProof/>
          <w:szCs w:val="24"/>
        </w:rPr>
      </w:pPr>
      <w:r w:rsidRPr="00C73D5C">
        <w:rPr>
          <w:rFonts w:ascii="Calibri" w:hAnsi="Calibri" w:cs="Calibri"/>
          <w:noProof/>
          <w:szCs w:val="24"/>
        </w:rPr>
        <w:t xml:space="preserve">41. </w:t>
      </w:r>
      <w:r w:rsidRPr="00C73D5C">
        <w:rPr>
          <w:rFonts w:ascii="Calibri" w:hAnsi="Calibri" w:cs="Calibri"/>
          <w:noProof/>
          <w:szCs w:val="24"/>
        </w:rPr>
        <w:tab/>
        <w:t xml:space="preserve">Mosconi L, Murray J, Tsui WH, et al. (2014) Mediterranean Diet and Magnetic Resonance Imaging-Assessed Brain Atrophy in Cognitively Normal Individuals at Risk for Alzheimer’s Disease. </w:t>
      </w:r>
      <w:r w:rsidRPr="00C73D5C">
        <w:rPr>
          <w:rFonts w:ascii="Calibri" w:hAnsi="Calibri" w:cs="Calibri"/>
          <w:i/>
          <w:iCs/>
          <w:noProof/>
          <w:szCs w:val="24"/>
        </w:rPr>
        <w:t>J. Prev. Alzheimer’s Dis.</w:t>
      </w:r>
      <w:r w:rsidRPr="00C73D5C">
        <w:rPr>
          <w:rFonts w:ascii="Calibri" w:hAnsi="Calibri" w:cs="Calibri"/>
          <w:noProof/>
          <w:szCs w:val="24"/>
        </w:rPr>
        <w:t xml:space="preserve"> </w:t>
      </w:r>
      <w:r w:rsidRPr="00C73D5C">
        <w:rPr>
          <w:rFonts w:ascii="Calibri" w:hAnsi="Calibri" w:cs="Calibri"/>
          <w:b/>
          <w:bCs/>
          <w:noProof/>
          <w:szCs w:val="24"/>
        </w:rPr>
        <w:t>1</w:t>
      </w:r>
      <w:r w:rsidRPr="00C73D5C">
        <w:rPr>
          <w:rFonts w:ascii="Calibri" w:hAnsi="Calibri" w:cs="Calibri"/>
          <w:noProof/>
          <w:szCs w:val="24"/>
        </w:rPr>
        <w:t>, 23–32.</w:t>
      </w:r>
    </w:p>
    <w:p w:rsidR="00C73D5C" w:rsidRPr="00C73D5C" w:rsidRDefault="00C73D5C" w:rsidP="00C73D5C">
      <w:pPr>
        <w:widowControl w:val="0"/>
        <w:autoSpaceDE w:val="0"/>
        <w:autoSpaceDN w:val="0"/>
        <w:adjustRightInd w:val="0"/>
        <w:spacing w:before="100" w:after="100" w:line="240" w:lineRule="auto"/>
        <w:ind w:left="640" w:hanging="640"/>
        <w:rPr>
          <w:rFonts w:ascii="Calibri" w:hAnsi="Calibri" w:cs="Calibri"/>
          <w:noProof/>
          <w:szCs w:val="24"/>
        </w:rPr>
      </w:pPr>
      <w:r w:rsidRPr="00C73D5C">
        <w:rPr>
          <w:rFonts w:ascii="Calibri" w:hAnsi="Calibri" w:cs="Calibri"/>
          <w:noProof/>
          <w:szCs w:val="24"/>
        </w:rPr>
        <w:t xml:space="preserve">42. </w:t>
      </w:r>
      <w:r w:rsidRPr="00C73D5C">
        <w:rPr>
          <w:rFonts w:ascii="Calibri" w:hAnsi="Calibri" w:cs="Calibri"/>
          <w:noProof/>
          <w:szCs w:val="24"/>
        </w:rPr>
        <w:tab/>
        <w:t xml:space="preserve">Titova OE, Ax E, Brooks SJ, et al. (2013) Mediterranean diet habits in older individuals: associations with cognitive functioning and brain volumes. </w:t>
      </w:r>
      <w:r w:rsidRPr="00C73D5C">
        <w:rPr>
          <w:rFonts w:ascii="Calibri" w:hAnsi="Calibri" w:cs="Calibri"/>
          <w:i/>
          <w:iCs/>
          <w:noProof/>
          <w:szCs w:val="24"/>
        </w:rPr>
        <w:t>Exp. Gerontol.</w:t>
      </w:r>
      <w:r w:rsidRPr="00C73D5C">
        <w:rPr>
          <w:rFonts w:ascii="Calibri" w:hAnsi="Calibri" w:cs="Calibri"/>
          <w:noProof/>
          <w:szCs w:val="24"/>
        </w:rPr>
        <w:t xml:space="preserve"> </w:t>
      </w:r>
      <w:r w:rsidRPr="00C73D5C">
        <w:rPr>
          <w:rFonts w:ascii="Calibri" w:hAnsi="Calibri" w:cs="Calibri"/>
          <w:b/>
          <w:bCs/>
          <w:noProof/>
          <w:szCs w:val="24"/>
        </w:rPr>
        <w:t>48</w:t>
      </w:r>
      <w:r w:rsidR="00CD6CEA">
        <w:rPr>
          <w:rFonts w:ascii="Calibri" w:hAnsi="Calibri" w:cs="Calibri"/>
          <w:noProof/>
          <w:szCs w:val="24"/>
        </w:rPr>
        <w:t>, 1443–1448</w:t>
      </w:r>
      <w:r w:rsidRPr="00C73D5C">
        <w:rPr>
          <w:rFonts w:ascii="Calibri" w:hAnsi="Calibri" w:cs="Calibri"/>
          <w:noProof/>
          <w:szCs w:val="24"/>
        </w:rPr>
        <w:t>.</w:t>
      </w:r>
    </w:p>
    <w:p w:rsidR="00C73D5C" w:rsidRPr="00C73D5C" w:rsidRDefault="00C73D5C" w:rsidP="00C73D5C">
      <w:pPr>
        <w:widowControl w:val="0"/>
        <w:autoSpaceDE w:val="0"/>
        <w:autoSpaceDN w:val="0"/>
        <w:adjustRightInd w:val="0"/>
        <w:spacing w:before="100" w:after="100" w:line="240" w:lineRule="auto"/>
        <w:ind w:left="640" w:hanging="640"/>
        <w:rPr>
          <w:rFonts w:ascii="Calibri" w:hAnsi="Calibri" w:cs="Calibri"/>
          <w:noProof/>
          <w:szCs w:val="24"/>
        </w:rPr>
      </w:pPr>
      <w:r w:rsidRPr="00C73D5C">
        <w:rPr>
          <w:rFonts w:ascii="Calibri" w:hAnsi="Calibri" w:cs="Calibri"/>
          <w:noProof/>
          <w:szCs w:val="24"/>
        </w:rPr>
        <w:t xml:space="preserve">43. </w:t>
      </w:r>
      <w:r w:rsidRPr="00C73D5C">
        <w:rPr>
          <w:rFonts w:ascii="Calibri" w:hAnsi="Calibri" w:cs="Calibri"/>
          <w:noProof/>
          <w:szCs w:val="24"/>
        </w:rPr>
        <w:tab/>
        <w:t xml:space="preserve">Croll PH, Voortman T, Ikram MA, et al. (2018) Better diet quality relates to larger brain tissue volumes: The Rotterdam Study. </w:t>
      </w:r>
      <w:r w:rsidRPr="00C73D5C">
        <w:rPr>
          <w:rFonts w:ascii="Calibri" w:hAnsi="Calibri" w:cs="Calibri"/>
          <w:i/>
          <w:iCs/>
          <w:noProof/>
          <w:szCs w:val="24"/>
        </w:rPr>
        <w:t>Neurology</w:t>
      </w:r>
      <w:r w:rsidRPr="00C73D5C">
        <w:rPr>
          <w:rFonts w:ascii="Calibri" w:hAnsi="Calibri" w:cs="Calibri"/>
          <w:noProof/>
          <w:szCs w:val="24"/>
        </w:rPr>
        <w:t xml:space="preserve"> </w:t>
      </w:r>
      <w:r w:rsidRPr="00C73D5C">
        <w:rPr>
          <w:rFonts w:ascii="Calibri" w:hAnsi="Calibri" w:cs="Calibri"/>
          <w:b/>
          <w:bCs/>
          <w:noProof/>
          <w:szCs w:val="24"/>
        </w:rPr>
        <w:t>90</w:t>
      </w:r>
      <w:r w:rsidRPr="00C73D5C">
        <w:rPr>
          <w:rFonts w:ascii="Calibri" w:hAnsi="Calibri" w:cs="Calibri"/>
          <w:noProof/>
          <w:szCs w:val="24"/>
        </w:rPr>
        <w:t>, e2166–e2173.</w:t>
      </w:r>
    </w:p>
    <w:p w:rsidR="00C73D5C" w:rsidRPr="00C73D5C" w:rsidRDefault="00C73D5C" w:rsidP="00C73D5C">
      <w:pPr>
        <w:widowControl w:val="0"/>
        <w:autoSpaceDE w:val="0"/>
        <w:autoSpaceDN w:val="0"/>
        <w:adjustRightInd w:val="0"/>
        <w:spacing w:before="100" w:after="100" w:line="240" w:lineRule="auto"/>
        <w:ind w:left="640" w:hanging="640"/>
        <w:rPr>
          <w:rFonts w:ascii="Calibri" w:hAnsi="Calibri" w:cs="Calibri"/>
          <w:noProof/>
          <w:szCs w:val="24"/>
        </w:rPr>
      </w:pPr>
      <w:r w:rsidRPr="00C73D5C">
        <w:rPr>
          <w:rFonts w:ascii="Calibri" w:hAnsi="Calibri" w:cs="Calibri"/>
          <w:noProof/>
          <w:szCs w:val="24"/>
        </w:rPr>
        <w:t xml:space="preserve">44. </w:t>
      </w:r>
      <w:r w:rsidRPr="00C73D5C">
        <w:rPr>
          <w:rFonts w:ascii="Calibri" w:hAnsi="Calibri" w:cs="Calibri"/>
          <w:noProof/>
          <w:szCs w:val="24"/>
        </w:rPr>
        <w:tab/>
        <w:t xml:space="preserve">Jacka FN, Cherbuin N, Anstey KJ, et al. (2015) Western diet is associated with a smaller hippocampus: a longitudinal investigation. </w:t>
      </w:r>
      <w:r w:rsidRPr="00C73D5C">
        <w:rPr>
          <w:rFonts w:ascii="Calibri" w:hAnsi="Calibri" w:cs="Calibri"/>
          <w:i/>
          <w:iCs/>
          <w:noProof/>
          <w:szCs w:val="24"/>
        </w:rPr>
        <w:t>BMC Med.</w:t>
      </w:r>
      <w:r w:rsidRPr="00C73D5C">
        <w:rPr>
          <w:rFonts w:ascii="Calibri" w:hAnsi="Calibri" w:cs="Calibri"/>
          <w:noProof/>
          <w:szCs w:val="24"/>
        </w:rPr>
        <w:t xml:space="preserve"> </w:t>
      </w:r>
      <w:r w:rsidRPr="00C73D5C">
        <w:rPr>
          <w:rFonts w:ascii="Calibri" w:hAnsi="Calibri" w:cs="Calibri"/>
          <w:b/>
          <w:bCs/>
          <w:noProof/>
          <w:szCs w:val="24"/>
        </w:rPr>
        <w:t>13</w:t>
      </w:r>
      <w:r w:rsidR="00CD6CEA">
        <w:rPr>
          <w:rFonts w:ascii="Calibri" w:hAnsi="Calibri" w:cs="Calibri"/>
          <w:noProof/>
          <w:szCs w:val="24"/>
        </w:rPr>
        <w:t>, 215</w:t>
      </w:r>
      <w:r w:rsidRPr="00C73D5C">
        <w:rPr>
          <w:rFonts w:ascii="Calibri" w:hAnsi="Calibri" w:cs="Calibri"/>
          <w:noProof/>
          <w:szCs w:val="24"/>
        </w:rPr>
        <w:t>.</w:t>
      </w:r>
    </w:p>
    <w:p w:rsidR="00C73D5C" w:rsidRPr="00C73D5C" w:rsidRDefault="00C73D5C" w:rsidP="00C73D5C">
      <w:pPr>
        <w:widowControl w:val="0"/>
        <w:autoSpaceDE w:val="0"/>
        <w:autoSpaceDN w:val="0"/>
        <w:adjustRightInd w:val="0"/>
        <w:spacing w:before="100" w:after="100" w:line="240" w:lineRule="auto"/>
        <w:ind w:left="640" w:hanging="640"/>
        <w:rPr>
          <w:rFonts w:ascii="Calibri" w:hAnsi="Calibri" w:cs="Calibri"/>
          <w:noProof/>
          <w:szCs w:val="24"/>
        </w:rPr>
      </w:pPr>
      <w:r w:rsidRPr="00C73D5C">
        <w:rPr>
          <w:rFonts w:ascii="Calibri" w:hAnsi="Calibri" w:cs="Calibri"/>
          <w:noProof/>
          <w:szCs w:val="24"/>
        </w:rPr>
        <w:t xml:space="preserve">45. </w:t>
      </w:r>
      <w:r w:rsidRPr="00C73D5C">
        <w:rPr>
          <w:rFonts w:ascii="Calibri" w:hAnsi="Calibri" w:cs="Calibri"/>
          <w:noProof/>
          <w:szCs w:val="24"/>
        </w:rPr>
        <w:tab/>
        <w:t xml:space="preserve">Topiwala A, Allan CL, Valkanova V, et al. (2017) Moderate alcohol consumption as risk factor for adverse brain outcomes and cognitive decline: longitudinal cohort study. </w:t>
      </w:r>
      <w:r w:rsidRPr="00C73D5C">
        <w:rPr>
          <w:rFonts w:ascii="Calibri" w:hAnsi="Calibri" w:cs="Calibri"/>
          <w:i/>
          <w:iCs/>
          <w:noProof/>
          <w:szCs w:val="24"/>
        </w:rPr>
        <w:t>BMJ</w:t>
      </w:r>
      <w:r w:rsidRPr="00C73D5C">
        <w:rPr>
          <w:rFonts w:ascii="Calibri" w:hAnsi="Calibri" w:cs="Calibri"/>
          <w:noProof/>
          <w:szCs w:val="24"/>
        </w:rPr>
        <w:t xml:space="preserve"> </w:t>
      </w:r>
      <w:r w:rsidRPr="00C73D5C">
        <w:rPr>
          <w:rFonts w:ascii="Calibri" w:hAnsi="Calibri" w:cs="Calibri"/>
          <w:b/>
          <w:bCs/>
          <w:noProof/>
          <w:szCs w:val="24"/>
        </w:rPr>
        <w:t>357</w:t>
      </w:r>
      <w:r w:rsidRPr="00C73D5C">
        <w:rPr>
          <w:rFonts w:ascii="Calibri" w:hAnsi="Calibri" w:cs="Calibri"/>
          <w:noProof/>
          <w:szCs w:val="24"/>
        </w:rPr>
        <w:t>, j2353.</w:t>
      </w:r>
    </w:p>
    <w:p w:rsidR="00C73D5C" w:rsidRPr="00C73D5C" w:rsidRDefault="00C73D5C" w:rsidP="00C73D5C">
      <w:pPr>
        <w:widowControl w:val="0"/>
        <w:autoSpaceDE w:val="0"/>
        <w:autoSpaceDN w:val="0"/>
        <w:adjustRightInd w:val="0"/>
        <w:spacing w:before="100" w:after="100" w:line="240" w:lineRule="auto"/>
        <w:ind w:left="640" w:hanging="640"/>
        <w:rPr>
          <w:rFonts w:ascii="Calibri" w:hAnsi="Calibri" w:cs="Calibri"/>
          <w:noProof/>
          <w:szCs w:val="24"/>
        </w:rPr>
      </w:pPr>
      <w:r w:rsidRPr="00C73D5C">
        <w:rPr>
          <w:rFonts w:ascii="Calibri" w:hAnsi="Calibri" w:cs="Calibri"/>
          <w:noProof/>
          <w:szCs w:val="24"/>
        </w:rPr>
        <w:t xml:space="preserve">46. </w:t>
      </w:r>
      <w:r w:rsidRPr="00C73D5C">
        <w:rPr>
          <w:rFonts w:ascii="Calibri" w:hAnsi="Calibri" w:cs="Calibri"/>
          <w:noProof/>
          <w:szCs w:val="24"/>
        </w:rPr>
        <w:tab/>
        <w:t xml:space="preserve">Gu Y, Scarmeas N, Eaton E, et al. (2014) Alcohol intake and brain structure in a multiethnic elderly cohort. </w:t>
      </w:r>
      <w:r w:rsidRPr="00C73D5C">
        <w:rPr>
          <w:rFonts w:ascii="Calibri" w:hAnsi="Calibri" w:cs="Calibri"/>
          <w:i/>
          <w:iCs/>
          <w:noProof/>
          <w:szCs w:val="24"/>
        </w:rPr>
        <w:t>Clin. Nutr.</w:t>
      </w:r>
      <w:r w:rsidRPr="00C73D5C">
        <w:rPr>
          <w:rFonts w:ascii="Calibri" w:hAnsi="Calibri" w:cs="Calibri"/>
          <w:noProof/>
          <w:szCs w:val="24"/>
        </w:rPr>
        <w:t xml:space="preserve"> </w:t>
      </w:r>
      <w:r w:rsidRPr="00C73D5C">
        <w:rPr>
          <w:rFonts w:ascii="Calibri" w:hAnsi="Calibri" w:cs="Calibri"/>
          <w:b/>
          <w:bCs/>
          <w:noProof/>
          <w:szCs w:val="24"/>
        </w:rPr>
        <w:t>33</w:t>
      </w:r>
      <w:r w:rsidR="00CD6CEA">
        <w:rPr>
          <w:rFonts w:ascii="Calibri" w:hAnsi="Calibri" w:cs="Calibri"/>
          <w:noProof/>
          <w:szCs w:val="24"/>
        </w:rPr>
        <w:t>, 662–667</w:t>
      </w:r>
      <w:r w:rsidRPr="00C73D5C">
        <w:rPr>
          <w:rFonts w:ascii="Calibri" w:hAnsi="Calibri" w:cs="Calibri"/>
          <w:noProof/>
          <w:szCs w:val="24"/>
        </w:rPr>
        <w:t>.</w:t>
      </w:r>
    </w:p>
    <w:p w:rsidR="00C73D5C" w:rsidRPr="00C73D5C" w:rsidRDefault="00C73D5C" w:rsidP="00C73D5C">
      <w:pPr>
        <w:widowControl w:val="0"/>
        <w:autoSpaceDE w:val="0"/>
        <w:autoSpaceDN w:val="0"/>
        <w:adjustRightInd w:val="0"/>
        <w:spacing w:before="100" w:after="100" w:line="240" w:lineRule="auto"/>
        <w:ind w:left="640" w:hanging="640"/>
        <w:rPr>
          <w:rFonts w:ascii="Calibri" w:hAnsi="Calibri" w:cs="Calibri"/>
          <w:noProof/>
          <w:szCs w:val="24"/>
        </w:rPr>
      </w:pPr>
      <w:r w:rsidRPr="00C73D5C">
        <w:rPr>
          <w:rFonts w:ascii="Calibri" w:hAnsi="Calibri" w:cs="Calibri"/>
          <w:noProof/>
          <w:szCs w:val="24"/>
        </w:rPr>
        <w:t xml:space="preserve">47. </w:t>
      </w:r>
      <w:r w:rsidRPr="00C73D5C">
        <w:rPr>
          <w:rFonts w:ascii="Calibri" w:hAnsi="Calibri" w:cs="Calibri"/>
          <w:noProof/>
          <w:szCs w:val="24"/>
        </w:rPr>
        <w:tab/>
        <w:t xml:space="preserve">Paul CA, Au R, Fredman L, et al. (2008) Association of Alcohol Consumption With Brain Volume in the Framingham Study. </w:t>
      </w:r>
      <w:r w:rsidRPr="00C73D5C">
        <w:rPr>
          <w:rFonts w:ascii="Calibri" w:hAnsi="Calibri" w:cs="Calibri"/>
          <w:i/>
          <w:iCs/>
          <w:noProof/>
          <w:szCs w:val="24"/>
        </w:rPr>
        <w:t>Arch. Neurol.</w:t>
      </w:r>
      <w:r w:rsidRPr="00C73D5C">
        <w:rPr>
          <w:rFonts w:ascii="Calibri" w:hAnsi="Calibri" w:cs="Calibri"/>
          <w:noProof/>
          <w:szCs w:val="24"/>
        </w:rPr>
        <w:t xml:space="preserve"> </w:t>
      </w:r>
      <w:r w:rsidRPr="00C73D5C">
        <w:rPr>
          <w:rFonts w:ascii="Calibri" w:hAnsi="Calibri" w:cs="Calibri"/>
          <w:b/>
          <w:bCs/>
          <w:noProof/>
          <w:szCs w:val="24"/>
        </w:rPr>
        <w:t>65</w:t>
      </w:r>
      <w:r w:rsidRPr="00C73D5C">
        <w:rPr>
          <w:rFonts w:ascii="Calibri" w:hAnsi="Calibri" w:cs="Calibri"/>
          <w:noProof/>
          <w:szCs w:val="24"/>
        </w:rPr>
        <w:t>, 1363–1367.</w:t>
      </w:r>
    </w:p>
    <w:p w:rsidR="00C73D5C" w:rsidRPr="00C73D5C" w:rsidRDefault="00C73D5C" w:rsidP="00C73D5C">
      <w:pPr>
        <w:widowControl w:val="0"/>
        <w:autoSpaceDE w:val="0"/>
        <w:autoSpaceDN w:val="0"/>
        <w:adjustRightInd w:val="0"/>
        <w:spacing w:before="100" w:after="100" w:line="240" w:lineRule="auto"/>
        <w:ind w:left="640" w:hanging="640"/>
        <w:rPr>
          <w:rFonts w:ascii="Calibri" w:hAnsi="Calibri" w:cs="Calibri"/>
          <w:noProof/>
          <w:szCs w:val="24"/>
        </w:rPr>
      </w:pPr>
      <w:r w:rsidRPr="00C73D5C">
        <w:rPr>
          <w:rFonts w:ascii="Calibri" w:hAnsi="Calibri" w:cs="Calibri"/>
          <w:noProof/>
          <w:szCs w:val="24"/>
        </w:rPr>
        <w:t xml:space="preserve">48. </w:t>
      </w:r>
      <w:r w:rsidRPr="00C73D5C">
        <w:rPr>
          <w:rFonts w:ascii="Calibri" w:hAnsi="Calibri" w:cs="Calibri"/>
          <w:noProof/>
          <w:szCs w:val="24"/>
        </w:rPr>
        <w:tab/>
        <w:t xml:space="preserve">Sachdev PS, Chen X, Wen W, et al. (2008) Light to moderate alcohol use is associated with increased cortical gray matter in middle-aged men: A voxel-based morphometric study. </w:t>
      </w:r>
      <w:r w:rsidRPr="00C73D5C">
        <w:rPr>
          <w:rFonts w:ascii="Calibri" w:hAnsi="Calibri" w:cs="Calibri"/>
          <w:i/>
          <w:iCs/>
          <w:noProof/>
          <w:szCs w:val="24"/>
        </w:rPr>
        <w:t>Psychiatry Res. Neuroimaging</w:t>
      </w:r>
      <w:r w:rsidRPr="00C73D5C">
        <w:rPr>
          <w:rFonts w:ascii="Calibri" w:hAnsi="Calibri" w:cs="Calibri"/>
          <w:noProof/>
          <w:szCs w:val="24"/>
        </w:rPr>
        <w:t xml:space="preserve"> </w:t>
      </w:r>
      <w:r w:rsidRPr="00C73D5C">
        <w:rPr>
          <w:rFonts w:ascii="Calibri" w:hAnsi="Calibri" w:cs="Calibri"/>
          <w:b/>
          <w:bCs/>
          <w:noProof/>
          <w:szCs w:val="24"/>
        </w:rPr>
        <w:t>163</w:t>
      </w:r>
      <w:r w:rsidRPr="00C73D5C">
        <w:rPr>
          <w:rFonts w:ascii="Calibri" w:hAnsi="Calibri" w:cs="Calibri"/>
          <w:noProof/>
          <w:szCs w:val="24"/>
        </w:rPr>
        <w:t>, 61–69.</w:t>
      </w:r>
    </w:p>
    <w:p w:rsidR="00C73D5C" w:rsidRPr="00C73D5C" w:rsidRDefault="00C73D5C" w:rsidP="00C73D5C">
      <w:pPr>
        <w:widowControl w:val="0"/>
        <w:autoSpaceDE w:val="0"/>
        <w:autoSpaceDN w:val="0"/>
        <w:adjustRightInd w:val="0"/>
        <w:spacing w:before="100" w:after="100" w:line="240" w:lineRule="auto"/>
        <w:ind w:left="640" w:hanging="640"/>
        <w:rPr>
          <w:rFonts w:ascii="Calibri" w:hAnsi="Calibri" w:cs="Calibri"/>
          <w:noProof/>
          <w:szCs w:val="24"/>
        </w:rPr>
      </w:pPr>
      <w:r w:rsidRPr="00C73D5C">
        <w:rPr>
          <w:rFonts w:ascii="Calibri" w:hAnsi="Calibri" w:cs="Calibri"/>
          <w:noProof/>
          <w:szCs w:val="24"/>
        </w:rPr>
        <w:t xml:space="preserve">49. </w:t>
      </w:r>
      <w:r w:rsidRPr="00C73D5C">
        <w:rPr>
          <w:rFonts w:ascii="Calibri" w:hAnsi="Calibri" w:cs="Calibri"/>
          <w:noProof/>
          <w:szCs w:val="24"/>
        </w:rPr>
        <w:tab/>
        <w:t xml:space="preserve">den Heijer T, Vermeer SE, Dijk EJ Van, et al. (2004) Alcohol intake in relation to brain magnetic resonance imaging findings in older persons without dementia. </w:t>
      </w:r>
      <w:r w:rsidRPr="00C73D5C">
        <w:rPr>
          <w:rFonts w:ascii="Calibri" w:hAnsi="Calibri" w:cs="Calibri"/>
          <w:i/>
          <w:iCs/>
          <w:noProof/>
          <w:szCs w:val="24"/>
        </w:rPr>
        <w:t>Am. J. Clin. Nutr.</w:t>
      </w:r>
      <w:r w:rsidRPr="00C73D5C">
        <w:rPr>
          <w:rFonts w:ascii="Calibri" w:hAnsi="Calibri" w:cs="Calibri"/>
          <w:noProof/>
          <w:szCs w:val="24"/>
        </w:rPr>
        <w:t xml:space="preserve"> </w:t>
      </w:r>
      <w:r w:rsidRPr="00C73D5C">
        <w:rPr>
          <w:rFonts w:ascii="Calibri" w:hAnsi="Calibri" w:cs="Calibri"/>
          <w:b/>
          <w:bCs/>
          <w:noProof/>
          <w:szCs w:val="24"/>
        </w:rPr>
        <w:t>80</w:t>
      </w:r>
      <w:r w:rsidRPr="00C73D5C">
        <w:rPr>
          <w:rFonts w:ascii="Calibri" w:hAnsi="Calibri" w:cs="Calibri"/>
          <w:noProof/>
          <w:szCs w:val="24"/>
        </w:rPr>
        <w:t>, 992–997.</w:t>
      </w:r>
    </w:p>
    <w:p w:rsidR="00C73D5C" w:rsidRPr="00C73D5C" w:rsidRDefault="00C73D5C" w:rsidP="00C73D5C">
      <w:pPr>
        <w:widowControl w:val="0"/>
        <w:autoSpaceDE w:val="0"/>
        <w:autoSpaceDN w:val="0"/>
        <w:adjustRightInd w:val="0"/>
        <w:spacing w:before="100" w:after="100" w:line="240" w:lineRule="auto"/>
        <w:ind w:left="640" w:hanging="640"/>
        <w:rPr>
          <w:rFonts w:ascii="Calibri" w:hAnsi="Calibri" w:cs="Calibri"/>
          <w:noProof/>
        </w:rPr>
      </w:pPr>
      <w:r w:rsidRPr="00C73D5C">
        <w:rPr>
          <w:rFonts w:ascii="Calibri" w:hAnsi="Calibri" w:cs="Calibri"/>
          <w:noProof/>
          <w:szCs w:val="24"/>
        </w:rPr>
        <w:t xml:space="preserve">50. </w:t>
      </w:r>
      <w:r w:rsidRPr="00C73D5C">
        <w:rPr>
          <w:rFonts w:ascii="Calibri" w:hAnsi="Calibri" w:cs="Calibri"/>
          <w:noProof/>
          <w:szCs w:val="24"/>
        </w:rPr>
        <w:tab/>
        <w:t xml:space="preserve">Raji CA, Erickson KI, Lopez OL, et al. (2014) Regular fish consumption and age-related brain gray matter loss. </w:t>
      </w:r>
      <w:r w:rsidRPr="00C73D5C">
        <w:rPr>
          <w:rFonts w:ascii="Calibri" w:hAnsi="Calibri" w:cs="Calibri"/>
          <w:i/>
          <w:iCs/>
          <w:noProof/>
          <w:szCs w:val="24"/>
        </w:rPr>
        <w:t>Am. J. Prev. Med.</w:t>
      </w:r>
      <w:r w:rsidRPr="00C73D5C">
        <w:rPr>
          <w:rFonts w:ascii="Calibri" w:hAnsi="Calibri" w:cs="Calibri"/>
          <w:noProof/>
          <w:szCs w:val="24"/>
        </w:rPr>
        <w:t xml:space="preserve"> </w:t>
      </w:r>
      <w:r w:rsidRPr="00C73D5C">
        <w:rPr>
          <w:rFonts w:ascii="Calibri" w:hAnsi="Calibri" w:cs="Calibri"/>
          <w:b/>
          <w:bCs/>
          <w:noProof/>
          <w:szCs w:val="24"/>
        </w:rPr>
        <w:t>47</w:t>
      </w:r>
      <w:r w:rsidRPr="00C73D5C">
        <w:rPr>
          <w:rFonts w:ascii="Calibri" w:hAnsi="Calibri" w:cs="Calibri"/>
          <w:noProof/>
          <w:szCs w:val="24"/>
        </w:rPr>
        <w:t>, 444–451</w:t>
      </w:r>
      <w:r w:rsidR="00CD6CEA">
        <w:rPr>
          <w:rFonts w:ascii="Calibri" w:hAnsi="Calibri" w:cs="Calibri"/>
          <w:noProof/>
          <w:szCs w:val="24"/>
        </w:rPr>
        <w:t>.</w:t>
      </w:r>
    </w:p>
    <w:p w:rsidR="00F71ADF" w:rsidRPr="00B54A75" w:rsidRDefault="001B6432" w:rsidP="006F2F0B">
      <w:r w:rsidRPr="00B54A75">
        <w:fldChar w:fldCharType="end"/>
      </w:r>
    </w:p>
    <w:p w:rsidR="00F71ADF" w:rsidRPr="00B54A75" w:rsidRDefault="00F71ADF" w:rsidP="006F2F0B"/>
    <w:p w:rsidR="00F71ADF" w:rsidRPr="00B54A75" w:rsidRDefault="00F71ADF" w:rsidP="006F2F0B"/>
    <w:p w:rsidR="00F71ADF" w:rsidRPr="00B54A75" w:rsidRDefault="00F71ADF" w:rsidP="006F2F0B"/>
    <w:p w:rsidR="00F71ADF" w:rsidRPr="00B54A75" w:rsidRDefault="00F71ADF" w:rsidP="006F2F0B"/>
    <w:p w:rsidR="00F71ADF" w:rsidRPr="00B54A75" w:rsidRDefault="00F71ADF" w:rsidP="006F2F0B">
      <w:bookmarkStart w:id="0" w:name="_GoBack"/>
      <w:bookmarkEnd w:id="0"/>
    </w:p>
    <w:p w:rsidR="00F71ADF" w:rsidRPr="00B54A75" w:rsidRDefault="00F71ADF" w:rsidP="006F2F0B"/>
    <w:p w:rsidR="00F71ADF" w:rsidRPr="00B54A75" w:rsidRDefault="00F71ADF" w:rsidP="006F2F0B"/>
    <w:p w:rsidR="00F71ADF" w:rsidRPr="00B54A75" w:rsidRDefault="00F71ADF" w:rsidP="006F2F0B"/>
    <w:sectPr w:rsidR="00F71ADF" w:rsidRPr="00B54A75" w:rsidSect="00F71ADF">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22D" w:rsidRDefault="007F522D" w:rsidP="00C56D72">
      <w:pPr>
        <w:spacing w:after="0" w:line="240" w:lineRule="auto"/>
      </w:pPr>
      <w:r>
        <w:separator/>
      </w:r>
    </w:p>
  </w:endnote>
  <w:endnote w:type="continuationSeparator" w:id="0">
    <w:p w:rsidR="007F522D" w:rsidRDefault="007F522D" w:rsidP="00C56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22D" w:rsidRDefault="007F522D" w:rsidP="00C56D72">
      <w:pPr>
        <w:spacing w:after="0" w:line="240" w:lineRule="auto"/>
      </w:pPr>
      <w:r>
        <w:separator/>
      </w:r>
    </w:p>
  </w:footnote>
  <w:footnote w:type="continuationSeparator" w:id="0">
    <w:p w:rsidR="007F522D" w:rsidRDefault="007F522D" w:rsidP="00C56D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026DF"/>
    <w:multiLevelType w:val="hybridMultilevel"/>
    <w:tmpl w:val="240C2D34"/>
    <w:lvl w:ilvl="0" w:tplc="AFF250C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9882754"/>
    <w:multiLevelType w:val="hybridMultilevel"/>
    <w:tmpl w:val="AC8E414E"/>
    <w:lvl w:ilvl="0" w:tplc="6ACC831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D72"/>
    <w:rsid w:val="00070EC0"/>
    <w:rsid w:val="00083999"/>
    <w:rsid w:val="000867D4"/>
    <w:rsid w:val="00097AC7"/>
    <w:rsid w:val="000A5030"/>
    <w:rsid w:val="000B598D"/>
    <w:rsid w:val="000E09F2"/>
    <w:rsid w:val="000F1C4A"/>
    <w:rsid w:val="00101592"/>
    <w:rsid w:val="00104A70"/>
    <w:rsid w:val="00112011"/>
    <w:rsid w:val="00123957"/>
    <w:rsid w:val="00136C59"/>
    <w:rsid w:val="00174DC3"/>
    <w:rsid w:val="001965F1"/>
    <w:rsid w:val="001A1748"/>
    <w:rsid w:val="001B212C"/>
    <w:rsid w:val="001B6432"/>
    <w:rsid w:val="001C6D96"/>
    <w:rsid w:val="001D5D74"/>
    <w:rsid w:val="001E46D5"/>
    <w:rsid w:val="001F068C"/>
    <w:rsid w:val="00222F25"/>
    <w:rsid w:val="0022469D"/>
    <w:rsid w:val="002338C0"/>
    <w:rsid w:val="00240E15"/>
    <w:rsid w:val="00272BBE"/>
    <w:rsid w:val="00272FF1"/>
    <w:rsid w:val="00291B3D"/>
    <w:rsid w:val="002A279C"/>
    <w:rsid w:val="002A5EF7"/>
    <w:rsid w:val="002C1387"/>
    <w:rsid w:val="00303DDA"/>
    <w:rsid w:val="00310374"/>
    <w:rsid w:val="003114CA"/>
    <w:rsid w:val="00316F4A"/>
    <w:rsid w:val="00360830"/>
    <w:rsid w:val="0036449D"/>
    <w:rsid w:val="00365780"/>
    <w:rsid w:val="003834D2"/>
    <w:rsid w:val="003A0616"/>
    <w:rsid w:val="003C25D2"/>
    <w:rsid w:val="003D110B"/>
    <w:rsid w:val="003F2254"/>
    <w:rsid w:val="004711A5"/>
    <w:rsid w:val="004721B7"/>
    <w:rsid w:val="00472743"/>
    <w:rsid w:val="004A4C44"/>
    <w:rsid w:val="004C11AD"/>
    <w:rsid w:val="004C296D"/>
    <w:rsid w:val="004C362A"/>
    <w:rsid w:val="004E3570"/>
    <w:rsid w:val="00504B5B"/>
    <w:rsid w:val="00523469"/>
    <w:rsid w:val="00530AD4"/>
    <w:rsid w:val="00546A56"/>
    <w:rsid w:val="00546FE4"/>
    <w:rsid w:val="00551886"/>
    <w:rsid w:val="005A4F3A"/>
    <w:rsid w:val="006002CC"/>
    <w:rsid w:val="00605E20"/>
    <w:rsid w:val="00606837"/>
    <w:rsid w:val="00607DAE"/>
    <w:rsid w:val="00616522"/>
    <w:rsid w:val="006312DC"/>
    <w:rsid w:val="00655D70"/>
    <w:rsid w:val="00661735"/>
    <w:rsid w:val="006646B7"/>
    <w:rsid w:val="00686C2B"/>
    <w:rsid w:val="00687CB0"/>
    <w:rsid w:val="006B41E5"/>
    <w:rsid w:val="006B47A3"/>
    <w:rsid w:val="006D40A0"/>
    <w:rsid w:val="006E4E0D"/>
    <w:rsid w:val="006F2F0B"/>
    <w:rsid w:val="006F713A"/>
    <w:rsid w:val="00701896"/>
    <w:rsid w:val="00752A7C"/>
    <w:rsid w:val="0075779A"/>
    <w:rsid w:val="0076715C"/>
    <w:rsid w:val="00785B47"/>
    <w:rsid w:val="00794B56"/>
    <w:rsid w:val="0079760E"/>
    <w:rsid w:val="007C0329"/>
    <w:rsid w:val="007E3FE9"/>
    <w:rsid w:val="007F522D"/>
    <w:rsid w:val="008112AC"/>
    <w:rsid w:val="00813F5C"/>
    <w:rsid w:val="008210ED"/>
    <w:rsid w:val="008251F9"/>
    <w:rsid w:val="008543A2"/>
    <w:rsid w:val="00892187"/>
    <w:rsid w:val="008A7ACA"/>
    <w:rsid w:val="008D05ED"/>
    <w:rsid w:val="008E796A"/>
    <w:rsid w:val="0090349C"/>
    <w:rsid w:val="009204F9"/>
    <w:rsid w:val="009321E8"/>
    <w:rsid w:val="009459D2"/>
    <w:rsid w:val="0094770C"/>
    <w:rsid w:val="00982877"/>
    <w:rsid w:val="009873E6"/>
    <w:rsid w:val="00991863"/>
    <w:rsid w:val="009957A6"/>
    <w:rsid w:val="009D795F"/>
    <w:rsid w:val="009F31F9"/>
    <w:rsid w:val="009F3693"/>
    <w:rsid w:val="009F76FD"/>
    <w:rsid w:val="00A04631"/>
    <w:rsid w:val="00A47F57"/>
    <w:rsid w:val="00A57BF1"/>
    <w:rsid w:val="00A62A54"/>
    <w:rsid w:val="00A71108"/>
    <w:rsid w:val="00A756CF"/>
    <w:rsid w:val="00A7624C"/>
    <w:rsid w:val="00A85A6A"/>
    <w:rsid w:val="00A93878"/>
    <w:rsid w:val="00A95B69"/>
    <w:rsid w:val="00AA06B6"/>
    <w:rsid w:val="00AC50B4"/>
    <w:rsid w:val="00AC73C6"/>
    <w:rsid w:val="00AE3412"/>
    <w:rsid w:val="00AE3FC7"/>
    <w:rsid w:val="00B07BC0"/>
    <w:rsid w:val="00B1343D"/>
    <w:rsid w:val="00B14009"/>
    <w:rsid w:val="00B174DF"/>
    <w:rsid w:val="00B33D76"/>
    <w:rsid w:val="00B422A7"/>
    <w:rsid w:val="00B54A75"/>
    <w:rsid w:val="00B70B55"/>
    <w:rsid w:val="00B82BC6"/>
    <w:rsid w:val="00B900CB"/>
    <w:rsid w:val="00B91A03"/>
    <w:rsid w:val="00BB1681"/>
    <w:rsid w:val="00BB3935"/>
    <w:rsid w:val="00BB58D4"/>
    <w:rsid w:val="00BD13B8"/>
    <w:rsid w:val="00BD17B8"/>
    <w:rsid w:val="00BE068C"/>
    <w:rsid w:val="00BF1B42"/>
    <w:rsid w:val="00C24767"/>
    <w:rsid w:val="00C3739E"/>
    <w:rsid w:val="00C4571F"/>
    <w:rsid w:val="00C56D72"/>
    <w:rsid w:val="00C73D5C"/>
    <w:rsid w:val="00C751AC"/>
    <w:rsid w:val="00C851DF"/>
    <w:rsid w:val="00CA1528"/>
    <w:rsid w:val="00CA60C8"/>
    <w:rsid w:val="00CA630B"/>
    <w:rsid w:val="00CD6CEA"/>
    <w:rsid w:val="00CE0307"/>
    <w:rsid w:val="00D11419"/>
    <w:rsid w:val="00D41D01"/>
    <w:rsid w:val="00D46156"/>
    <w:rsid w:val="00D46348"/>
    <w:rsid w:val="00D6693C"/>
    <w:rsid w:val="00D723A6"/>
    <w:rsid w:val="00D91099"/>
    <w:rsid w:val="00D91972"/>
    <w:rsid w:val="00D96BA4"/>
    <w:rsid w:val="00DC2D15"/>
    <w:rsid w:val="00DF066F"/>
    <w:rsid w:val="00DF2042"/>
    <w:rsid w:val="00E25240"/>
    <w:rsid w:val="00E4707C"/>
    <w:rsid w:val="00E53F88"/>
    <w:rsid w:val="00E6103B"/>
    <w:rsid w:val="00E6772A"/>
    <w:rsid w:val="00E7142B"/>
    <w:rsid w:val="00E73508"/>
    <w:rsid w:val="00E73CD6"/>
    <w:rsid w:val="00EB5A6B"/>
    <w:rsid w:val="00ED4C59"/>
    <w:rsid w:val="00F26ACB"/>
    <w:rsid w:val="00F71ADF"/>
    <w:rsid w:val="00F91E84"/>
    <w:rsid w:val="00F950C7"/>
    <w:rsid w:val="00FA70BA"/>
    <w:rsid w:val="00FD0EC4"/>
    <w:rsid w:val="00FE2D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0FDAD"/>
  <w15:chartTrackingRefBased/>
  <w15:docId w15:val="{2601317D-CCA4-4711-BAF7-2660CC47C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6D72"/>
  </w:style>
  <w:style w:type="paragraph" w:styleId="Footer">
    <w:name w:val="footer"/>
    <w:basedOn w:val="Normal"/>
    <w:link w:val="FooterChar"/>
    <w:uiPriority w:val="99"/>
    <w:unhideWhenUsed/>
    <w:rsid w:val="00C56D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6D72"/>
  </w:style>
  <w:style w:type="paragraph" w:styleId="ListParagraph">
    <w:name w:val="List Paragraph"/>
    <w:basedOn w:val="Normal"/>
    <w:uiPriority w:val="34"/>
    <w:qFormat/>
    <w:rsid w:val="00C56D72"/>
    <w:pPr>
      <w:ind w:left="720"/>
      <w:contextualSpacing/>
    </w:pPr>
  </w:style>
  <w:style w:type="character" w:styleId="CommentReference">
    <w:name w:val="annotation reference"/>
    <w:basedOn w:val="DefaultParagraphFont"/>
    <w:uiPriority w:val="99"/>
    <w:semiHidden/>
    <w:unhideWhenUsed/>
    <w:rsid w:val="00F26ACB"/>
    <w:rPr>
      <w:sz w:val="16"/>
      <w:szCs w:val="16"/>
    </w:rPr>
  </w:style>
  <w:style w:type="paragraph" w:styleId="CommentText">
    <w:name w:val="annotation text"/>
    <w:basedOn w:val="Normal"/>
    <w:link w:val="CommentTextChar"/>
    <w:uiPriority w:val="99"/>
    <w:semiHidden/>
    <w:unhideWhenUsed/>
    <w:rsid w:val="00F26ACB"/>
    <w:pPr>
      <w:spacing w:line="240" w:lineRule="auto"/>
    </w:pPr>
    <w:rPr>
      <w:sz w:val="20"/>
      <w:szCs w:val="20"/>
    </w:rPr>
  </w:style>
  <w:style w:type="character" w:customStyle="1" w:styleId="CommentTextChar">
    <w:name w:val="Comment Text Char"/>
    <w:basedOn w:val="DefaultParagraphFont"/>
    <w:link w:val="CommentText"/>
    <w:uiPriority w:val="99"/>
    <w:semiHidden/>
    <w:rsid w:val="00F26ACB"/>
    <w:rPr>
      <w:sz w:val="20"/>
      <w:szCs w:val="20"/>
    </w:rPr>
  </w:style>
  <w:style w:type="paragraph" w:styleId="CommentSubject">
    <w:name w:val="annotation subject"/>
    <w:basedOn w:val="CommentText"/>
    <w:next w:val="CommentText"/>
    <w:link w:val="CommentSubjectChar"/>
    <w:uiPriority w:val="99"/>
    <w:semiHidden/>
    <w:unhideWhenUsed/>
    <w:rsid w:val="00F26ACB"/>
    <w:rPr>
      <w:b/>
      <w:bCs/>
    </w:rPr>
  </w:style>
  <w:style w:type="character" w:customStyle="1" w:styleId="CommentSubjectChar">
    <w:name w:val="Comment Subject Char"/>
    <w:basedOn w:val="CommentTextChar"/>
    <w:link w:val="CommentSubject"/>
    <w:uiPriority w:val="99"/>
    <w:semiHidden/>
    <w:rsid w:val="00F26ACB"/>
    <w:rPr>
      <w:b/>
      <w:bCs/>
      <w:sz w:val="20"/>
      <w:szCs w:val="20"/>
    </w:rPr>
  </w:style>
  <w:style w:type="paragraph" w:styleId="BalloonText">
    <w:name w:val="Balloon Text"/>
    <w:basedOn w:val="Normal"/>
    <w:link w:val="BalloonTextChar"/>
    <w:uiPriority w:val="99"/>
    <w:semiHidden/>
    <w:unhideWhenUsed/>
    <w:rsid w:val="00F26A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ACB"/>
    <w:rPr>
      <w:rFonts w:ascii="Segoe UI" w:hAnsi="Segoe UI" w:cs="Segoe UI"/>
      <w:sz w:val="18"/>
      <w:szCs w:val="18"/>
    </w:rPr>
  </w:style>
  <w:style w:type="character" w:styleId="Hyperlink">
    <w:name w:val="Hyperlink"/>
    <w:basedOn w:val="DefaultParagraphFont"/>
    <w:uiPriority w:val="99"/>
    <w:semiHidden/>
    <w:unhideWhenUsed/>
    <w:rsid w:val="006002CC"/>
    <w:rPr>
      <w:color w:val="0563C1"/>
      <w:u w:val="single"/>
    </w:rPr>
  </w:style>
  <w:style w:type="character" w:styleId="FollowedHyperlink">
    <w:name w:val="FollowedHyperlink"/>
    <w:basedOn w:val="DefaultParagraphFont"/>
    <w:uiPriority w:val="99"/>
    <w:semiHidden/>
    <w:unhideWhenUsed/>
    <w:rsid w:val="006002CC"/>
    <w:rPr>
      <w:color w:val="954F72"/>
      <w:u w:val="single"/>
    </w:rPr>
  </w:style>
  <w:style w:type="paragraph" w:customStyle="1" w:styleId="msonormal0">
    <w:name w:val="msonormal"/>
    <w:basedOn w:val="Normal"/>
    <w:rsid w:val="006002C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nt5">
    <w:name w:val="font5"/>
    <w:basedOn w:val="Normal"/>
    <w:rsid w:val="006002CC"/>
    <w:pPr>
      <w:spacing w:before="100" w:beforeAutospacing="1" w:after="100" w:afterAutospacing="1" w:line="240" w:lineRule="auto"/>
    </w:pPr>
    <w:rPr>
      <w:rFonts w:ascii="Calibri" w:eastAsia="Times New Roman" w:hAnsi="Calibri" w:cs="Calibri"/>
      <w:b/>
      <w:bCs/>
      <w:color w:val="000000"/>
      <w:sz w:val="20"/>
      <w:szCs w:val="20"/>
      <w:lang w:eastAsia="en-AU"/>
    </w:rPr>
  </w:style>
  <w:style w:type="paragraph" w:customStyle="1" w:styleId="font6">
    <w:name w:val="font6"/>
    <w:basedOn w:val="Normal"/>
    <w:rsid w:val="006002CC"/>
    <w:pPr>
      <w:spacing w:before="100" w:beforeAutospacing="1" w:after="100" w:afterAutospacing="1" w:line="240" w:lineRule="auto"/>
    </w:pPr>
    <w:rPr>
      <w:rFonts w:ascii="Calibri" w:eastAsia="Times New Roman" w:hAnsi="Calibri" w:cs="Calibri"/>
      <w:color w:val="000000"/>
      <w:sz w:val="20"/>
      <w:szCs w:val="20"/>
      <w:lang w:eastAsia="en-AU"/>
    </w:rPr>
  </w:style>
  <w:style w:type="paragraph" w:customStyle="1" w:styleId="font7">
    <w:name w:val="font7"/>
    <w:basedOn w:val="Normal"/>
    <w:rsid w:val="006002CC"/>
    <w:pPr>
      <w:spacing w:before="100" w:beforeAutospacing="1" w:after="100" w:afterAutospacing="1" w:line="240" w:lineRule="auto"/>
    </w:pPr>
    <w:rPr>
      <w:rFonts w:ascii="Calibri" w:eastAsia="Times New Roman" w:hAnsi="Calibri" w:cs="Calibri"/>
      <w:b/>
      <w:bCs/>
      <w:i/>
      <w:iCs/>
      <w:color w:val="000000"/>
      <w:sz w:val="20"/>
      <w:szCs w:val="20"/>
      <w:lang w:eastAsia="en-AU"/>
    </w:rPr>
  </w:style>
  <w:style w:type="paragraph" w:customStyle="1" w:styleId="font8">
    <w:name w:val="font8"/>
    <w:basedOn w:val="Normal"/>
    <w:rsid w:val="006002CC"/>
    <w:pPr>
      <w:spacing w:before="100" w:beforeAutospacing="1" w:after="100" w:afterAutospacing="1" w:line="240" w:lineRule="auto"/>
    </w:pPr>
    <w:rPr>
      <w:rFonts w:ascii="Calibri" w:eastAsia="Times New Roman" w:hAnsi="Calibri" w:cs="Calibri"/>
      <w:color w:val="000000"/>
      <w:sz w:val="20"/>
      <w:szCs w:val="20"/>
      <w:u w:val="single"/>
      <w:lang w:eastAsia="en-AU"/>
    </w:rPr>
  </w:style>
  <w:style w:type="paragraph" w:customStyle="1" w:styleId="font9">
    <w:name w:val="font9"/>
    <w:basedOn w:val="Normal"/>
    <w:rsid w:val="006002CC"/>
    <w:pPr>
      <w:spacing w:before="100" w:beforeAutospacing="1" w:after="100" w:afterAutospacing="1" w:line="240" w:lineRule="auto"/>
    </w:pPr>
    <w:rPr>
      <w:rFonts w:ascii="Calibri" w:eastAsia="Times New Roman" w:hAnsi="Calibri" w:cs="Calibri"/>
      <w:i/>
      <w:iCs/>
      <w:color w:val="000000"/>
      <w:sz w:val="20"/>
      <w:szCs w:val="20"/>
      <w:lang w:eastAsia="en-AU"/>
    </w:rPr>
  </w:style>
  <w:style w:type="paragraph" w:customStyle="1" w:styleId="xl65">
    <w:name w:val="xl65"/>
    <w:basedOn w:val="Normal"/>
    <w:rsid w:val="006002CC"/>
    <w:pPr>
      <w:spacing w:before="100" w:beforeAutospacing="1" w:after="100" w:afterAutospacing="1" w:line="240" w:lineRule="auto"/>
    </w:pPr>
    <w:rPr>
      <w:rFonts w:ascii="Times New Roman" w:eastAsia="Times New Roman" w:hAnsi="Times New Roman" w:cs="Times New Roman"/>
      <w:b/>
      <w:bCs/>
      <w:sz w:val="20"/>
      <w:szCs w:val="20"/>
      <w:lang w:eastAsia="en-AU"/>
    </w:rPr>
  </w:style>
  <w:style w:type="paragraph" w:customStyle="1" w:styleId="xl66">
    <w:name w:val="xl66"/>
    <w:basedOn w:val="Normal"/>
    <w:rsid w:val="006002CC"/>
    <w:pPr>
      <w:shd w:val="clear" w:color="000000" w:fill="D9D9D9"/>
      <w:spacing w:before="100" w:beforeAutospacing="1" w:after="100" w:afterAutospacing="1" w:line="240" w:lineRule="auto"/>
    </w:pPr>
    <w:rPr>
      <w:rFonts w:ascii="Times New Roman" w:eastAsia="Times New Roman" w:hAnsi="Times New Roman" w:cs="Times New Roman"/>
      <w:sz w:val="20"/>
      <w:szCs w:val="20"/>
      <w:lang w:eastAsia="en-AU"/>
    </w:rPr>
  </w:style>
  <w:style w:type="paragraph" w:customStyle="1" w:styleId="xl67">
    <w:name w:val="xl67"/>
    <w:basedOn w:val="Normal"/>
    <w:rsid w:val="006002CC"/>
    <w:pPr>
      <w:spacing w:before="100" w:beforeAutospacing="1" w:after="100" w:afterAutospacing="1" w:line="240" w:lineRule="auto"/>
    </w:pPr>
    <w:rPr>
      <w:rFonts w:ascii="Times New Roman" w:eastAsia="Times New Roman" w:hAnsi="Times New Roman" w:cs="Times New Roman"/>
      <w:b/>
      <w:bCs/>
      <w:sz w:val="20"/>
      <w:szCs w:val="20"/>
      <w:lang w:eastAsia="en-AU"/>
    </w:rPr>
  </w:style>
  <w:style w:type="paragraph" w:customStyle="1" w:styleId="xl68">
    <w:name w:val="xl68"/>
    <w:basedOn w:val="Normal"/>
    <w:rsid w:val="006002CC"/>
    <w:pPr>
      <w:pBdr>
        <w:bottom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0"/>
      <w:szCs w:val="20"/>
      <w:lang w:eastAsia="en-AU"/>
    </w:rPr>
  </w:style>
  <w:style w:type="paragraph" w:customStyle="1" w:styleId="xl69">
    <w:name w:val="xl69"/>
    <w:basedOn w:val="Normal"/>
    <w:rsid w:val="006002CC"/>
    <w:pPr>
      <w:pBdr>
        <w:top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en-AU"/>
    </w:rPr>
  </w:style>
  <w:style w:type="paragraph" w:customStyle="1" w:styleId="xl70">
    <w:name w:val="xl70"/>
    <w:basedOn w:val="Normal"/>
    <w:rsid w:val="006002C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en-AU"/>
    </w:rPr>
  </w:style>
  <w:style w:type="paragraph" w:customStyle="1" w:styleId="xl71">
    <w:name w:val="xl71"/>
    <w:basedOn w:val="Normal"/>
    <w:rsid w:val="006002CC"/>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n-AU"/>
    </w:rPr>
  </w:style>
  <w:style w:type="paragraph" w:customStyle="1" w:styleId="xl72">
    <w:name w:val="xl72"/>
    <w:basedOn w:val="Normal"/>
    <w:rsid w:val="006002C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en-AU"/>
    </w:rPr>
  </w:style>
  <w:style w:type="paragraph" w:customStyle="1" w:styleId="xl73">
    <w:name w:val="xl73"/>
    <w:basedOn w:val="Normal"/>
    <w:rsid w:val="006002CC"/>
    <w:pPr>
      <w:pBdr>
        <w:top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en-AU"/>
    </w:rPr>
  </w:style>
  <w:style w:type="paragraph" w:customStyle="1" w:styleId="xl74">
    <w:name w:val="xl74"/>
    <w:basedOn w:val="Normal"/>
    <w:rsid w:val="006002CC"/>
    <w:pPr>
      <w:pBdr>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en-AU"/>
    </w:rPr>
  </w:style>
  <w:style w:type="paragraph" w:customStyle="1" w:styleId="xl75">
    <w:name w:val="xl75"/>
    <w:basedOn w:val="Normal"/>
    <w:rsid w:val="006002C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en-AU"/>
    </w:rPr>
  </w:style>
  <w:style w:type="paragraph" w:customStyle="1" w:styleId="xl76">
    <w:name w:val="xl76"/>
    <w:basedOn w:val="Normal"/>
    <w:rsid w:val="006002CC"/>
    <w:pPr>
      <w:spacing w:before="100" w:beforeAutospacing="1" w:after="100" w:afterAutospacing="1" w:line="240" w:lineRule="auto"/>
    </w:pPr>
    <w:rPr>
      <w:rFonts w:ascii="Times New Roman" w:eastAsia="Times New Roman" w:hAnsi="Times New Roman" w:cs="Times New Roman"/>
      <w:b/>
      <w:bCs/>
      <w:i/>
      <w:iCs/>
      <w:sz w:val="20"/>
      <w:szCs w:val="20"/>
      <w:lang w:eastAsia="en-AU"/>
    </w:rPr>
  </w:style>
  <w:style w:type="paragraph" w:customStyle="1" w:styleId="xl77">
    <w:name w:val="xl77"/>
    <w:basedOn w:val="Normal"/>
    <w:rsid w:val="006002CC"/>
    <w:pPr>
      <w:spacing w:before="100" w:beforeAutospacing="1" w:after="100" w:afterAutospacing="1" w:line="240" w:lineRule="auto"/>
    </w:pPr>
    <w:rPr>
      <w:rFonts w:ascii="Times New Roman" w:eastAsia="Times New Roman" w:hAnsi="Times New Roman" w:cs="Times New Roman"/>
      <w:b/>
      <w:bCs/>
      <w:sz w:val="20"/>
      <w:szCs w:val="20"/>
      <w:lang w:eastAsia="en-AU"/>
    </w:rPr>
  </w:style>
  <w:style w:type="paragraph" w:customStyle="1" w:styleId="xl78">
    <w:name w:val="xl78"/>
    <w:basedOn w:val="Normal"/>
    <w:rsid w:val="006002CC"/>
    <w:pPr>
      <w:shd w:val="clear" w:color="000000" w:fill="D9D9D9"/>
      <w:spacing w:before="100" w:beforeAutospacing="1" w:after="100" w:afterAutospacing="1" w:line="240" w:lineRule="auto"/>
    </w:pPr>
    <w:rPr>
      <w:rFonts w:ascii="Times New Roman" w:eastAsia="Times New Roman" w:hAnsi="Times New Roman" w:cs="Times New Roman"/>
      <w:sz w:val="20"/>
      <w:szCs w:val="20"/>
      <w:lang w:eastAsia="en-AU"/>
    </w:rPr>
  </w:style>
  <w:style w:type="paragraph" w:customStyle="1" w:styleId="xl79">
    <w:name w:val="xl79"/>
    <w:basedOn w:val="Normal"/>
    <w:rsid w:val="006002CC"/>
    <w:pPr>
      <w:spacing w:before="100" w:beforeAutospacing="1" w:after="100" w:afterAutospacing="1" w:line="240" w:lineRule="auto"/>
    </w:pPr>
    <w:rPr>
      <w:rFonts w:ascii="Times New Roman" w:eastAsia="Times New Roman" w:hAnsi="Times New Roman" w:cs="Times New Roman"/>
      <w:sz w:val="20"/>
      <w:szCs w:val="20"/>
      <w:lang w:eastAsia="en-AU"/>
    </w:rPr>
  </w:style>
  <w:style w:type="paragraph" w:customStyle="1" w:styleId="xl80">
    <w:name w:val="xl80"/>
    <w:basedOn w:val="Normal"/>
    <w:rsid w:val="006002CC"/>
    <w:pPr>
      <w:spacing w:before="100" w:beforeAutospacing="1" w:after="100" w:afterAutospacing="1" w:line="240" w:lineRule="auto"/>
    </w:pPr>
    <w:rPr>
      <w:rFonts w:ascii="Times New Roman" w:eastAsia="Times New Roman" w:hAnsi="Times New Roman" w:cs="Times New Roman"/>
      <w:sz w:val="20"/>
      <w:szCs w:val="20"/>
      <w:lang w:eastAsia="en-AU"/>
    </w:rPr>
  </w:style>
  <w:style w:type="paragraph" w:customStyle="1" w:styleId="xl81">
    <w:name w:val="xl81"/>
    <w:basedOn w:val="Normal"/>
    <w:rsid w:val="006002CC"/>
    <w:pPr>
      <w:spacing w:before="100" w:beforeAutospacing="1" w:after="100" w:afterAutospacing="1" w:line="240" w:lineRule="auto"/>
    </w:pPr>
    <w:rPr>
      <w:rFonts w:ascii="Times New Roman" w:eastAsia="Times New Roman" w:hAnsi="Times New Roman" w:cs="Times New Roman"/>
      <w:sz w:val="20"/>
      <w:szCs w:val="20"/>
      <w:lang w:eastAsia="en-AU"/>
    </w:rPr>
  </w:style>
  <w:style w:type="paragraph" w:customStyle="1" w:styleId="xl82">
    <w:name w:val="xl82"/>
    <w:basedOn w:val="Normal"/>
    <w:rsid w:val="006002CC"/>
    <w:pPr>
      <w:shd w:val="clear" w:color="000000" w:fill="D9D9D9"/>
      <w:spacing w:before="100" w:beforeAutospacing="1" w:after="100" w:afterAutospacing="1" w:line="240" w:lineRule="auto"/>
    </w:pPr>
    <w:rPr>
      <w:rFonts w:ascii="Times New Roman" w:eastAsia="Times New Roman" w:hAnsi="Times New Roman" w:cs="Times New Roman"/>
      <w:b/>
      <w:bCs/>
      <w:sz w:val="20"/>
      <w:szCs w:val="20"/>
      <w:lang w:eastAsia="en-AU"/>
    </w:rPr>
  </w:style>
  <w:style w:type="paragraph" w:customStyle="1" w:styleId="xl83">
    <w:name w:val="xl83"/>
    <w:basedOn w:val="Normal"/>
    <w:rsid w:val="006002CC"/>
    <w:pPr>
      <w:shd w:val="clear" w:color="000000" w:fill="D9D9D9"/>
      <w:spacing w:before="100" w:beforeAutospacing="1" w:after="100" w:afterAutospacing="1" w:line="240" w:lineRule="auto"/>
    </w:pPr>
    <w:rPr>
      <w:rFonts w:ascii="Times New Roman" w:eastAsia="Times New Roman" w:hAnsi="Times New Roman" w:cs="Times New Roman"/>
      <w:sz w:val="20"/>
      <w:szCs w:val="20"/>
      <w:lang w:eastAsia="en-AU"/>
    </w:rPr>
  </w:style>
  <w:style w:type="paragraph" w:customStyle="1" w:styleId="xl84">
    <w:name w:val="xl84"/>
    <w:basedOn w:val="Normal"/>
    <w:rsid w:val="006002CC"/>
    <w:pPr>
      <w:spacing w:before="100" w:beforeAutospacing="1" w:after="100" w:afterAutospacing="1" w:line="240" w:lineRule="auto"/>
    </w:pPr>
    <w:rPr>
      <w:rFonts w:ascii="Times New Roman" w:eastAsia="Times New Roman" w:hAnsi="Times New Roman" w:cs="Times New Roman"/>
      <w:sz w:val="20"/>
      <w:szCs w:val="20"/>
      <w:lang w:eastAsia="en-AU"/>
    </w:rPr>
  </w:style>
  <w:style w:type="paragraph" w:customStyle="1" w:styleId="xl85">
    <w:name w:val="xl85"/>
    <w:basedOn w:val="Normal"/>
    <w:rsid w:val="006002CC"/>
    <w:pPr>
      <w:spacing w:before="100" w:beforeAutospacing="1" w:after="100" w:afterAutospacing="1" w:line="240" w:lineRule="auto"/>
    </w:pPr>
    <w:rPr>
      <w:rFonts w:ascii="Times New Roman" w:eastAsia="Times New Roman" w:hAnsi="Times New Roman" w:cs="Times New Roman"/>
      <w:sz w:val="20"/>
      <w:szCs w:val="20"/>
      <w:lang w:eastAsia="en-AU"/>
    </w:rPr>
  </w:style>
  <w:style w:type="paragraph" w:customStyle="1" w:styleId="xl86">
    <w:name w:val="xl86"/>
    <w:basedOn w:val="Normal"/>
    <w:rsid w:val="006002CC"/>
    <w:pPr>
      <w:shd w:val="clear" w:color="000000" w:fill="D9D9D9"/>
      <w:spacing w:before="100" w:beforeAutospacing="1" w:after="100" w:afterAutospacing="1" w:line="240" w:lineRule="auto"/>
    </w:pPr>
    <w:rPr>
      <w:rFonts w:ascii="Times New Roman" w:eastAsia="Times New Roman" w:hAnsi="Times New Roman" w:cs="Times New Roman"/>
      <w:sz w:val="20"/>
      <w:szCs w:val="20"/>
      <w:lang w:eastAsia="en-AU"/>
    </w:rPr>
  </w:style>
  <w:style w:type="paragraph" w:customStyle="1" w:styleId="xl87">
    <w:name w:val="xl87"/>
    <w:basedOn w:val="Normal"/>
    <w:rsid w:val="006002CC"/>
    <w:pPr>
      <w:shd w:val="clear" w:color="000000" w:fill="D9D9D9"/>
      <w:spacing w:before="100" w:beforeAutospacing="1" w:after="100" w:afterAutospacing="1" w:line="240" w:lineRule="auto"/>
    </w:pPr>
    <w:rPr>
      <w:rFonts w:ascii="Times New Roman" w:eastAsia="Times New Roman" w:hAnsi="Times New Roman" w:cs="Times New Roman"/>
      <w:sz w:val="20"/>
      <w:szCs w:val="20"/>
      <w:lang w:eastAsia="en-AU"/>
    </w:rPr>
  </w:style>
  <w:style w:type="paragraph" w:customStyle="1" w:styleId="xl88">
    <w:name w:val="xl88"/>
    <w:basedOn w:val="Normal"/>
    <w:rsid w:val="006002CC"/>
    <w:pPr>
      <w:spacing w:before="100" w:beforeAutospacing="1" w:after="100" w:afterAutospacing="1" w:line="240" w:lineRule="auto"/>
    </w:pPr>
    <w:rPr>
      <w:rFonts w:ascii="Times New Roman" w:eastAsia="Times New Roman" w:hAnsi="Times New Roman" w:cs="Times New Roman"/>
      <w:sz w:val="20"/>
      <w:szCs w:val="20"/>
      <w:lang w:eastAsia="en-AU"/>
    </w:rPr>
  </w:style>
  <w:style w:type="paragraph" w:customStyle="1" w:styleId="xl89">
    <w:name w:val="xl89"/>
    <w:basedOn w:val="Normal"/>
    <w:rsid w:val="006002CC"/>
    <w:pPr>
      <w:spacing w:before="100" w:beforeAutospacing="1" w:after="100" w:afterAutospacing="1" w:line="240" w:lineRule="auto"/>
    </w:pPr>
    <w:rPr>
      <w:rFonts w:ascii="Times New Roman" w:eastAsia="Times New Roman" w:hAnsi="Times New Roman" w:cs="Times New Roman"/>
      <w:b/>
      <w:bCs/>
      <w:i/>
      <w:iCs/>
      <w:sz w:val="20"/>
      <w:szCs w:val="20"/>
      <w:lang w:eastAsia="en-AU"/>
    </w:rPr>
  </w:style>
  <w:style w:type="paragraph" w:customStyle="1" w:styleId="xl90">
    <w:name w:val="xl90"/>
    <w:basedOn w:val="Normal"/>
    <w:rsid w:val="006002CC"/>
    <w:pPr>
      <w:shd w:val="clear" w:color="000000" w:fill="D9D9D9"/>
      <w:spacing w:before="100" w:beforeAutospacing="1" w:after="100" w:afterAutospacing="1" w:line="240" w:lineRule="auto"/>
    </w:pPr>
    <w:rPr>
      <w:rFonts w:ascii="Times New Roman" w:eastAsia="Times New Roman" w:hAnsi="Times New Roman" w:cs="Times New Roman"/>
      <w:sz w:val="20"/>
      <w:szCs w:val="20"/>
      <w:lang w:eastAsia="en-AU"/>
    </w:rPr>
  </w:style>
  <w:style w:type="paragraph" w:customStyle="1" w:styleId="xl91">
    <w:name w:val="xl91"/>
    <w:basedOn w:val="Normal"/>
    <w:rsid w:val="006002CC"/>
    <w:pPr>
      <w:shd w:val="clear" w:color="000000" w:fill="D9D9D9"/>
      <w:spacing w:before="100" w:beforeAutospacing="1" w:after="100" w:afterAutospacing="1" w:line="240" w:lineRule="auto"/>
    </w:pPr>
    <w:rPr>
      <w:rFonts w:ascii="Times New Roman" w:eastAsia="Times New Roman" w:hAnsi="Times New Roman" w:cs="Times New Roman"/>
      <w:sz w:val="20"/>
      <w:szCs w:val="20"/>
      <w:lang w:eastAsia="en-AU"/>
    </w:rPr>
  </w:style>
  <w:style w:type="paragraph" w:customStyle="1" w:styleId="xl92">
    <w:name w:val="xl92"/>
    <w:basedOn w:val="Normal"/>
    <w:rsid w:val="006002CC"/>
    <w:pPr>
      <w:spacing w:before="100" w:beforeAutospacing="1" w:after="100" w:afterAutospacing="1" w:line="240" w:lineRule="auto"/>
    </w:pPr>
    <w:rPr>
      <w:rFonts w:ascii="Times New Roman" w:eastAsia="Times New Roman" w:hAnsi="Times New Roman" w:cs="Times New Roman"/>
      <w:i/>
      <w:iCs/>
      <w:sz w:val="20"/>
      <w:szCs w:val="20"/>
      <w:lang w:eastAsia="en-AU"/>
    </w:rPr>
  </w:style>
  <w:style w:type="paragraph" w:customStyle="1" w:styleId="xl93">
    <w:name w:val="xl93"/>
    <w:basedOn w:val="Normal"/>
    <w:rsid w:val="006002CC"/>
    <w:pPr>
      <w:shd w:val="clear" w:color="000000" w:fill="D9D9D9"/>
      <w:spacing w:before="100" w:beforeAutospacing="1" w:after="100" w:afterAutospacing="1" w:line="240" w:lineRule="auto"/>
    </w:pPr>
    <w:rPr>
      <w:rFonts w:ascii="Times New Roman" w:eastAsia="Times New Roman" w:hAnsi="Times New Roman" w:cs="Times New Roman"/>
      <w:sz w:val="20"/>
      <w:szCs w:val="20"/>
      <w:lang w:eastAsia="en-AU"/>
    </w:rPr>
  </w:style>
  <w:style w:type="paragraph" w:customStyle="1" w:styleId="xl94">
    <w:name w:val="xl94"/>
    <w:basedOn w:val="Normal"/>
    <w:rsid w:val="006002CC"/>
    <w:pPr>
      <w:spacing w:before="100" w:beforeAutospacing="1" w:after="100" w:afterAutospacing="1" w:line="240" w:lineRule="auto"/>
    </w:pPr>
    <w:rPr>
      <w:rFonts w:ascii="Times New Roman" w:eastAsia="Times New Roman" w:hAnsi="Times New Roman" w:cs="Times New Roman"/>
      <w:b/>
      <w:bCs/>
      <w:i/>
      <w:iCs/>
      <w:sz w:val="20"/>
      <w:szCs w:val="20"/>
      <w:lang w:eastAsia="en-AU"/>
    </w:rPr>
  </w:style>
  <w:style w:type="paragraph" w:customStyle="1" w:styleId="xl95">
    <w:name w:val="xl95"/>
    <w:basedOn w:val="Normal"/>
    <w:rsid w:val="006002CC"/>
    <w:pPr>
      <w:spacing w:before="100" w:beforeAutospacing="1" w:after="100" w:afterAutospacing="1" w:line="240" w:lineRule="auto"/>
    </w:pPr>
    <w:rPr>
      <w:rFonts w:ascii="Times New Roman" w:eastAsia="Times New Roman" w:hAnsi="Times New Roman" w:cs="Times New Roman"/>
      <w:sz w:val="20"/>
      <w:szCs w:val="20"/>
      <w:lang w:eastAsia="en-AU"/>
    </w:rPr>
  </w:style>
  <w:style w:type="paragraph" w:customStyle="1" w:styleId="xl96">
    <w:name w:val="xl96"/>
    <w:basedOn w:val="Normal"/>
    <w:rsid w:val="006002CC"/>
    <w:pPr>
      <w:spacing w:before="100" w:beforeAutospacing="1" w:after="100" w:afterAutospacing="1" w:line="240" w:lineRule="auto"/>
    </w:pPr>
    <w:rPr>
      <w:rFonts w:ascii="Times New Roman" w:eastAsia="Times New Roman" w:hAnsi="Times New Roman" w:cs="Times New Roman"/>
      <w:sz w:val="20"/>
      <w:szCs w:val="20"/>
      <w:lang w:eastAsia="en-AU"/>
    </w:rPr>
  </w:style>
  <w:style w:type="paragraph" w:customStyle="1" w:styleId="xl97">
    <w:name w:val="xl97"/>
    <w:basedOn w:val="Normal"/>
    <w:rsid w:val="006002CC"/>
    <w:pPr>
      <w:spacing w:before="100" w:beforeAutospacing="1" w:after="100" w:afterAutospacing="1" w:line="240" w:lineRule="auto"/>
    </w:pPr>
    <w:rPr>
      <w:rFonts w:ascii="Times New Roman" w:eastAsia="Times New Roman" w:hAnsi="Times New Roman" w:cs="Times New Roman"/>
      <w:i/>
      <w:iCs/>
      <w:sz w:val="20"/>
      <w:szCs w:val="20"/>
      <w:lang w:eastAsia="en-AU"/>
    </w:rPr>
  </w:style>
  <w:style w:type="paragraph" w:customStyle="1" w:styleId="xl98">
    <w:name w:val="xl98"/>
    <w:basedOn w:val="Normal"/>
    <w:rsid w:val="006002CC"/>
    <w:pPr>
      <w:shd w:val="clear" w:color="000000" w:fill="D9D9D9"/>
      <w:spacing w:before="100" w:beforeAutospacing="1" w:after="100" w:afterAutospacing="1" w:line="240" w:lineRule="auto"/>
    </w:pPr>
    <w:rPr>
      <w:rFonts w:ascii="Times New Roman" w:eastAsia="Times New Roman" w:hAnsi="Times New Roman" w:cs="Times New Roman"/>
      <w:sz w:val="20"/>
      <w:szCs w:val="20"/>
      <w:lang w:eastAsia="en-AU"/>
    </w:rPr>
  </w:style>
  <w:style w:type="paragraph" w:customStyle="1" w:styleId="xl99">
    <w:name w:val="xl99"/>
    <w:basedOn w:val="Normal"/>
    <w:rsid w:val="006002CC"/>
    <w:pPr>
      <w:shd w:val="clear" w:color="000000" w:fill="D9D9D9"/>
      <w:spacing w:before="100" w:beforeAutospacing="1" w:after="100" w:afterAutospacing="1" w:line="240" w:lineRule="auto"/>
    </w:pPr>
    <w:rPr>
      <w:rFonts w:ascii="Times New Roman" w:eastAsia="Times New Roman" w:hAnsi="Times New Roman" w:cs="Times New Roman"/>
      <w:b/>
      <w:bCs/>
      <w:sz w:val="20"/>
      <w:szCs w:val="20"/>
      <w:lang w:eastAsia="en-AU"/>
    </w:rPr>
  </w:style>
  <w:style w:type="paragraph" w:customStyle="1" w:styleId="xl100">
    <w:name w:val="xl100"/>
    <w:basedOn w:val="Normal"/>
    <w:rsid w:val="006002CC"/>
    <w:pPr>
      <w:spacing w:before="100" w:beforeAutospacing="1" w:after="100" w:afterAutospacing="1" w:line="240" w:lineRule="auto"/>
    </w:pPr>
    <w:rPr>
      <w:rFonts w:ascii="Times New Roman" w:eastAsia="Times New Roman" w:hAnsi="Times New Roman" w:cs="Times New Roman"/>
      <w:sz w:val="20"/>
      <w:szCs w:val="20"/>
      <w:lang w:eastAsia="en-AU"/>
    </w:rPr>
  </w:style>
  <w:style w:type="paragraph" w:customStyle="1" w:styleId="xl101">
    <w:name w:val="xl101"/>
    <w:basedOn w:val="Normal"/>
    <w:rsid w:val="006002CC"/>
    <w:pPr>
      <w:shd w:val="clear" w:color="000000" w:fill="D9D9D9"/>
      <w:spacing w:before="100" w:beforeAutospacing="1" w:after="100" w:afterAutospacing="1" w:line="240" w:lineRule="auto"/>
    </w:pPr>
    <w:rPr>
      <w:rFonts w:ascii="Times New Roman" w:eastAsia="Times New Roman" w:hAnsi="Times New Roman" w:cs="Times New Roman"/>
      <w:sz w:val="20"/>
      <w:szCs w:val="20"/>
      <w:lang w:eastAsia="en-AU"/>
    </w:rPr>
  </w:style>
  <w:style w:type="paragraph" w:customStyle="1" w:styleId="xl102">
    <w:name w:val="xl102"/>
    <w:basedOn w:val="Normal"/>
    <w:rsid w:val="006002CC"/>
    <w:pPr>
      <w:shd w:val="clear" w:color="000000" w:fill="D9D9D9"/>
      <w:spacing w:before="100" w:beforeAutospacing="1" w:after="100" w:afterAutospacing="1" w:line="240" w:lineRule="auto"/>
    </w:pPr>
    <w:rPr>
      <w:rFonts w:ascii="Times New Roman" w:eastAsia="Times New Roman" w:hAnsi="Times New Roman" w:cs="Times New Roman"/>
      <w:i/>
      <w:iCs/>
      <w:sz w:val="20"/>
      <w:szCs w:val="20"/>
      <w:lang w:eastAsia="en-AU"/>
    </w:rPr>
  </w:style>
  <w:style w:type="paragraph" w:customStyle="1" w:styleId="xl103">
    <w:name w:val="xl103"/>
    <w:basedOn w:val="Normal"/>
    <w:rsid w:val="006002CC"/>
    <w:pPr>
      <w:spacing w:before="100" w:beforeAutospacing="1" w:after="100" w:afterAutospacing="1" w:line="240" w:lineRule="auto"/>
    </w:pPr>
    <w:rPr>
      <w:rFonts w:ascii="Times New Roman" w:eastAsia="Times New Roman" w:hAnsi="Times New Roman" w:cs="Times New Roman"/>
      <w:sz w:val="20"/>
      <w:szCs w:val="20"/>
      <w:lang w:eastAsia="en-AU"/>
    </w:rPr>
  </w:style>
  <w:style w:type="paragraph" w:customStyle="1" w:styleId="xl104">
    <w:name w:val="xl104"/>
    <w:basedOn w:val="Normal"/>
    <w:rsid w:val="006002CC"/>
    <w:pPr>
      <w:shd w:val="clear" w:color="000000" w:fill="D9D9D9"/>
      <w:spacing w:before="100" w:beforeAutospacing="1" w:after="100" w:afterAutospacing="1" w:line="240" w:lineRule="auto"/>
    </w:pPr>
    <w:rPr>
      <w:rFonts w:ascii="Times New Roman" w:eastAsia="Times New Roman" w:hAnsi="Times New Roman" w:cs="Times New Roman"/>
      <w:sz w:val="20"/>
      <w:szCs w:val="20"/>
      <w:lang w:eastAsia="en-AU"/>
    </w:rPr>
  </w:style>
  <w:style w:type="paragraph" w:customStyle="1" w:styleId="xl105">
    <w:name w:val="xl105"/>
    <w:basedOn w:val="Normal"/>
    <w:rsid w:val="006002CC"/>
    <w:pPr>
      <w:spacing w:before="100" w:beforeAutospacing="1" w:after="100" w:afterAutospacing="1" w:line="240" w:lineRule="auto"/>
    </w:pPr>
    <w:rPr>
      <w:rFonts w:ascii="Times New Roman" w:eastAsia="Times New Roman" w:hAnsi="Times New Roman" w:cs="Times New Roman"/>
      <w:b/>
      <w:bCs/>
      <w:i/>
      <w:iCs/>
      <w:sz w:val="20"/>
      <w:szCs w:val="20"/>
      <w:lang w:eastAsia="en-AU"/>
    </w:rPr>
  </w:style>
  <w:style w:type="paragraph" w:customStyle="1" w:styleId="xl106">
    <w:name w:val="xl106"/>
    <w:basedOn w:val="Normal"/>
    <w:rsid w:val="006002CC"/>
    <w:pPr>
      <w:pBdr>
        <w:bottom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0"/>
      <w:szCs w:val="20"/>
      <w:lang w:eastAsia="en-AU"/>
    </w:rPr>
  </w:style>
  <w:style w:type="paragraph" w:customStyle="1" w:styleId="xl107">
    <w:name w:val="xl107"/>
    <w:basedOn w:val="Normal"/>
    <w:rsid w:val="006002CC"/>
    <w:pPr>
      <w:pBdr>
        <w:bottom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0"/>
      <w:szCs w:val="20"/>
      <w:lang w:eastAsia="en-AU"/>
    </w:rPr>
  </w:style>
  <w:style w:type="paragraph" w:styleId="NormalWeb">
    <w:name w:val="Normal (Web)"/>
    <w:basedOn w:val="Normal"/>
    <w:uiPriority w:val="99"/>
    <w:unhideWhenUsed/>
    <w:rsid w:val="00F71ADF"/>
    <w:pPr>
      <w:spacing w:before="100" w:beforeAutospacing="1" w:after="100" w:afterAutospacing="1" w:line="240" w:lineRule="auto"/>
    </w:pPr>
    <w:rPr>
      <w:rFonts w:ascii="Times New Roman" w:eastAsiaTheme="minorEastAsia"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6685">
      <w:bodyDiv w:val="1"/>
      <w:marLeft w:val="0"/>
      <w:marRight w:val="0"/>
      <w:marTop w:val="0"/>
      <w:marBottom w:val="0"/>
      <w:divBdr>
        <w:top w:val="none" w:sz="0" w:space="0" w:color="auto"/>
        <w:left w:val="none" w:sz="0" w:space="0" w:color="auto"/>
        <w:bottom w:val="none" w:sz="0" w:space="0" w:color="auto"/>
        <w:right w:val="none" w:sz="0" w:space="0" w:color="auto"/>
      </w:divBdr>
    </w:div>
    <w:div w:id="140276183">
      <w:bodyDiv w:val="1"/>
      <w:marLeft w:val="0"/>
      <w:marRight w:val="0"/>
      <w:marTop w:val="0"/>
      <w:marBottom w:val="0"/>
      <w:divBdr>
        <w:top w:val="none" w:sz="0" w:space="0" w:color="auto"/>
        <w:left w:val="none" w:sz="0" w:space="0" w:color="auto"/>
        <w:bottom w:val="none" w:sz="0" w:space="0" w:color="auto"/>
        <w:right w:val="none" w:sz="0" w:space="0" w:color="auto"/>
      </w:divBdr>
    </w:div>
    <w:div w:id="362873782">
      <w:bodyDiv w:val="1"/>
      <w:marLeft w:val="0"/>
      <w:marRight w:val="0"/>
      <w:marTop w:val="0"/>
      <w:marBottom w:val="0"/>
      <w:divBdr>
        <w:top w:val="none" w:sz="0" w:space="0" w:color="auto"/>
        <w:left w:val="none" w:sz="0" w:space="0" w:color="auto"/>
        <w:bottom w:val="none" w:sz="0" w:space="0" w:color="auto"/>
        <w:right w:val="none" w:sz="0" w:space="0" w:color="auto"/>
      </w:divBdr>
    </w:div>
    <w:div w:id="874347463">
      <w:bodyDiv w:val="1"/>
      <w:marLeft w:val="0"/>
      <w:marRight w:val="0"/>
      <w:marTop w:val="0"/>
      <w:marBottom w:val="0"/>
      <w:divBdr>
        <w:top w:val="none" w:sz="0" w:space="0" w:color="auto"/>
        <w:left w:val="none" w:sz="0" w:space="0" w:color="auto"/>
        <w:bottom w:val="none" w:sz="0" w:space="0" w:color="auto"/>
        <w:right w:val="none" w:sz="0" w:space="0" w:color="auto"/>
      </w:divBdr>
    </w:div>
    <w:div w:id="927232911">
      <w:bodyDiv w:val="1"/>
      <w:marLeft w:val="0"/>
      <w:marRight w:val="0"/>
      <w:marTop w:val="0"/>
      <w:marBottom w:val="0"/>
      <w:divBdr>
        <w:top w:val="none" w:sz="0" w:space="0" w:color="auto"/>
        <w:left w:val="none" w:sz="0" w:space="0" w:color="auto"/>
        <w:bottom w:val="none" w:sz="0" w:space="0" w:color="auto"/>
        <w:right w:val="none" w:sz="0" w:space="0" w:color="auto"/>
      </w:divBdr>
      <w:divsChild>
        <w:div w:id="1390767767">
          <w:marLeft w:val="0"/>
          <w:marRight w:val="0"/>
          <w:marTop w:val="0"/>
          <w:marBottom w:val="0"/>
          <w:divBdr>
            <w:top w:val="none" w:sz="0" w:space="0" w:color="auto"/>
            <w:left w:val="none" w:sz="0" w:space="0" w:color="auto"/>
            <w:bottom w:val="none" w:sz="0" w:space="0" w:color="auto"/>
            <w:right w:val="none" w:sz="0" w:space="0" w:color="auto"/>
          </w:divBdr>
          <w:divsChild>
            <w:div w:id="2108692462">
              <w:marLeft w:val="0"/>
              <w:marRight w:val="0"/>
              <w:marTop w:val="0"/>
              <w:marBottom w:val="0"/>
              <w:divBdr>
                <w:top w:val="none" w:sz="0" w:space="0" w:color="auto"/>
                <w:left w:val="none" w:sz="0" w:space="0" w:color="auto"/>
                <w:bottom w:val="none" w:sz="0" w:space="0" w:color="auto"/>
                <w:right w:val="none" w:sz="0" w:space="0" w:color="auto"/>
              </w:divBdr>
              <w:divsChild>
                <w:div w:id="914510831">
                  <w:marLeft w:val="0"/>
                  <w:marRight w:val="0"/>
                  <w:marTop w:val="0"/>
                  <w:marBottom w:val="0"/>
                  <w:divBdr>
                    <w:top w:val="none" w:sz="0" w:space="0" w:color="auto"/>
                    <w:left w:val="none" w:sz="0" w:space="0" w:color="auto"/>
                    <w:bottom w:val="none" w:sz="0" w:space="0" w:color="auto"/>
                    <w:right w:val="none" w:sz="0" w:space="0" w:color="auto"/>
                  </w:divBdr>
                  <w:divsChild>
                    <w:div w:id="376586823">
                      <w:marLeft w:val="0"/>
                      <w:marRight w:val="0"/>
                      <w:marTop w:val="0"/>
                      <w:marBottom w:val="0"/>
                      <w:divBdr>
                        <w:top w:val="none" w:sz="0" w:space="0" w:color="auto"/>
                        <w:left w:val="none" w:sz="0" w:space="0" w:color="auto"/>
                        <w:bottom w:val="none" w:sz="0" w:space="0" w:color="auto"/>
                        <w:right w:val="none" w:sz="0" w:space="0" w:color="auto"/>
                      </w:divBdr>
                      <w:divsChild>
                        <w:div w:id="1984650821">
                          <w:marLeft w:val="0"/>
                          <w:marRight w:val="0"/>
                          <w:marTop w:val="0"/>
                          <w:marBottom w:val="0"/>
                          <w:divBdr>
                            <w:top w:val="none" w:sz="0" w:space="0" w:color="auto"/>
                            <w:left w:val="none" w:sz="0" w:space="0" w:color="auto"/>
                            <w:bottom w:val="none" w:sz="0" w:space="0" w:color="auto"/>
                            <w:right w:val="none" w:sz="0" w:space="0" w:color="auto"/>
                          </w:divBdr>
                          <w:divsChild>
                            <w:div w:id="1959557963">
                              <w:marLeft w:val="0"/>
                              <w:marRight w:val="0"/>
                              <w:marTop w:val="0"/>
                              <w:marBottom w:val="0"/>
                              <w:divBdr>
                                <w:top w:val="none" w:sz="0" w:space="0" w:color="auto"/>
                                <w:left w:val="none" w:sz="0" w:space="0" w:color="auto"/>
                                <w:bottom w:val="none" w:sz="0" w:space="0" w:color="auto"/>
                                <w:right w:val="none" w:sz="0" w:space="0" w:color="auto"/>
                              </w:divBdr>
                              <w:divsChild>
                                <w:div w:id="1466657106">
                                  <w:marLeft w:val="0"/>
                                  <w:marRight w:val="0"/>
                                  <w:marTop w:val="0"/>
                                  <w:marBottom w:val="0"/>
                                  <w:divBdr>
                                    <w:top w:val="none" w:sz="0" w:space="0" w:color="auto"/>
                                    <w:left w:val="none" w:sz="0" w:space="0" w:color="auto"/>
                                    <w:bottom w:val="none" w:sz="0" w:space="0" w:color="auto"/>
                                    <w:right w:val="none" w:sz="0" w:space="0" w:color="auto"/>
                                  </w:divBdr>
                                  <w:divsChild>
                                    <w:div w:id="587545125">
                                      <w:marLeft w:val="0"/>
                                      <w:marRight w:val="0"/>
                                      <w:marTop w:val="0"/>
                                      <w:marBottom w:val="0"/>
                                      <w:divBdr>
                                        <w:top w:val="none" w:sz="0" w:space="0" w:color="auto"/>
                                        <w:left w:val="none" w:sz="0" w:space="0" w:color="auto"/>
                                        <w:bottom w:val="none" w:sz="0" w:space="0" w:color="auto"/>
                                        <w:right w:val="none" w:sz="0" w:space="0" w:color="auto"/>
                                      </w:divBdr>
                                      <w:divsChild>
                                        <w:div w:id="859051486">
                                          <w:marLeft w:val="0"/>
                                          <w:marRight w:val="0"/>
                                          <w:marTop w:val="0"/>
                                          <w:marBottom w:val="0"/>
                                          <w:divBdr>
                                            <w:top w:val="none" w:sz="0" w:space="0" w:color="auto"/>
                                            <w:left w:val="none" w:sz="0" w:space="0" w:color="auto"/>
                                            <w:bottom w:val="none" w:sz="0" w:space="0" w:color="auto"/>
                                            <w:right w:val="none" w:sz="0" w:space="0" w:color="auto"/>
                                          </w:divBdr>
                                          <w:divsChild>
                                            <w:div w:id="59639534">
                                              <w:marLeft w:val="0"/>
                                              <w:marRight w:val="0"/>
                                              <w:marTop w:val="0"/>
                                              <w:marBottom w:val="0"/>
                                              <w:divBdr>
                                                <w:top w:val="none" w:sz="0" w:space="0" w:color="auto"/>
                                                <w:left w:val="none" w:sz="0" w:space="0" w:color="auto"/>
                                                <w:bottom w:val="none" w:sz="0" w:space="0" w:color="auto"/>
                                                <w:right w:val="none" w:sz="0" w:space="0" w:color="auto"/>
                                              </w:divBdr>
                                              <w:divsChild>
                                                <w:div w:id="626399631">
                                                  <w:marLeft w:val="0"/>
                                                  <w:marRight w:val="0"/>
                                                  <w:marTop w:val="0"/>
                                                  <w:marBottom w:val="0"/>
                                                  <w:divBdr>
                                                    <w:top w:val="none" w:sz="0" w:space="0" w:color="auto"/>
                                                    <w:left w:val="none" w:sz="0" w:space="0" w:color="auto"/>
                                                    <w:bottom w:val="none" w:sz="0" w:space="0" w:color="auto"/>
                                                    <w:right w:val="none" w:sz="0" w:space="0" w:color="auto"/>
                                                  </w:divBdr>
                                                  <w:divsChild>
                                                    <w:div w:id="852837467">
                                                      <w:marLeft w:val="0"/>
                                                      <w:marRight w:val="0"/>
                                                      <w:marTop w:val="0"/>
                                                      <w:marBottom w:val="0"/>
                                                      <w:divBdr>
                                                        <w:top w:val="none" w:sz="0" w:space="0" w:color="auto"/>
                                                        <w:left w:val="none" w:sz="0" w:space="0" w:color="auto"/>
                                                        <w:bottom w:val="none" w:sz="0" w:space="0" w:color="auto"/>
                                                        <w:right w:val="none" w:sz="0" w:space="0" w:color="auto"/>
                                                      </w:divBdr>
                                                      <w:divsChild>
                                                        <w:div w:id="171186117">
                                                          <w:marLeft w:val="0"/>
                                                          <w:marRight w:val="0"/>
                                                          <w:marTop w:val="0"/>
                                                          <w:marBottom w:val="0"/>
                                                          <w:divBdr>
                                                            <w:top w:val="none" w:sz="0" w:space="0" w:color="auto"/>
                                                            <w:left w:val="none" w:sz="0" w:space="0" w:color="auto"/>
                                                            <w:bottom w:val="none" w:sz="0" w:space="0" w:color="auto"/>
                                                            <w:right w:val="none" w:sz="0" w:space="0" w:color="auto"/>
                                                          </w:divBdr>
                                                          <w:divsChild>
                                                            <w:div w:id="1180777966">
                                                              <w:marLeft w:val="0"/>
                                                              <w:marRight w:val="0"/>
                                                              <w:marTop w:val="0"/>
                                                              <w:marBottom w:val="0"/>
                                                              <w:divBdr>
                                                                <w:top w:val="none" w:sz="0" w:space="0" w:color="auto"/>
                                                                <w:left w:val="none" w:sz="0" w:space="0" w:color="auto"/>
                                                                <w:bottom w:val="none" w:sz="0" w:space="0" w:color="auto"/>
                                                                <w:right w:val="none" w:sz="0" w:space="0" w:color="auto"/>
                                                              </w:divBdr>
                                                              <w:divsChild>
                                                                <w:div w:id="862936780">
                                                                  <w:marLeft w:val="0"/>
                                                                  <w:marRight w:val="0"/>
                                                                  <w:marTop w:val="0"/>
                                                                  <w:marBottom w:val="0"/>
                                                                  <w:divBdr>
                                                                    <w:top w:val="none" w:sz="0" w:space="0" w:color="auto"/>
                                                                    <w:left w:val="none" w:sz="0" w:space="0" w:color="auto"/>
                                                                    <w:bottom w:val="none" w:sz="0" w:space="0" w:color="auto"/>
                                                                    <w:right w:val="none" w:sz="0" w:space="0" w:color="auto"/>
                                                                  </w:divBdr>
                                                                  <w:divsChild>
                                                                    <w:div w:id="1101416108">
                                                                      <w:marLeft w:val="0"/>
                                                                      <w:marRight w:val="0"/>
                                                                      <w:marTop w:val="0"/>
                                                                      <w:marBottom w:val="0"/>
                                                                      <w:divBdr>
                                                                        <w:top w:val="none" w:sz="0" w:space="0" w:color="auto"/>
                                                                        <w:left w:val="none" w:sz="0" w:space="0" w:color="auto"/>
                                                                        <w:bottom w:val="none" w:sz="0" w:space="0" w:color="auto"/>
                                                                        <w:right w:val="none" w:sz="0" w:space="0" w:color="auto"/>
                                                                      </w:divBdr>
                                                                      <w:divsChild>
                                                                        <w:div w:id="1435056085">
                                                                          <w:marLeft w:val="0"/>
                                                                          <w:marRight w:val="0"/>
                                                                          <w:marTop w:val="0"/>
                                                                          <w:marBottom w:val="0"/>
                                                                          <w:divBdr>
                                                                            <w:top w:val="none" w:sz="0" w:space="0" w:color="auto"/>
                                                                            <w:left w:val="none" w:sz="0" w:space="0" w:color="auto"/>
                                                                            <w:bottom w:val="none" w:sz="0" w:space="0" w:color="auto"/>
                                                                            <w:right w:val="none" w:sz="0" w:space="0" w:color="auto"/>
                                                                          </w:divBdr>
                                                                          <w:divsChild>
                                                                            <w:div w:id="1399671317">
                                                                              <w:marLeft w:val="0"/>
                                                                              <w:marRight w:val="0"/>
                                                                              <w:marTop w:val="0"/>
                                                                              <w:marBottom w:val="0"/>
                                                                              <w:divBdr>
                                                                                <w:top w:val="none" w:sz="0" w:space="0" w:color="auto"/>
                                                                                <w:left w:val="none" w:sz="0" w:space="0" w:color="auto"/>
                                                                                <w:bottom w:val="none" w:sz="0" w:space="0" w:color="auto"/>
                                                                                <w:right w:val="none" w:sz="0" w:space="0" w:color="auto"/>
                                                                              </w:divBdr>
                                                                              <w:divsChild>
                                                                                <w:div w:id="60904753">
                                                                                  <w:marLeft w:val="0"/>
                                                                                  <w:marRight w:val="0"/>
                                                                                  <w:marTop w:val="0"/>
                                                                                  <w:marBottom w:val="0"/>
                                                                                  <w:divBdr>
                                                                                    <w:top w:val="none" w:sz="0" w:space="0" w:color="auto"/>
                                                                                    <w:left w:val="none" w:sz="0" w:space="0" w:color="auto"/>
                                                                                    <w:bottom w:val="none" w:sz="0" w:space="0" w:color="auto"/>
                                                                                    <w:right w:val="none" w:sz="0" w:space="0" w:color="auto"/>
                                                                                  </w:divBdr>
                                                                                  <w:divsChild>
                                                                                    <w:div w:id="1102413054">
                                                                                      <w:marLeft w:val="0"/>
                                                                                      <w:marRight w:val="0"/>
                                                                                      <w:marTop w:val="0"/>
                                                                                      <w:marBottom w:val="0"/>
                                                                                      <w:divBdr>
                                                                                        <w:top w:val="none" w:sz="0" w:space="0" w:color="auto"/>
                                                                                        <w:left w:val="none" w:sz="0" w:space="0" w:color="auto"/>
                                                                                        <w:bottom w:val="none" w:sz="0" w:space="0" w:color="auto"/>
                                                                                        <w:right w:val="none" w:sz="0" w:space="0" w:color="auto"/>
                                                                                      </w:divBdr>
                                                                                      <w:divsChild>
                                                                                        <w:div w:id="1469321750">
                                                                                          <w:marLeft w:val="0"/>
                                                                                          <w:marRight w:val="0"/>
                                                                                          <w:marTop w:val="0"/>
                                                                                          <w:marBottom w:val="0"/>
                                                                                          <w:divBdr>
                                                                                            <w:top w:val="none" w:sz="0" w:space="0" w:color="auto"/>
                                                                                            <w:left w:val="none" w:sz="0" w:space="0" w:color="auto"/>
                                                                                            <w:bottom w:val="none" w:sz="0" w:space="0" w:color="auto"/>
                                                                                            <w:right w:val="none" w:sz="0" w:space="0" w:color="auto"/>
                                                                                          </w:divBdr>
                                                                                          <w:divsChild>
                                                                                            <w:div w:id="816605720">
                                                                                              <w:marLeft w:val="0"/>
                                                                                              <w:marRight w:val="0"/>
                                                                                              <w:marTop w:val="0"/>
                                                                                              <w:marBottom w:val="0"/>
                                                                                              <w:divBdr>
                                                                                                <w:top w:val="none" w:sz="0" w:space="0" w:color="auto"/>
                                                                                                <w:left w:val="none" w:sz="0" w:space="0" w:color="auto"/>
                                                                                                <w:bottom w:val="none" w:sz="0" w:space="0" w:color="auto"/>
                                                                                                <w:right w:val="none" w:sz="0" w:space="0" w:color="auto"/>
                                                                                              </w:divBdr>
                                                                                              <w:divsChild>
                                                                                                <w:div w:id="691608717">
                                                                                                  <w:marLeft w:val="0"/>
                                                                                                  <w:marRight w:val="0"/>
                                                                                                  <w:marTop w:val="0"/>
                                                                                                  <w:marBottom w:val="0"/>
                                                                                                  <w:divBdr>
                                                                                                    <w:top w:val="none" w:sz="0" w:space="0" w:color="auto"/>
                                                                                                    <w:left w:val="none" w:sz="0" w:space="0" w:color="auto"/>
                                                                                                    <w:bottom w:val="none" w:sz="0" w:space="0" w:color="auto"/>
                                                                                                    <w:right w:val="none" w:sz="0" w:space="0" w:color="auto"/>
                                                                                                  </w:divBdr>
                                                                                                  <w:divsChild>
                                                                                                    <w:div w:id="64108378">
                                                                                                      <w:marLeft w:val="0"/>
                                                                                                      <w:marRight w:val="0"/>
                                                                                                      <w:marTop w:val="0"/>
                                                                                                      <w:marBottom w:val="0"/>
                                                                                                      <w:divBdr>
                                                                                                        <w:top w:val="none" w:sz="0" w:space="0" w:color="auto"/>
                                                                                                        <w:left w:val="none" w:sz="0" w:space="0" w:color="auto"/>
                                                                                                        <w:bottom w:val="none" w:sz="0" w:space="0" w:color="auto"/>
                                                                                                        <w:right w:val="none" w:sz="0" w:space="0" w:color="auto"/>
                                                                                                      </w:divBdr>
                                                                                                      <w:divsChild>
                                                                                                        <w:div w:id="2001345647">
                                                                                                          <w:marLeft w:val="0"/>
                                                                                                          <w:marRight w:val="0"/>
                                                                                                          <w:marTop w:val="0"/>
                                                                                                          <w:marBottom w:val="0"/>
                                                                                                          <w:divBdr>
                                                                                                            <w:top w:val="none" w:sz="0" w:space="0" w:color="auto"/>
                                                                                                            <w:left w:val="none" w:sz="0" w:space="0" w:color="auto"/>
                                                                                                            <w:bottom w:val="none" w:sz="0" w:space="0" w:color="auto"/>
                                                                                                            <w:right w:val="none" w:sz="0" w:space="0" w:color="auto"/>
                                                                                                          </w:divBdr>
                                                                                                          <w:divsChild>
                                                                                                            <w:div w:id="1519854242">
                                                                                                              <w:marLeft w:val="0"/>
                                                                                                              <w:marRight w:val="0"/>
                                                                                                              <w:marTop w:val="0"/>
                                                                                                              <w:marBottom w:val="0"/>
                                                                                                              <w:divBdr>
                                                                                                                <w:top w:val="none" w:sz="0" w:space="0" w:color="auto"/>
                                                                                                                <w:left w:val="none" w:sz="0" w:space="0" w:color="auto"/>
                                                                                                                <w:bottom w:val="none" w:sz="0" w:space="0" w:color="auto"/>
                                                                                                                <w:right w:val="none" w:sz="0" w:space="0" w:color="auto"/>
                                                                                                              </w:divBdr>
                                                                                                              <w:divsChild>
                                                                                                                <w:div w:id="1471098799">
                                                                                                                  <w:marLeft w:val="0"/>
                                                                                                                  <w:marRight w:val="0"/>
                                                                                                                  <w:marTop w:val="0"/>
                                                                                                                  <w:marBottom w:val="0"/>
                                                                                                                  <w:divBdr>
                                                                                                                    <w:top w:val="none" w:sz="0" w:space="0" w:color="auto"/>
                                                                                                                    <w:left w:val="none" w:sz="0" w:space="0" w:color="auto"/>
                                                                                                                    <w:bottom w:val="none" w:sz="0" w:space="0" w:color="auto"/>
                                                                                                                    <w:right w:val="none" w:sz="0" w:space="0" w:color="auto"/>
                                                                                                                  </w:divBdr>
                                                                                                                  <w:divsChild>
                                                                                                                    <w:div w:id="1610121088">
                                                                                                                      <w:marLeft w:val="0"/>
                                                                                                                      <w:marRight w:val="0"/>
                                                                                                                      <w:marTop w:val="0"/>
                                                                                                                      <w:marBottom w:val="0"/>
                                                                                                                      <w:divBdr>
                                                                                                                        <w:top w:val="none" w:sz="0" w:space="0" w:color="auto"/>
                                                                                                                        <w:left w:val="none" w:sz="0" w:space="0" w:color="auto"/>
                                                                                                                        <w:bottom w:val="none" w:sz="0" w:space="0" w:color="auto"/>
                                                                                                                        <w:right w:val="none" w:sz="0" w:space="0" w:color="auto"/>
                                                                                                                      </w:divBdr>
                                                                                                                      <w:divsChild>
                                                                                                                        <w:div w:id="1692686332">
                                                                                                                          <w:marLeft w:val="0"/>
                                                                                                                          <w:marRight w:val="0"/>
                                                                                                                          <w:marTop w:val="0"/>
                                                                                                                          <w:marBottom w:val="0"/>
                                                                                                                          <w:divBdr>
                                                                                                                            <w:top w:val="none" w:sz="0" w:space="0" w:color="auto"/>
                                                                                                                            <w:left w:val="none" w:sz="0" w:space="0" w:color="auto"/>
                                                                                                                            <w:bottom w:val="none" w:sz="0" w:space="0" w:color="auto"/>
                                                                                                                            <w:right w:val="none" w:sz="0" w:space="0" w:color="auto"/>
                                                                                                                          </w:divBdr>
                                                                                                                          <w:divsChild>
                                                                                                                            <w:div w:id="1599101693">
                                                                                                                              <w:marLeft w:val="0"/>
                                                                                                                              <w:marRight w:val="0"/>
                                                                                                                              <w:marTop w:val="0"/>
                                                                                                                              <w:marBottom w:val="0"/>
                                                                                                                              <w:divBdr>
                                                                                                                                <w:top w:val="none" w:sz="0" w:space="0" w:color="auto"/>
                                                                                                                                <w:left w:val="none" w:sz="0" w:space="0" w:color="auto"/>
                                                                                                                                <w:bottom w:val="none" w:sz="0" w:space="0" w:color="auto"/>
                                                                                                                                <w:right w:val="none" w:sz="0" w:space="0" w:color="auto"/>
                                                                                                                              </w:divBdr>
                                                                                                                              <w:divsChild>
                                                                                                                                <w:div w:id="1716193143">
                                                                                                                                  <w:marLeft w:val="0"/>
                                                                                                                                  <w:marRight w:val="0"/>
                                                                                                                                  <w:marTop w:val="0"/>
                                                                                                                                  <w:marBottom w:val="0"/>
                                                                                                                                  <w:divBdr>
                                                                                                                                    <w:top w:val="none" w:sz="0" w:space="0" w:color="auto"/>
                                                                                                                                    <w:left w:val="none" w:sz="0" w:space="0" w:color="auto"/>
                                                                                                                                    <w:bottom w:val="none" w:sz="0" w:space="0" w:color="auto"/>
                                                                                                                                    <w:right w:val="none" w:sz="0" w:space="0" w:color="auto"/>
                                                                                                                                  </w:divBdr>
                                                                                                                                  <w:divsChild>
                                                                                                                                    <w:div w:id="633028065">
                                                                                                                                      <w:marLeft w:val="0"/>
                                                                                                                                      <w:marRight w:val="0"/>
                                                                                                                                      <w:marTop w:val="0"/>
                                                                                                                                      <w:marBottom w:val="0"/>
                                                                                                                                      <w:divBdr>
                                                                                                                                        <w:top w:val="none" w:sz="0" w:space="0" w:color="auto"/>
                                                                                                                                        <w:left w:val="none" w:sz="0" w:space="0" w:color="auto"/>
                                                                                                                                        <w:bottom w:val="none" w:sz="0" w:space="0" w:color="auto"/>
                                                                                                                                        <w:right w:val="none" w:sz="0" w:space="0" w:color="auto"/>
                                                                                                                                      </w:divBdr>
                                                                                                                                      <w:divsChild>
                                                                                                                                        <w:div w:id="982471375">
                                                                                                                                          <w:marLeft w:val="0"/>
                                                                                                                                          <w:marRight w:val="0"/>
                                                                                                                                          <w:marTop w:val="0"/>
                                                                                                                                          <w:marBottom w:val="0"/>
                                                                                                                                          <w:divBdr>
                                                                                                                                            <w:top w:val="none" w:sz="0" w:space="0" w:color="auto"/>
                                                                                                                                            <w:left w:val="none" w:sz="0" w:space="0" w:color="auto"/>
                                                                                                                                            <w:bottom w:val="none" w:sz="0" w:space="0" w:color="auto"/>
                                                                                                                                            <w:right w:val="none" w:sz="0" w:space="0" w:color="auto"/>
                                                                                                                                          </w:divBdr>
                                                                                                                                          <w:divsChild>
                                                                                                                                            <w:div w:id="1037389297">
                                                                                                                                              <w:marLeft w:val="0"/>
                                                                                                                                              <w:marRight w:val="0"/>
                                                                                                                                              <w:marTop w:val="0"/>
                                                                                                                                              <w:marBottom w:val="0"/>
                                                                                                                                              <w:divBdr>
                                                                                                                                                <w:top w:val="none" w:sz="0" w:space="0" w:color="auto"/>
                                                                                                                                                <w:left w:val="none" w:sz="0" w:space="0" w:color="auto"/>
                                                                                                                                                <w:bottom w:val="none" w:sz="0" w:space="0" w:color="auto"/>
                                                                                                                                                <w:right w:val="none" w:sz="0" w:space="0" w:color="auto"/>
                                                                                                                                              </w:divBdr>
                                                                                                                                              <w:divsChild>
                                                                                                                                                <w:div w:id="83651133">
                                                                                                                                                  <w:marLeft w:val="0"/>
                                                                                                                                                  <w:marRight w:val="0"/>
                                                                                                                                                  <w:marTop w:val="0"/>
                                                                                                                                                  <w:marBottom w:val="0"/>
                                                                                                                                                  <w:divBdr>
                                                                                                                                                    <w:top w:val="none" w:sz="0" w:space="0" w:color="auto"/>
                                                                                                                                                    <w:left w:val="none" w:sz="0" w:space="0" w:color="auto"/>
                                                                                                                                                    <w:bottom w:val="none" w:sz="0" w:space="0" w:color="auto"/>
                                                                                                                                                    <w:right w:val="none" w:sz="0" w:space="0" w:color="auto"/>
                                                                                                                                                  </w:divBdr>
                                                                                                                                                  <w:divsChild>
                                                                                                                                                    <w:div w:id="1091050538">
                                                                                                                                                      <w:marLeft w:val="0"/>
                                                                                                                                                      <w:marRight w:val="0"/>
                                                                                                                                                      <w:marTop w:val="0"/>
                                                                                                                                                      <w:marBottom w:val="0"/>
                                                                                                                                                      <w:divBdr>
                                                                                                                                                        <w:top w:val="none" w:sz="0" w:space="0" w:color="auto"/>
                                                                                                                                                        <w:left w:val="none" w:sz="0" w:space="0" w:color="auto"/>
                                                                                                                                                        <w:bottom w:val="none" w:sz="0" w:space="0" w:color="auto"/>
                                                                                                                                                        <w:right w:val="none" w:sz="0" w:space="0" w:color="auto"/>
                                                                                                                                                      </w:divBdr>
                                                                                                                                                      <w:divsChild>
                                                                                                                                                        <w:div w:id="39018994">
                                                                                                                                                          <w:marLeft w:val="0"/>
                                                                                                                                                          <w:marRight w:val="0"/>
                                                                                                                                                          <w:marTop w:val="0"/>
                                                                                                                                                          <w:marBottom w:val="0"/>
                                                                                                                                                          <w:divBdr>
                                                                                                                                                            <w:top w:val="none" w:sz="0" w:space="0" w:color="auto"/>
                                                                                                                                                            <w:left w:val="none" w:sz="0" w:space="0" w:color="auto"/>
                                                                                                                                                            <w:bottom w:val="none" w:sz="0" w:space="0" w:color="auto"/>
                                                                                                                                                            <w:right w:val="none" w:sz="0" w:space="0" w:color="auto"/>
                                                                                                                                                          </w:divBdr>
                                                                                                                                                          <w:divsChild>
                                                                                                                                                            <w:div w:id="682245893">
                                                                                                                                                              <w:marLeft w:val="0"/>
                                                                                                                                                              <w:marRight w:val="0"/>
                                                                                                                                                              <w:marTop w:val="0"/>
                                                                                                                                                              <w:marBottom w:val="0"/>
                                                                                                                                                              <w:divBdr>
                                                                                                                                                                <w:top w:val="none" w:sz="0" w:space="0" w:color="auto"/>
                                                                                                                                                                <w:left w:val="none" w:sz="0" w:space="0" w:color="auto"/>
                                                                                                                                                                <w:bottom w:val="none" w:sz="0" w:space="0" w:color="auto"/>
                                                                                                                                                                <w:right w:val="none" w:sz="0" w:space="0" w:color="auto"/>
                                                                                                                                                              </w:divBdr>
                                                                                                                                                              <w:divsChild>
                                                                                                                                                                <w:div w:id="955452299">
                                                                                                                                                                  <w:marLeft w:val="0"/>
                                                                                                                                                                  <w:marRight w:val="0"/>
                                                                                                                                                                  <w:marTop w:val="0"/>
                                                                                                                                                                  <w:marBottom w:val="0"/>
                                                                                                                                                                  <w:divBdr>
                                                                                                                                                                    <w:top w:val="none" w:sz="0" w:space="0" w:color="auto"/>
                                                                                                                                                                    <w:left w:val="none" w:sz="0" w:space="0" w:color="auto"/>
                                                                                                                                                                    <w:bottom w:val="none" w:sz="0" w:space="0" w:color="auto"/>
                                                                                                                                                                    <w:right w:val="none" w:sz="0" w:space="0" w:color="auto"/>
                                                                                                                                                                  </w:divBdr>
                                                                                                                                                                  <w:divsChild>
                                                                                                                                                                    <w:div w:id="16200450">
                                                                                                                                                                      <w:marLeft w:val="0"/>
                                                                                                                                                                      <w:marRight w:val="0"/>
                                                                                                                                                                      <w:marTop w:val="0"/>
                                                                                                                                                                      <w:marBottom w:val="0"/>
                                                                                                                                                                      <w:divBdr>
                                                                                                                                                                        <w:top w:val="none" w:sz="0" w:space="0" w:color="auto"/>
                                                                                                                                                                        <w:left w:val="none" w:sz="0" w:space="0" w:color="auto"/>
                                                                                                                                                                        <w:bottom w:val="none" w:sz="0" w:space="0" w:color="auto"/>
                                                                                                                                                                        <w:right w:val="none" w:sz="0" w:space="0" w:color="auto"/>
                                                                                                                                                                      </w:divBdr>
                                                                                                                                                                      <w:divsChild>
                                                                                                                                                                        <w:div w:id="1355960736">
                                                                                                                                                                          <w:marLeft w:val="0"/>
                                                                                                                                                                          <w:marRight w:val="0"/>
                                                                                                                                                                          <w:marTop w:val="0"/>
                                                                                                                                                                          <w:marBottom w:val="0"/>
                                                                                                                                                                          <w:divBdr>
                                                                                                                                                                            <w:top w:val="none" w:sz="0" w:space="0" w:color="auto"/>
                                                                                                                                                                            <w:left w:val="none" w:sz="0" w:space="0" w:color="auto"/>
                                                                                                                                                                            <w:bottom w:val="none" w:sz="0" w:space="0" w:color="auto"/>
                                                                                                                                                                            <w:right w:val="none" w:sz="0" w:space="0" w:color="auto"/>
                                                                                                                                                                          </w:divBdr>
                                                                                                                                                                          <w:divsChild>
                                                                                                                                                                            <w:div w:id="1290016119">
                                                                                                                                                                              <w:marLeft w:val="0"/>
                                                                                                                                                                              <w:marRight w:val="0"/>
                                                                                                                                                                              <w:marTop w:val="0"/>
                                                                                                                                                                              <w:marBottom w:val="0"/>
                                                                                                                                                                              <w:divBdr>
                                                                                                                                                                                <w:top w:val="none" w:sz="0" w:space="0" w:color="auto"/>
                                                                                                                                                                                <w:left w:val="none" w:sz="0" w:space="0" w:color="auto"/>
                                                                                                                                                                                <w:bottom w:val="none" w:sz="0" w:space="0" w:color="auto"/>
                                                                                                                                                                                <w:right w:val="none" w:sz="0" w:space="0" w:color="auto"/>
                                                                                                                                                                              </w:divBdr>
                                                                                                                                                                              <w:divsChild>
                                                                                                                                                                                <w:div w:id="1390301669">
                                                                                                                                                                                  <w:marLeft w:val="0"/>
                                                                                                                                                                                  <w:marRight w:val="0"/>
                                                                                                                                                                                  <w:marTop w:val="0"/>
                                                                                                                                                                                  <w:marBottom w:val="0"/>
                                                                                                                                                                                  <w:divBdr>
                                                                                                                                                                                    <w:top w:val="none" w:sz="0" w:space="0" w:color="auto"/>
                                                                                                                                                                                    <w:left w:val="none" w:sz="0" w:space="0" w:color="auto"/>
                                                                                                                                                                                    <w:bottom w:val="none" w:sz="0" w:space="0" w:color="auto"/>
                                                                                                                                                                                    <w:right w:val="none" w:sz="0" w:space="0" w:color="auto"/>
                                                                                                                                                                                  </w:divBdr>
                                                                                                                                                                                  <w:divsChild>
                                                                                                                                                                                    <w:div w:id="630328073">
                                                                                                                                                                                      <w:marLeft w:val="0"/>
                                                                                                                                                                                      <w:marRight w:val="0"/>
                                                                                                                                                                                      <w:marTop w:val="0"/>
                                                                                                                                                                                      <w:marBottom w:val="0"/>
                                                                                                                                                                                      <w:divBdr>
                                                                                                                                                                                        <w:top w:val="none" w:sz="0" w:space="0" w:color="auto"/>
                                                                                                                                                                                        <w:left w:val="none" w:sz="0" w:space="0" w:color="auto"/>
                                                                                                                                                                                        <w:bottom w:val="none" w:sz="0" w:space="0" w:color="auto"/>
                                                                                                                                                                                        <w:right w:val="none" w:sz="0" w:space="0" w:color="auto"/>
                                                                                                                                                                                      </w:divBdr>
                                                                                                                                                                                      <w:divsChild>
                                                                                                                                                                                        <w:div w:id="758868308">
                                                                                                                                                                                          <w:marLeft w:val="0"/>
                                                                                                                                                                                          <w:marRight w:val="0"/>
                                                                                                                                                                                          <w:marTop w:val="0"/>
                                                                                                                                                                                          <w:marBottom w:val="0"/>
                                                                                                                                                                                          <w:divBdr>
                                                                                                                                                                                            <w:top w:val="none" w:sz="0" w:space="0" w:color="auto"/>
                                                                                                                                                                                            <w:left w:val="none" w:sz="0" w:space="0" w:color="auto"/>
                                                                                                                                                                                            <w:bottom w:val="none" w:sz="0" w:space="0" w:color="auto"/>
                                                                                                                                                                                            <w:right w:val="none" w:sz="0" w:space="0" w:color="auto"/>
                                                                                                                                                                                          </w:divBdr>
                                                                                                                                                                                          <w:divsChild>
                                                                                                                                                                                            <w:div w:id="907181862">
                                                                                                                                                                                              <w:marLeft w:val="0"/>
                                                                                                                                                                                              <w:marRight w:val="0"/>
                                                                                                                                                                                              <w:marTop w:val="0"/>
                                                                                                                                                                                              <w:marBottom w:val="0"/>
                                                                                                                                                                                              <w:divBdr>
                                                                                                                                                                                                <w:top w:val="none" w:sz="0" w:space="0" w:color="auto"/>
                                                                                                                                                                                                <w:left w:val="none" w:sz="0" w:space="0" w:color="auto"/>
                                                                                                                                                                                                <w:bottom w:val="none" w:sz="0" w:space="0" w:color="auto"/>
                                                                                                                                                                                                <w:right w:val="none" w:sz="0" w:space="0" w:color="auto"/>
                                                                                                                                                                                              </w:divBdr>
                                                                                                                                                                                              <w:divsChild>
                                                                                                                                                                                                <w:div w:id="1739553729">
                                                                                                                                                                                                  <w:marLeft w:val="0"/>
                                                                                                                                                                                                  <w:marRight w:val="0"/>
                                                                                                                                                                                                  <w:marTop w:val="0"/>
                                                                                                                                                                                                  <w:marBottom w:val="0"/>
                                                                                                                                                                                                  <w:divBdr>
                                                                                                                                                                                                    <w:top w:val="none" w:sz="0" w:space="0" w:color="auto"/>
                                                                                                                                                                                                    <w:left w:val="none" w:sz="0" w:space="0" w:color="auto"/>
                                                                                                                                                                                                    <w:bottom w:val="none" w:sz="0" w:space="0" w:color="auto"/>
                                                                                                                                                                                                    <w:right w:val="none" w:sz="0" w:space="0" w:color="auto"/>
                                                                                                                                                                                                  </w:divBdr>
                                                                                                                                                                                                  <w:divsChild>
                                                                                                                                                                                                    <w:div w:id="270431967">
                                                                                                                                                                                                      <w:marLeft w:val="0"/>
                                                                                                                                                                                                      <w:marRight w:val="0"/>
                                                                                                                                                                                                      <w:marTop w:val="0"/>
                                                                                                                                                                                                      <w:marBottom w:val="0"/>
                                                                                                                                                                                                      <w:divBdr>
                                                                                                                                                                                                        <w:top w:val="none" w:sz="0" w:space="0" w:color="auto"/>
                                                                                                                                                                                                        <w:left w:val="none" w:sz="0" w:space="0" w:color="auto"/>
                                                                                                                                                                                                        <w:bottom w:val="none" w:sz="0" w:space="0" w:color="auto"/>
                                                                                                                                                                                                        <w:right w:val="none" w:sz="0" w:space="0" w:color="auto"/>
                                                                                                                                                                                                      </w:divBdr>
                                                                                                                                                                                                      <w:divsChild>
                                                                                                                                                                                                        <w:div w:id="426731903">
                                                                                                                                                                                                          <w:marLeft w:val="0"/>
                                                                                                                                                                                                          <w:marRight w:val="0"/>
                                                                                                                                                                                                          <w:marTop w:val="0"/>
                                                                                                                                                                                                          <w:marBottom w:val="0"/>
                                                                                                                                                                                                          <w:divBdr>
                                                                                                                                                                                                            <w:top w:val="none" w:sz="0" w:space="0" w:color="auto"/>
                                                                                                                                                                                                            <w:left w:val="none" w:sz="0" w:space="0" w:color="auto"/>
                                                                                                                                                                                                            <w:bottom w:val="none" w:sz="0" w:space="0" w:color="auto"/>
                                                                                                                                                                                                            <w:right w:val="none" w:sz="0" w:space="0" w:color="auto"/>
                                                                                                                                                                                                          </w:divBdr>
                                                                                                                                                                                                          <w:divsChild>
                                                                                                                                                                                                            <w:div w:id="1298032574">
                                                                                                                                                                                                              <w:marLeft w:val="0"/>
                                                                                                                                                                                                              <w:marRight w:val="0"/>
                                                                                                                                                                                                              <w:marTop w:val="0"/>
                                                                                                                                                                                                              <w:marBottom w:val="0"/>
                                                                                                                                                                                                              <w:divBdr>
                                                                                                                                                                                                                <w:top w:val="none" w:sz="0" w:space="0" w:color="auto"/>
                                                                                                                                                                                                                <w:left w:val="none" w:sz="0" w:space="0" w:color="auto"/>
                                                                                                                                                                                                                <w:bottom w:val="none" w:sz="0" w:space="0" w:color="auto"/>
                                                                                                                                                                                                                <w:right w:val="none" w:sz="0" w:space="0" w:color="auto"/>
                                                                                                                                                                                                              </w:divBdr>
                                                                                                                                                                                                              <w:divsChild>
                                                                                                                                                                                                                <w:div w:id="191798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0587345">
      <w:bodyDiv w:val="1"/>
      <w:marLeft w:val="0"/>
      <w:marRight w:val="0"/>
      <w:marTop w:val="0"/>
      <w:marBottom w:val="0"/>
      <w:divBdr>
        <w:top w:val="none" w:sz="0" w:space="0" w:color="auto"/>
        <w:left w:val="none" w:sz="0" w:space="0" w:color="auto"/>
        <w:bottom w:val="none" w:sz="0" w:space="0" w:color="auto"/>
        <w:right w:val="none" w:sz="0" w:space="0" w:color="auto"/>
      </w:divBdr>
    </w:div>
    <w:div w:id="1917086869">
      <w:bodyDiv w:val="1"/>
      <w:marLeft w:val="0"/>
      <w:marRight w:val="0"/>
      <w:marTop w:val="0"/>
      <w:marBottom w:val="0"/>
      <w:divBdr>
        <w:top w:val="none" w:sz="0" w:space="0" w:color="auto"/>
        <w:left w:val="none" w:sz="0" w:space="0" w:color="auto"/>
        <w:bottom w:val="none" w:sz="0" w:space="0" w:color="auto"/>
        <w:right w:val="none" w:sz="0" w:space="0" w:color="auto"/>
      </w:divBdr>
      <w:divsChild>
        <w:div w:id="603612639">
          <w:marLeft w:val="0"/>
          <w:marRight w:val="0"/>
          <w:marTop w:val="0"/>
          <w:marBottom w:val="0"/>
          <w:divBdr>
            <w:top w:val="none" w:sz="0" w:space="0" w:color="auto"/>
            <w:left w:val="none" w:sz="0" w:space="0" w:color="auto"/>
            <w:bottom w:val="none" w:sz="0" w:space="0" w:color="auto"/>
            <w:right w:val="none" w:sz="0" w:space="0" w:color="auto"/>
          </w:divBdr>
          <w:divsChild>
            <w:div w:id="13686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8617">
      <w:bodyDiv w:val="1"/>
      <w:marLeft w:val="0"/>
      <w:marRight w:val="0"/>
      <w:marTop w:val="0"/>
      <w:marBottom w:val="0"/>
      <w:divBdr>
        <w:top w:val="none" w:sz="0" w:space="0" w:color="auto"/>
        <w:left w:val="none" w:sz="0" w:space="0" w:color="auto"/>
        <w:bottom w:val="none" w:sz="0" w:space="0" w:color="auto"/>
        <w:right w:val="none" w:sz="0" w:space="0" w:color="auto"/>
      </w:divBdr>
    </w:div>
    <w:div w:id="196256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083C2-0DAC-48B0-95CB-71CFC8840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14</Pages>
  <Words>24357</Words>
  <Characters>138840</Characters>
  <Application>Microsoft Office Word</Application>
  <DocSecurity>0</DocSecurity>
  <Lines>1157</Lines>
  <Paragraphs>325</Paragraphs>
  <ScaleCrop>false</ScaleCrop>
  <HeadingPairs>
    <vt:vector size="2" baseType="variant">
      <vt:variant>
        <vt:lpstr>Title</vt:lpstr>
      </vt:variant>
      <vt:variant>
        <vt:i4>1</vt:i4>
      </vt:variant>
    </vt:vector>
  </HeadingPairs>
  <TitlesOfParts>
    <vt:vector size="1" baseType="lpstr">
      <vt:lpstr/>
    </vt:vector>
  </TitlesOfParts>
  <Company>Swinburne University of Technology</Company>
  <LinksUpToDate>false</LinksUpToDate>
  <CharactersWithSpaces>162872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Reddan</dc:creator>
  <cp:keywords/>
  <dc:description/>
  <cp:lastModifiedBy>Chris Diana Bedford</cp:lastModifiedBy>
  <cp:revision>57</cp:revision>
  <cp:lastPrinted>2018-04-28T00:23:00Z</cp:lastPrinted>
  <dcterms:created xsi:type="dcterms:W3CDTF">2018-04-28T00:24:00Z</dcterms:created>
  <dcterms:modified xsi:type="dcterms:W3CDTF">2018-10-05T13:27:00Z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http://www.zotero.org/styles/public-health-nutrition</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16th edition (author-date)</vt:lpwstr>
  </property>
  <property fmtid="{D5CDD505-2E9C-101B-9397-08002B2CF9AE}" pid="12" name="Mendeley Recent Style Id 4_1">
    <vt:lpwstr>http://www.zotero.org/styles/frontiers-in-neuroscience</vt:lpwstr>
  </property>
  <property fmtid="{D5CDD505-2E9C-101B-9397-08002B2CF9AE}" pid="13" name="Mendeley Recent Style Name 4_1">
    <vt:lpwstr>Frontiers in Neuroscience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http://www.zotero.org/styles/public-health-nutrition</vt:lpwstr>
  </property>
  <property fmtid="{D5CDD505-2E9C-101B-9397-08002B2CF9AE}" pid="21" name="Mendeley Recent Style Name 8_1">
    <vt:lpwstr>Public Health Nutrition</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Unique User Id_1">
    <vt:lpwstr>e0a3f209-d913-388a-b9ab-7293de8d1132</vt:lpwstr>
  </property>
</Properties>
</file>