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F630A" w14:textId="6FACD4F3" w:rsidR="00EB50F4" w:rsidRDefault="00467E6C" w:rsidP="00EB50F4">
      <w:pPr>
        <w:spacing w:line="480" w:lineRule="auto"/>
        <w:rPr>
          <w:rFonts w:asciiTheme="minorHAnsi" w:hAnsiTheme="minorHAnsi" w:cstheme="minorHAnsi"/>
          <w:b/>
          <w:bCs/>
          <w:color w:val="222222"/>
          <w:shd w:val="clear" w:color="auto" w:fill="FFFFFF"/>
          <w:lang w:val="en-GB"/>
        </w:rPr>
      </w:pPr>
      <w:r>
        <w:rPr>
          <w:rFonts w:asciiTheme="minorHAnsi" w:hAnsiTheme="minorHAnsi" w:cstheme="minorHAnsi"/>
          <w:b/>
          <w:bCs/>
          <w:color w:val="222222"/>
          <w:shd w:val="clear" w:color="auto" w:fill="FFFFFF"/>
          <w:lang w:val="en-GB"/>
        </w:rPr>
        <w:t xml:space="preserve">SUPPLEMENTARY MATERIAL </w:t>
      </w:r>
    </w:p>
    <w:p w14:paraId="4EFA0184" w14:textId="72177383" w:rsidR="00467E6C" w:rsidRPr="00EB50F4" w:rsidRDefault="003C48BC" w:rsidP="00EB50F4">
      <w:pPr>
        <w:spacing w:line="480" w:lineRule="auto"/>
        <w:rPr>
          <w:rFonts w:asciiTheme="minorHAnsi" w:hAnsiTheme="minorHAnsi" w:cstheme="minorHAnsi"/>
          <w:b/>
          <w:bCs/>
          <w:color w:val="222222"/>
          <w:shd w:val="clear" w:color="auto" w:fill="FFFFFF"/>
          <w:lang w:val="en-GB"/>
        </w:rPr>
      </w:pPr>
      <w:r>
        <w:rPr>
          <w:rFonts w:asciiTheme="minorHAnsi" w:hAnsiTheme="minorHAnsi" w:cstheme="minorHAnsi"/>
          <w:b/>
          <w:bCs/>
          <w:color w:val="222222"/>
          <w:shd w:val="clear" w:color="auto" w:fill="FFFFFF"/>
          <w:lang w:val="en-GB"/>
        </w:rPr>
        <w:t>RESULTS</w:t>
      </w:r>
    </w:p>
    <w:p w14:paraId="11D746A9" w14:textId="01639F5C" w:rsidR="00EB50F4" w:rsidRPr="00EB50F4" w:rsidRDefault="00EB50F4" w:rsidP="00EB50F4">
      <w:pPr>
        <w:spacing w:line="480" w:lineRule="auto"/>
        <w:rPr>
          <w:rFonts w:asciiTheme="minorHAnsi" w:hAnsiTheme="minorHAnsi" w:cstheme="minorHAnsi"/>
          <w:color w:val="0E101A"/>
          <w:lang w:val="en-GB"/>
        </w:rPr>
      </w:pPr>
      <w:r w:rsidRPr="00EB50F4">
        <w:rPr>
          <w:rFonts w:asciiTheme="minorHAnsi" w:hAnsiTheme="minorHAnsi" w:cstheme="minorHAnsi"/>
          <w:b/>
          <w:lang w:val="en-GB"/>
        </w:rPr>
        <w:t xml:space="preserve">Table </w:t>
      </w:r>
      <w:r w:rsidR="00E83413">
        <w:rPr>
          <w:rFonts w:asciiTheme="minorHAnsi" w:hAnsiTheme="minorHAnsi" w:cstheme="minorHAnsi"/>
          <w:b/>
          <w:lang w:val="en-GB"/>
        </w:rPr>
        <w:t>S</w:t>
      </w:r>
      <w:r w:rsidRPr="00EB50F4">
        <w:rPr>
          <w:rFonts w:asciiTheme="minorHAnsi" w:hAnsiTheme="minorHAnsi" w:cstheme="minorHAnsi"/>
          <w:b/>
          <w:lang w:val="en-GB"/>
        </w:rPr>
        <w:t xml:space="preserve">1. </w:t>
      </w:r>
      <w:r w:rsidRPr="00EB50F4">
        <w:rPr>
          <w:rFonts w:asciiTheme="minorHAnsi" w:hAnsiTheme="minorHAnsi" w:cstheme="minorHAnsi"/>
          <w:bCs/>
          <w:lang w:val="en-GB"/>
        </w:rPr>
        <w:t>List of</w:t>
      </w:r>
      <w:r w:rsidRPr="00EB50F4">
        <w:rPr>
          <w:rFonts w:asciiTheme="minorHAnsi" w:hAnsiTheme="minorHAnsi" w:cstheme="minorHAnsi"/>
          <w:b/>
          <w:lang w:val="en-GB"/>
        </w:rPr>
        <w:t xml:space="preserve"> </w:t>
      </w:r>
      <w:r w:rsidRPr="00EB50F4">
        <w:rPr>
          <w:rFonts w:asciiTheme="minorHAnsi" w:hAnsiTheme="minorHAnsi" w:cstheme="minorHAnsi"/>
          <w:bCs/>
          <w:lang w:val="en-GB"/>
        </w:rPr>
        <w:t>eDNA studies using soil samples to target Animalia and Plantae organisms. Literature was retrieved using</w:t>
      </w:r>
      <w:r w:rsidRPr="00EB50F4">
        <w:rPr>
          <w:rFonts w:asciiTheme="minorHAnsi" w:hAnsiTheme="minorHAnsi" w:cstheme="minorHAnsi"/>
          <w:color w:val="0E101A"/>
          <w:lang w:val="en-GB"/>
        </w:rPr>
        <w:t xml:space="preserve"> ‘Google Scholar’. Ancient eDNA studies were not included in the list. Markers targeting other organisms (e.g., Bacteria, Fungi) were excluded f</w:t>
      </w:r>
      <w:r w:rsidR="001B2605">
        <w:rPr>
          <w:rFonts w:asciiTheme="minorHAnsi" w:hAnsiTheme="minorHAnsi" w:cstheme="minorHAnsi"/>
          <w:color w:val="0E101A"/>
          <w:lang w:val="en-GB"/>
        </w:rPr>
        <w:t>rom</w:t>
      </w:r>
      <w:r w:rsidRPr="00EB50F4">
        <w:rPr>
          <w:rFonts w:asciiTheme="minorHAnsi" w:hAnsiTheme="minorHAnsi" w:cstheme="minorHAnsi"/>
          <w:color w:val="0E101A"/>
          <w:lang w:val="en-GB"/>
        </w:rPr>
        <w:t xml:space="preserve"> the list.</w:t>
      </w:r>
    </w:p>
    <w:tbl>
      <w:tblPr>
        <w:tblStyle w:val="PlainTable2"/>
        <w:tblW w:w="0" w:type="auto"/>
        <w:tblLayout w:type="fixed"/>
        <w:tblLook w:val="04A0" w:firstRow="1" w:lastRow="0" w:firstColumn="1" w:lastColumn="0" w:noHBand="0" w:noVBand="1"/>
      </w:tblPr>
      <w:tblGrid>
        <w:gridCol w:w="5386"/>
        <w:gridCol w:w="1417"/>
        <w:gridCol w:w="1417"/>
        <w:gridCol w:w="1417"/>
        <w:gridCol w:w="1701"/>
      </w:tblGrid>
      <w:tr w:rsidR="00EB50F4" w:rsidRPr="00EB50F4" w14:paraId="1A7ADFD5" w14:textId="77777777" w:rsidTr="00741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auto"/>
              <w:bottom w:val="single" w:sz="4" w:space="0" w:color="auto"/>
            </w:tcBorders>
          </w:tcPr>
          <w:p w14:paraId="0ABE7493" w14:textId="77777777" w:rsidR="00EB50F4" w:rsidRPr="00EB50F4" w:rsidRDefault="00EB50F4" w:rsidP="007412FF">
            <w:pPr>
              <w:spacing w:line="480" w:lineRule="auto"/>
              <w:rPr>
                <w:rFonts w:asciiTheme="minorHAnsi" w:hAnsiTheme="minorHAnsi" w:cstheme="minorHAnsi"/>
                <w:lang w:val="en-GB"/>
              </w:rPr>
            </w:pPr>
            <w:r w:rsidRPr="00EB50F4">
              <w:rPr>
                <w:rFonts w:asciiTheme="minorHAnsi" w:hAnsiTheme="minorHAnsi" w:cstheme="minorHAnsi"/>
                <w:lang w:val="en-GB"/>
              </w:rPr>
              <w:t>Title, Author, and publishing year</w:t>
            </w:r>
          </w:p>
        </w:tc>
        <w:tc>
          <w:tcPr>
            <w:tcW w:w="1417" w:type="dxa"/>
            <w:tcBorders>
              <w:top w:val="single" w:sz="4" w:space="0" w:color="auto"/>
              <w:bottom w:val="single" w:sz="4" w:space="0" w:color="auto"/>
            </w:tcBorders>
          </w:tcPr>
          <w:p w14:paraId="478AE133" w14:textId="77777777" w:rsidR="00EB50F4" w:rsidRPr="00EB50F4" w:rsidRDefault="00EB50F4" w:rsidP="007412FF">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Sample volume (g)</w:t>
            </w:r>
          </w:p>
        </w:tc>
        <w:tc>
          <w:tcPr>
            <w:tcW w:w="1417" w:type="dxa"/>
            <w:tcBorders>
              <w:top w:val="single" w:sz="4" w:space="0" w:color="auto"/>
              <w:bottom w:val="single" w:sz="4" w:space="0" w:color="auto"/>
            </w:tcBorders>
          </w:tcPr>
          <w:p w14:paraId="35EE4B67" w14:textId="77777777" w:rsidR="00EB50F4" w:rsidRPr="00EB50F4" w:rsidRDefault="00EB50F4" w:rsidP="007412FF">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Extraction method</w:t>
            </w:r>
          </w:p>
        </w:tc>
        <w:tc>
          <w:tcPr>
            <w:tcW w:w="1417" w:type="dxa"/>
            <w:tcBorders>
              <w:top w:val="single" w:sz="4" w:space="0" w:color="auto"/>
              <w:bottom w:val="single" w:sz="4" w:space="0" w:color="auto"/>
            </w:tcBorders>
          </w:tcPr>
          <w:p w14:paraId="11CF7B26" w14:textId="77777777" w:rsidR="00EB50F4" w:rsidRPr="00EB50F4" w:rsidRDefault="00EB50F4" w:rsidP="007412FF">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Marker(s)</w:t>
            </w:r>
          </w:p>
        </w:tc>
        <w:tc>
          <w:tcPr>
            <w:tcW w:w="1701" w:type="dxa"/>
            <w:tcBorders>
              <w:top w:val="single" w:sz="4" w:space="0" w:color="auto"/>
              <w:bottom w:val="single" w:sz="4" w:space="0" w:color="auto"/>
            </w:tcBorders>
          </w:tcPr>
          <w:p w14:paraId="5FB41447" w14:textId="77777777" w:rsidR="00EB50F4" w:rsidRPr="00EB50F4" w:rsidRDefault="00EB50F4" w:rsidP="007412FF">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Target organisms</w:t>
            </w:r>
          </w:p>
        </w:tc>
      </w:tr>
      <w:tr w:rsidR="00EB50F4" w:rsidRPr="00EB50F4" w14:paraId="603E7933"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auto"/>
            </w:tcBorders>
          </w:tcPr>
          <w:p w14:paraId="76E9A167"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 Co-variation in soil biodiversity and biogeochemistry in northern and southern Victoria Land, Antarctica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{"citationID":"zRXOL7lm","properties":{"formattedCitation":"(Barrett {\\i{}et al.} 2006)","plainCitation":"(Barrett et al. 2006)","noteIndex":0},"citationItems":[{"id":246,"uris":["http://zotero.org/users/8293222/items/UVPS5SJM"],"uri":["http://zotero.org/users/8293222/items/UVPS5SJM"],"itemData":{"id":246,"type":"article-journal","container-title":"Antarctic Science","issue":"4","note":"publisher: Cambridge University Press","page":"535–548","source":"Google Scholar","title":"Co-variation in soil biodiversity and biogeochemistry in northern and southern Victoria Land, Antarctica","volume":"18","author":[{"family":"Barrett","given":"John E."},{"family":"Virginia","given":"R. A."},{"family":"Wall","given":"Diana H."},{"family":"Cary","given":"S. Craig"},{"family":"Adams","given":"Byron J."},{"family":"Hacker","given":"A. L."},{"family":"Aislabie","given":"Jackie M."}],"issued":{"date-parts":[["2006"]]}}}],"schema":"https://github.com/citation-style-language/schema/raw/master/csl-citation.json"}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(Barrett </w:t>
            </w:r>
            <w:r w:rsidRPr="00EB50F4">
              <w:rPr>
                <w:rFonts w:asciiTheme="minorHAnsi" w:hAnsiTheme="minorHAnsi" w:cstheme="minorHAnsi"/>
                <w:i/>
                <w:iCs/>
              </w:rPr>
              <w:t>et al.</w:t>
            </w:r>
            <w:r w:rsidRPr="00EB50F4">
              <w:rPr>
                <w:rFonts w:asciiTheme="minorHAnsi" w:hAnsiTheme="minorHAnsi" w:cstheme="minorHAnsi"/>
              </w:rPr>
              <w:t xml:space="preserve"> 2006)</w:t>
            </w:r>
            <w:r w:rsidRPr="00EB50F4">
              <w:rPr>
                <w:rFonts w:asciiTheme="minorHAnsi" w:hAnsiTheme="minorHAnsi" w:cstheme="minorHAnsi"/>
                <w:lang w:val="en-GB"/>
              </w:rPr>
              <w:fldChar w:fldCharType="end"/>
            </w:r>
            <w:r w:rsidRPr="00EB50F4">
              <w:rPr>
                <w:rFonts w:asciiTheme="minorHAnsi" w:hAnsiTheme="minorHAnsi" w:cstheme="minorHAnsi"/>
                <w:b w:val="0"/>
                <w:bCs w:val="0"/>
                <w:lang w:val="en-GB"/>
              </w:rPr>
              <w:t xml:space="preserve"> </w:t>
            </w:r>
          </w:p>
        </w:tc>
        <w:tc>
          <w:tcPr>
            <w:tcW w:w="1417" w:type="dxa"/>
            <w:tcBorders>
              <w:top w:val="single" w:sz="4" w:space="0" w:color="auto"/>
            </w:tcBorders>
          </w:tcPr>
          <w:p w14:paraId="7BE1E101"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0.7</w:t>
            </w:r>
          </w:p>
        </w:tc>
        <w:tc>
          <w:tcPr>
            <w:tcW w:w="1417" w:type="dxa"/>
            <w:tcBorders>
              <w:top w:val="single" w:sz="4" w:space="0" w:color="auto"/>
            </w:tcBorders>
          </w:tcPr>
          <w:p w14:paraId="2381D57B"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CTAB</w:t>
            </w:r>
          </w:p>
        </w:tc>
        <w:tc>
          <w:tcPr>
            <w:tcW w:w="1417" w:type="dxa"/>
            <w:tcBorders>
              <w:top w:val="single" w:sz="4" w:space="0" w:color="auto"/>
            </w:tcBorders>
          </w:tcPr>
          <w:p w14:paraId="46E79BBC"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tcW w:w="1701" w:type="dxa"/>
            <w:tcBorders>
              <w:top w:val="single" w:sz="4" w:space="0" w:color="auto"/>
            </w:tcBorders>
          </w:tcPr>
          <w:p w14:paraId="3E4E632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nematode, rotifers, and tardigrades</w:t>
            </w:r>
          </w:p>
        </w:tc>
      </w:tr>
      <w:tr w:rsidR="00EB50F4" w:rsidRPr="00EB50F4" w14:paraId="00231AAF"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57BC95E8"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 Islands in the ice: detecting past vegetation on Greenlandic nunataks using historical records and sedimentary ancient DNA Meta‐barcoding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{"citationID":"oByRNxv2","properties":{"formattedCitation":"(J\\uc0\\u248{}rgensen {\\i{}et al.} 2012)","plainCitation":"(Jørgensen et al. 2012)","noteIndex":0},"citationItems":[{"id":102,"uris":["http://zotero.org/users/8293222/items/TCR334NI"],"uri":["http://zotero.org/users/8293222/items/TCR334NI"],"itemData":{"id":102,"type":"article-journal","abstract":"Nunataks are isolated bedrocks protruding through ice sheets. They vary in age, but represent island environments in ‘oceans’ of ice through which organism dispersals and replacements can be studied over time. The J.A.D. Jensen’s Nunataks at the southern Greenland ice sheet are the most isolated nunataks on the northern hemisphere – some 30 km from the nearest biological source. They constitute around 2 km2 of ice‐free land that was established in the early Holocene. We have investigated the changes in plant composition at these nunataks using both the results of surveys of the flora over the last 130 years and through reconstruction of the vegetation from the end of the Holocene Thermal Maximum (5528 ± 75 cal year BP) using meta‐barcoding of plant DNA recovered from the nunatak sediments (sedaDNA). Our results show that several of the plant species detected with sedaDNA are described from earlier vegetation surveys on the nunataks (in 1878, 1967 and 2009). In 1967, a much higher biodiversity was detected than from any other of the studied periods. While this may be related to differences in sampling efforts for the oldest period, it is not the case when comparing the 1967 and 2009 levels where the botanical survey was exhaustive. As no animals and humans are found on the nunataks, this change in diversity over a period of just 42 years must relate to environmental changes probably being climate‐driven. This suggests that even the flora of fairly small and isolated ice‐free areas reacts quickly to a changing climate.","container-title":"Molecular ecology","DOI":"10.1111/j.1365-294X.2011.05278.x","ISSN":"0962-1083","issue":"8","language":"eng","note":"edition: Received 1 March 2011; revision received 1 August 2011; accepted 11 August 2011\npublisher-place: Oxford, UK\npublisher: Blackwell Publishing Ltd","page":"1980–1988","source":"otago.com","title":"Islands in the ice: detecting past vegetation on Greenlandic nunataks using historical records and sedimentary ancient DNA Meta-barcoding","title-short":"Islands in the ice","volume":"21","author":[{"family":"Jørgensen","given":"Tina"},{"family":"Kjaer","given":"Kurth"},{"family":"Haile","given":"James"},{"family":"Rasmussen","given":"Morten"},{"family":"Boessenkool","given":"Sanne"},{"family":"Andersen","given":"Kenneth"},{"family":"Coissac","given":"Eric"},{"family":"Taberlet","given":"Pierre"},{"family":"Brochmann","given":"Christian"},{"family":"Orlando","given":"Ludovic"},{"family":"Gilbert","given":"M. Thomas P."},{"family":"Willerslev","given":"Eske"}],"issued":{"date-parts":[["2012"]]}}}],"schema":"https://github.com/citation-style-language/schema/raw/master/csl-citation.json"}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(Jørgensen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lang w:val="en-GB"/>
              </w:rPr>
              <w:fldChar w:fldCharType="end"/>
            </w:r>
          </w:p>
        </w:tc>
        <w:tc>
          <w:tcPr>
            <w:tcW w:w="1417" w:type="dxa"/>
          </w:tcPr>
          <w:p w14:paraId="78CFD33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10</w:t>
            </w:r>
          </w:p>
        </w:tc>
        <w:tc>
          <w:tcPr>
            <w:tcW w:w="1417" w:type="dxa"/>
          </w:tcPr>
          <w:p w14:paraId="57E63746"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 xml:space="preserve"> </w:t>
            </w:r>
          </w:p>
        </w:tc>
        <w:tc>
          <w:tcPr>
            <w:tcW w:w="1417" w:type="dxa"/>
          </w:tcPr>
          <w:p w14:paraId="35E35A10"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trnL</w:t>
            </w:r>
            <w:proofErr w:type="spellEnd"/>
            <w:r w:rsidRPr="00EB50F4">
              <w:rPr>
                <w:rFonts w:asciiTheme="minorHAnsi" w:hAnsiTheme="minorHAnsi" w:cstheme="minorHAnsi"/>
                <w:lang w:val="en-GB"/>
              </w:rPr>
              <w:t xml:space="preserve"> </w:t>
            </w:r>
          </w:p>
        </w:tc>
        <w:tc>
          <w:tcPr>
            <w:tcW w:w="1701" w:type="dxa"/>
          </w:tcPr>
          <w:p w14:paraId="6E02E549"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Arctic plants</w:t>
            </w:r>
          </w:p>
        </w:tc>
      </w:tr>
      <w:tr w:rsidR="00EB50F4" w:rsidRPr="00EB50F4" w14:paraId="3BCE3E5F"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5DC3541C"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[3] Meta‐barcoding of ‘dirt’ DNA from soil reflects vertebrate biodiversity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{"citationID":"HNx2J2pd","properties":{"formattedCitation":"(Andersen {\\i{}et al.} 2012)","plainCitation":"(Andersen et al. 2012)","noteIndex":0},"citationItems":[{"id":251,"uris":["http://zotero.org/users/8293222/items/FDBEBCSM"],"uri":["http://zotero.org/users/8293222/items/FDBEBCSM"],"itemData":{"id":251,"type":"article-journal","container-title":"Molecular Ecology","issue":"8","note":"publisher: Wiley Online Library","page":"1966–1979","source":"Google Scholar","title":"Meta-barcoding of ‘dirt’DNA from soil reflects vertebrate biodiversity","volume":"21","author":[{"family":"Andersen","given":"Kenneth"},{"family":"Bird","given":"Karen Lise"},{"family":"Rasmussen","given":"Morten"},{"family":"Haile","given":"James"},{"family":"Breuning-Madsen","given":"Henrik"},{"family":"Kjaer","given":"Kurt H."},{"family":"Orlando","given":"Ludovic"},{"family":"Gilbert","given":"M. Thomas P."},{"family":"Willerslev","given":"Eske"}],"issued":{"date-parts":[["2012"]]}}}],"schema":"https://github.com/citation-style-language/schema/raw/master/csl-citation.json"}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(Andersen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lang w:val="en-GB"/>
              </w:rPr>
              <w:fldChar w:fldCharType="end"/>
            </w:r>
            <w:r w:rsidRPr="00EB50F4">
              <w:rPr>
                <w:rFonts w:asciiTheme="minorHAnsi" w:hAnsiTheme="minorHAnsi" w:cstheme="minorHAnsi"/>
                <w:b w:val="0"/>
                <w:bCs w:val="0"/>
                <w:lang w:val="en-GB"/>
              </w:rPr>
              <w:t xml:space="preserve"> </w:t>
            </w:r>
          </w:p>
        </w:tc>
        <w:tc>
          <w:tcPr>
            <w:tcW w:w="1417" w:type="dxa"/>
          </w:tcPr>
          <w:p w14:paraId="297E9A47"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6.5</w:t>
            </w:r>
          </w:p>
        </w:tc>
        <w:tc>
          <w:tcPr>
            <w:tcW w:w="1417" w:type="dxa"/>
          </w:tcPr>
          <w:p w14:paraId="78F1716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6199686B"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16S</w:t>
            </w:r>
          </w:p>
        </w:tc>
        <w:tc>
          <w:tcPr>
            <w:tcW w:w="1701" w:type="dxa"/>
          </w:tcPr>
          <w:p w14:paraId="5547BA9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mammal</w:t>
            </w:r>
          </w:p>
        </w:tc>
      </w:tr>
      <w:tr w:rsidR="00EB50F4" w:rsidRPr="00EB50F4" w14:paraId="0EC0F5ED"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723BA497"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[4] New environmental </w:t>
            </w:r>
            <w:proofErr w:type="spellStart"/>
            <w:r w:rsidRPr="00EB50F4">
              <w:rPr>
                <w:rFonts w:asciiTheme="minorHAnsi" w:hAnsiTheme="minorHAnsi" w:cstheme="minorHAnsi"/>
                <w:b w:val="0"/>
                <w:bCs w:val="0"/>
                <w:lang w:val="en-GB"/>
              </w:rPr>
              <w:t>metabarcodes</w:t>
            </w:r>
            <w:proofErr w:type="spellEnd"/>
            <w:r w:rsidRPr="00EB50F4">
              <w:rPr>
                <w:rFonts w:asciiTheme="minorHAnsi" w:hAnsiTheme="minorHAnsi" w:cstheme="minorHAnsi"/>
                <w:b w:val="0"/>
                <w:bCs w:val="0"/>
                <w:lang w:val="en-GB"/>
              </w:rPr>
              <w:t xml:space="preserve"> for analysing soil DNA: potential for studying past and present ecosystems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{"citationID":"lrGAcgx7","properties":{"formattedCitation":"(Epp {\\i{}et al.} 2012)","plainCitation":"(Epp et al. 2012)","noteIndex":0},"citationItems":[{"id":254,"uris":["http://zotero.org/users/8293222/items/9H8SBN5Z"],"uri":["http://zotero.org/users/8293222/items/9H8SBN5Z"],"itemData":{"id":254,"type":"article-journal","container-title":"Molecular ecology","issue":"8","note":"publisher: Wiley Online Library","page":"1821–1833","source":"Google Scholar","title":"New environmental metabarcodes for analysing soil DNA: potential for studying past and present ecosystems","title-short":"New environmental metabarcodes for analysing soil DNA","volume":"21","author":[{"family":"Epp","given":"Laura S."},{"family":"Boessenkool","given":"Sanne"},{"family":"Bellemain","given":"Eva P."},{"family":"Haile","given":"James"},{"family":"Esposito","given":"Alfonso"},{"family":"Riaz","given":"Tiayyba"},{"family":"Erseus","given":"Christer"},{"family":"Gusarov","given":"Vladimir I."},{"family":"Edwards","given":"Mary E."},{"family":"Johnsen","given":"Arild"}],"issued":{"date-parts":[["2012"]]}}}],"schema":"https://github.com/citation-style-language/schema/raw/master/csl-citation.json"}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(Epp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lang w:val="en-GB"/>
              </w:rPr>
              <w:fldChar w:fldCharType="end"/>
            </w:r>
          </w:p>
        </w:tc>
        <w:tc>
          <w:tcPr>
            <w:tcW w:w="1417" w:type="dxa"/>
          </w:tcPr>
          <w:p w14:paraId="75262C2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7 – 10</w:t>
            </w:r>
          </w:p>
        </w:tc>
        <w:tc>
          <w:tcPr>
            <w:tcW w:w="1417" w:type="dxa"/>
          </w:tcPr>
          <w:p w14:paraId="5478418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24760FBD"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multiple</w:t>
            </w:r>
          </w:p>
        </w:tc>
        <w:tc>
          <w:tcPr>
            <w:tcW w:w="1701" w:type="dxa"/>
          </w:tcPr>
          <w:p w14:paraId="604694A2"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Ancient plants and animals</w:t>
            </w:r>
          </w:p>
        </w:tc>
      </w:tr>
      <w:tr w:rsidR="00EB50F4" w:rsidRPr="00EB50F4" w14:paraId="239FA4D7"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1BA74E3B"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 [5] Tracking earthworm communities from soil DNA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{"citationID":"mTFZzn6X","properties":{"formattedCitation":"(Bienert {\\i{}et al.} 2012)","plainCitation":"(Bienert et al. 2012)","noteIndex":0},"citationItems":[{"id":256,"uris":["http://zotero.org/users/8293222/items/PHC7Y6NJ"],"uri":["http://zotero.org/users/8293222/items/PHC7Y6NJ"],"itemData":{"id":256,"type":"article-journal","container-title":"Molecular Ecology","issue":"8","note":"publisher: Wiley Online Library","page":"2017–2030","source":"Google Scholar","title":"Tracking earthworm communities from soil DNA","volume":"21","author":[{"family":"Bienert","given":"Friederike"},{"family":"De Danieli","given":"Sebastien"},{"family":"Miquel","given":"Christian"},{"family":"Coissac","given":"Eric"},{"family":"Poillot","given":"Carole"},{"family":"BRUN","given":"JEAN-JACQUES"},{"family":"Taberlet","given":"Pierre"}],"issued":{"date-parts":[["2012"]]}}}],"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(Bienert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lang w:val="en-GB"/>
              </w:rPr>
              <w:fldChar w:fldCharType="end"/>
            </w:r>
          </w:p>
        </w:tc>
        <w:tc>
          <w:tcPr>
            <w:tcW w:w="1417" w:type="dxa"/>
          </w:tcPr>
          <w:p w14:paraId="7C70EBB2"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6</w:t>
            </w:r>
          </w:p>
        </w:tc>
        <w:tc>
          <w:tcPr>
            <w:tcW w:w="1417" w:type="dxa"/>
          </w:tcPr>
          <w:p w14:paraId="130F09B2"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42F3B939"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16S</w:t>
            </w:r>
          </w:p>
        </w:tc>
        <w:tc>
          <w:tcPr>
            <w:tcW w:w="1701" w:type="dxa"/>
          </w:tcPr>
          <w:p w14:paraId="1B15851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Earthworm</w:t>
            </w:r>
          </w:p>
        </w:tc>
      </w:tr>
      <w:tr w:rsidR="00EB50F4" w:rsidRPr="00EB50F4" w14:paraId="636371C1"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3E838BA5"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[6] DNA from soil mirrors plant taxonomic and growth form diversity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{"citationID":"IdC297YN","properties":{"formattedCitation":"(Yoccoz {\\i{}et al.} 2012)","plainCitation":"(Yoccoz et al. 2012)","noteIndex":0},"citationItems":[{"id":231,"uris":["http://zotero.org/users/8293222/items/HGHTSU75"],"uri":["http://zotero.org/users/8293222/items/HGHTSU75"],"itemData":{"id":231,"type":"article-journal","container-title":"Molecular ecology","issue":"15","note":"publisher: Wiley Online Library","page":"3647–3655","source":"Google Scholar","title":"DNA from soil mirrors plant taxonomic and growth form diversity","volume":"21","author":[{"family":"Yoccoz","given":"Nigel G."},{"family":"Bråthen","given":"Kari A."},{"family":"Gielly","given":"Ludovic"},{"family":"Haile","given":"James"},{"family":"Edwards","given":"Mary E."},{"family":"Goslar","given":"Tomasz"},{"family":"Stedingk","given":"Henrik","non-dropping-particle":"von"},{"family":"Brysting","given":"A. K."},{"family":"Coissac","given":"E."},{"family":"Pompanon","given":"F."}],"issued":{"date-parts":[["2012"]]}}}],"schema":"https://github.com/citation-style-language/schema/raw/master/csl-citation.json"}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(Yoccoz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lang w:val="en-GB"/>
              </w:rPr>
              <w:fldChar w:fldCharType="end"/>
            </w:r>
          </w:p>
        </w:tc>
        <w:tc>
          <w:tcPr>
            <w:tcW w:w="1417" w:type="dxa"/>
          </w:tcPr>
          <w:p w14:paraId="579113FA"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6</w:t>
            </w:r>
          </w:p>
        </w:tc>
        <w:tc>
          <w:tcPr>
            <w:tcW w:w="1417" w:type="dxa"/>
          </w:tcPr>
          <w:p w14:paraId="73B85242"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01389229"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trnL</w:t>
            </w:r>
            <w:proofErr w:type="spellEnd"/>
          </w:p>
        </w:tc>
        <w:tc>
          <w:tcPr>
            <w:tcW w:w="1701" w:type="dxa"/>
          </w:tcPr>
          <w:p w14:paraId="724BDCD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plants</w:t>
            </w:r>
          </w:p>
        </w:tc>
      </w:tr>
      <w:tr w:rsidR="00EB50F4" w:rsidRPr="00EB50F4" w14:paraId="54C7BD85"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790FDC17"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[7] Long-lasting modification of soil fungal diversity associated with the introduction of rabbits to a remote sub-Antarctic archipelago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{"citationID":"Pr732p2r","properties":{"formattedCitation":"(Pansu {\\i{}et al.} 2015b)","plainCitation":"(Pansu et al. 2015b)","noteIndex":0},"citationItems":[{"id":260,"uris":["http://zotero.org/users/8293222/items/JUP2ICY2"],"uri":["http://zotero.org/users/8293222/items/JUP2ICY2"],"itemData":{"id":260,"type":"article-journal","abstract":"During the late nineteenth century, Europeans introduced rabbits to many of the sub-Antarctic islands, environments that prior to this had been devoid of mammalian herbivores. The impacts of rabbits on indigenous ecosystems are well studied; notably, they cause dramatic changes in plant communities and promote soil erosion. However, the responses of fungal communities to such biotic disturbances remain unexplored. We used metabarcoding of soil extracellular DNA to assess the diversity of plant and fungal communities at sites on the sub-Antarctic Kerguelen Islands with contrasting histories of disturbance by rabbits. Our results suggest that on these islands, the simplification of plant communities and increased erosion resulting from the introduction of rabbits have driven compositional changes, including diversity reductions, in indigenous soil fungal communities. Moreover, there is no indication of recovery at sites from which rabbits were removed 20 years ago. These results imply that introduced herbivores have long-lasting and multifaceted effects on fungal biodiversity as well as highlight the low resiliency of sub-Antarctic ecosystems.","container-title":"Biology letters (2005)","DOI":"10.1098/rsbl.2015.0408","ISSN":"1744-9561","issue":"9","language":"eng","note":"publisher-place: England\npublisher: Royal Society, The","page":"20150408–20150408","source":"otago.com","title":"Long-lasting modification of soil fungal diversity associated with the introduction of rabbits to a remote sub-Antarctic archipelago","volume":"11","author":[{"family":"Pansu","given":"Johan"},{"family":"Winkworth","given":"Richard C."},{"family":"Hennion","given":"Françoise"},{"family":"Gielly","given":"Ludovic"},{"family":"Taberlet","given":"Pierre"},{"family":"Choler","given":"Philippe"}],"issued":{"date-parts":[["2015"]]}}}],"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(Pansu </w:t>
            </w:r>
            <w:r w:rsidRPr="00EB50F4">
              <w:rPr>
                <w:rFonts w:asciiTheme="minorHAnsi" w:hAnsiTheme="minorHAnsi" w:cstheme="minorHAnsi"/>
                <w:i/>
                <w:iCs/>
              </w:rPr>
              <w:t>et al.</w:t>
            </w:r>
            <w:r w:rsidRPr="00EB50F4">
              <w:rPr>
                <w:rFonts w:asciiTheme="minorHAnsi" w:hAnsiTheme="minorHAnsi" w:cstheme="minorHAnsi"/>
              </w:rPr>
              <w:t xml:space="preserve"> 2015b)</w:t>
            </w:r>
            <w:r w:rsidRPr="00EB50F4">
              <w:rPr>
                <w:rFonts w:asciiTheme="minorHAnsi" w:hAnsiTheme="minorHAnsi" w:cstheme="minorHAnsi"/>
                <w:lang w:val="en-GB"/>
              </w:rPr>
              <w:fldChar w:fldCharType="end"/>
            </w:r>
          </w:p>
        </w:tc>
        <w:tc>
          <w:tcPr>
            <w:tcW w:w="1417" w:type="dxa"/>
          </w:tcPr>
          <w:p w14:paraId="707B5C8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 NA</w:t>
            </w:r>
          </w:p>
        </w:tc>
        <w:tc>
          <w:tcPr>
            <w:tcW w:w="1417" w:type="dxa"/>
          </w:tcPr>
          <w:p w14:paraId="4799C91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p>
        </w:tc>
        <w:tc>
          <w:tcPr>
            <w:tcW w:w="1417" w:type="dxa"/>
          </w:tcPr>
          <w:p w14:paraId="71C5332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trnL</w:t>
            </w:r>
            <w:proofErr w:type="spellEnd"/>
          </w:p>
        </w:tc>
        <w:tc>
          <w:tcPr>
            <w:tcW w:w="1701" w:type="dxa"/>
          </w:tcPr>
          <w:p w14:paraId="354936CA"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plants</w:t>
            </w:r>
          </w:p>
        </w:tc>
      </w:tr>
      <w:tr w:rsidR="00EB50F4" w:rsidRPr="00EB50F4" w14:paraId="6402D36E"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0DBE84DD"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[8] Landscape-scale distribution patterns of earthworms inferred from soil DNA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{"citationID":"I2mL30b6","properties":{"formattedCitation":"(Pansu {\\i{}et al.} 2015a)","plainCitation":"(Pansu et al. 2015a)","noteIndex":0},"citationItems":[{"id":262,"uris":["http://zotero.org/users/8293222/items/EDQAPQPW"],"uri":["http://zotero.org/users/8293222/items/EDQAPQPW"],"itemData":{"id":262,"type":"article-journal","abstract":"Assessing land-use effect on the diversity of soil biota has long been hampered by difficulties in collecting and identifying soil organisms over large areas. Recently, environmental DNA-based approaches coupled with next-generation sequencing were developed to study soil biodiversity. Here, we optimized a protocol based on soil DNA to examine the effects of land-use on earthworm communities in a mountain landscape. This approach allowed an efficient detection of earthworm diversity and highlighted a significant land-use effect on the distribution patterns of earthworms that was not revealed by a classical survey. Our results show that the soil DNA-based earthworm survey at the landscape-scale improves over previous approaches, and opens a way towards large-scale assessment of soil biodiversity and its drivers.\n•A soil DNA-based protocol is proposed for large-scale earthworm survey.•The field protocol is easy to implement and provides consistent results.•It highlights a land-use effect on earthworm communities not shown by handsorting.•This approach was relevant to assess communities’ drivers at the landscape-scale.•It constitutes a complementary tool for soil biota survey.","container-title":"Soil biology &amp; biochemistry","DOI":"10.1016/j.soilbio.2015.01.004","ISSN":"0038-0717","language":"eng","note":"publisher: Elsevier Ltd","page":"100–105","source":"otago.com","title":"Landscape-scale distribution patterns of earthworms inferred from soil DNA","volume":"83","author":[{"family":"Pansu","given":"Johan"},{"family":"De Danieli","given":"Sébastien"},{"family":"Puissant","given":"Jérémy"},{"family":"Gonzalez","given":"Jean-Maxime"},{"family":"Gielly","given":"Ludovic"},{"family":"Cordonnier","given":"Thomas"},{"family":"Zinger","given":"Lucie"},{"family":"Brun","given":"Jean-Jacques"},{"family":"Choler","given":"Philippe"},{"family":"Taberlet","given":"Pierre"},{"family":"Cécillon","given":"Lauric"}],"issued":{"date-parts":[["2015"]]}}}],"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(Pansu </w:t>
            </w:r>
            <w:r w:rsidRPr="00EB50F4">
              <w:rPr>
                <w:rFonts w:asciiTheme="minorHAnsi" w:hAnsiTheme="minorHAnsi" w:cstheme="minorHAnsi"/>
                <w:i/>
                <w:iCs/>
              </w:rPr>
              <w:t>et al.</w:t>
            </w:r>
            <w:r w:rsidRPr="00EB50F4">
              <w:rPr>
                <w:rFonts w:asciiTheme="minorHAnsi" w:hAnsiTheme="minorHAnsi" w:cstheme="minorHAnsi"/>
              </w:rPr>
              <w:t xml:space="preserve"> 2015a)</w:t>
            </w:r>
            <w:r w:rsidRPr="00EB50F4">
              <w:rPr>
                <w:rFonts w:asciiTheme="minorHAnsi" w:hAnsiTheme="minorHAnsi" w:cstheme="minorHAnsi"/>
                <w:lang w:val="en-GB"/>
              </w:rPr>
              <w:fldChar w:fldCharType="end"/>
            </w:r>
          </w:p>
        </w:tc>
        <w:tc>
          <w:tcPr>
            <w:tcW w:w="1417" w:type="dxa"/>
          </w:tcPr>
          <w:p w14:paraId="60FBDB30"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15</w:t>
            </w:r>
          </w:p>
        </w:tc>
        <w:tc>
          <w:tcPr>
            <w:tcW w:w="1417" w:type="dxa"/>
          </w:tcPr>
          <w:p w14:paraId="3914B686"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+phosphate buffer</w:t>
            </w:r>
          </w:p>
        </w:tc>
        <w:tc>
          <w:tcPr>
            <w:tcW w:w="1417" w:type="dxa"/>
          </w:tcPr>
          <w:p w14:paraId="6AAB16B5"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COI</w:t>
            </w:r>
          </w:p>
        </w:tc>
        <w:tc>
          <w:tcPr>
            <w:tcW w:w="1701" w:type="dxa"/>
          </w:tcPr>
          <w:p w14:paraId="40930A66"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earthworms</w:t>
            </w:r>
          </w:p>
        </w:tc>
      </w:tr>
      <w:tr w:rsidR="00EB50F4" w:rsidRPr="00EB50F4" w14:paraId="3CC7D085"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5B75FDC6"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[9] A comparison of the wet and dry season DNA-based soil invertebrate community characteristics in large patches of the bromeliad Bromelia pinguin in a primary forest in Costa Rica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{"citationID":"iCFH3A7d","properties":{"formattedCitation":"(McGee &amp; Eaton 2015)","plainCitation":"(McGee &amp; Eaton 2015)","noteIndex":0},"citationItems":[{"id":263,"uris":["http://zotero.org/users/8293222/items/C7GBTYMF"],"uri":["http://zotero.org/users/8293222/items/C7GBTYMF"],"itemData":{"id":263,"type":"article-journal","abstract":"In Costa Rica, the Maquenque National Wildlife Refuge (MNWLR) contains a unique habitat gradient ranging from primary old growth forests, grasslands, pastures, to various ages of secondary forests. Within these primary old growth forests are extremely dense naturally occurring Bromelia pinguin (Bromeliaceae) patches that often grow with densities up to 2 plants per square meter. A previous study found that anti-fungal activity of this particular plant appears to be altering the fungal community in soils adjacent to these plants. No work has been previously conducted on the possible effects of this plant community on soil faunal communities and if seasonality contributes to changes in soil invertebrate populations along a moisture gradient. Thus, a study was conducted to assess the effects of this specialized plant community on soil invertebrates with respect to season, and if these changes in soil fauna guild structure could prove to be valid candidates as indicators of ecosystem condition with changes in precipitation. In addition, a meta-analysis was done to determine how the bromeliad-associated soil invertebrate communities differ from those in adjacent primary forest soils. Therefore, comparisons were determined from previous primary forest soil invertebrate environmental DNA (eDNA) to the current wet season bromeliad soil invertebrate eDNA. Roche 454 pyro-sequencing was conducted on the 650. bp fragment of the cytochrome oxidase subunit I (COI) gene of invertebrates to obtain and characterize soil invertebrate sequence composition. To determine relationships among soil fauna guilds across seasons, relative abundance of the sequences were calculated, and used in conjunction with EcoSim niche overlap and co-occurrence values. From the bromeliad seasonal soil fauna eDNA study, it appears certain invertebrate guilds are driven by moisture as indicated by fluctuations in relative abundance of each invertebrate guild across seasons in bromeliad patch soils, as well as indicated by EcoSim niche overlap values. In particular, Guilds 1, 4, and 5, should warrant further investigation as indicators of habitat condition. The meta-analysis showed that a naturally occurring modified environment (the bromeliad patches), can result in differences in relative abundance and partitioning of a limited resource between invertebrate guild structure. Those guilds associated with microbivorous and complex decomposition activities (i.e. Guilds 3 and 4), are more abundant in primary forest soils than bromeliad patch soils and could potentially used for bioindicators of habitat perturbations.","container-title":"Applied soil ecology : a section of Agriculture, ecosystems &amp; environment","DOI":"10.1016/j.apsoil.2014.11.009","ISSN":"0929-1393","language":"eng","note":"publisher: Elsevier BV","page":"99–107","source":"otago.com","title":"A comparison of the wet and dry season DNA-based soil invertebrate community characteristics in large patches of the bromeliad Bromelia pinguin in a primary forest in Costa Rica","volume":"87","author":[{"family":"McGee","given":"Katie M."},{"family":"Eaton","given":"William D."}],"issued":{"date-parts":[["2015"]]}}}],"schema":"https://github.com/citation-style-language/schema/raw/master/csl-citation.json"}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(McGee &amp; Eaton 2015)</w:t>
            </w:r>
            <w:r w:rsidRPr="00EB50F4">
              <w:rPr>
                <w:rFonts w:asciiTheme="minorHAnsi" w:hAnsiTheme="minorHAnsi" w:cstheme="minorHAnsi"/>
                <w:lang w:val="en-GB"/>
              </w:rPr>
              <w:fldChar w:fldCharType="end"/>
            </w:r>
          </w:p>
        </w:tc>
        <w:tc>
          <w:tcPr>
            <w:tcW w:w="1417" w:type="dxa"/>
          </w:tcPr>
          <w:p w14:paraId="5895747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0.3</w:t>
            </w:r>
          </w:p>
        </w:tc>
        <w:tc>
          <w:tcPr>
            <w:tcW w:w="1417" w:type="dxa"/>
          </w:tcPr>
          <w:p w14:paraId="78A1C36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70D2663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COI</w:t>
            </w:r>
          </w:p>
        </w:tc>
        <w:tc>
          <w:tcPr>
            <w:tcW w:w="1701" w:type="dxa"/>
          </w:tcPr>
          <w:p w14:paraId="52A91CEF"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 xml:space="preserve">invertebrates </w:t>
            </w:r>
          </w:p>
        </w:tc>
      </w:tr>
      <w:tr w:rsidR="00EB50F4" w:rsidRPr="00EB50F4" w14:paraId="0B70720E"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58975408"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[10] Evaluating a multigene environmental DNA approach for biodiversity assessment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{"citationID":"8plBBMIf","properties":{"formattedCitation":"(Drummond {\\i{}et al.} 2015)","plainCitation":"(Drummond et al. 2015)","noteIndex":0},"citationItems":[{"id":264,"uris":["http://zotero.org/users/8293222/items/7YPRZFXY"],"uri":["http://zotero.org/users/8293222/items/7YPRZFXY"],"itemData":{"id":264,"type":"article-journal","abstract":"There is an increasing demand for rapid biodiversity assessment tools that have a broad taxonomic coverage. Here we evaluate a suite of environmental DNA (eDNA) markers coupled with next generation sequencing (NGS) that span the tree of life, comparing them with traditional biodiversity monitoring tools within ten 20×20 meter plots along a 700 meter elevational gradient.\nFrom six eDNA datasets (one from each of 16S, 18S, ITS, trnL and two from COI) we identified sequences from 109 NCBI taxonomy-defined phyla or equivalent, ranging from 31 to 60 for a given eDNA marker. Estimates of alpha and gamma diversity were sensitive to the number of sequence reads, whereas beta diversity estimates were less sensitive. The average within-plot beta diversity was lower than between plots for all markers. The soil beta diversity of COI and 18S markers showed the strongest response to the elevational variation of the eDNA markers (COI: r=0.49, p&lt;0.001; 18S: r=0.48, p&lt;0.001). Furthermore pairwise beta diversities for these two markers were strongly correlated with those calculated from traditional vegetation and invertebrate biodiversity measures.\nUsing a soil-based eDNA approach, we demonstrate that standard phylogenetic markers are capable of recovering sequences from a broad diversity of eukaryotes, in addition to prokaryotes by 16S. The COI and 18S eDNA markers are the best proxies for aboveground biodiversity based on the high correlation between the pairwise beta diversities of these markers and those obtained using traditional methods.","container-title":"Gigascience","DOI":"10.1186/s13742-015-0086-1","ISSN":"2047-217X","issue":"1","language":"eng","note":"publisher-place: United States\npublisher: BioMed Central","page":"46-","source":"otago.com","title":"Evaluating a multigene environmental DNA approach for biodiversity assessment","volume":"4","author":[{"family":"Drummond","given":"Alexei J."},{"family":"Newcomb","given":"Richard D."},{"family":"Buckley","given":"Thomas R."},{"family":"Xie","given":"Dong"},{"family":"Dopheide","given":"Andrew"},{"family":"Potter","given":"Benjamin CM"},{"family":"Heled","given":"Joseph"},{"family":"Ross","given":"Howard A."},{"family":"Tooman","given":"Leah"},{"family":"Grosser","given":"Stefanie"},{"family":"Park","given":"Duckchul"},{"family":"Demetras","given":"Nicholas J."},{"family":"Stevens","given":"Mark I."},{"family":"Russell","given":"James C."},{"family":"Anderson","given":"Sandra H."},{"family":"Carter","given":"Anna"},{"family":"Nelson","given":"Nicola"}],"issued":{"date-parts":[["2015"]]}}}],"schema":"https://github.com/citation-style-language/schema/raw/master/csl-citation.json"}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(Drummond </w:t>
            </w:r>
            <w:r w:rsidRPr="00EB50F4">
              <w:rPr>
                <w:rFonts w:asciiTheme="minorHAnsi" w:hAnsiTheme="minorHAnsi" w:cstheme="minorHAnsi"/>
                <w:i/>
                <w:iCs/>
              </w:rPr>
              <w:t>et al.</w:t>
            </w:r>
            <w:r w:rsidRPr="00EB50F4">
              <w:rPr>
                <w:rFonts w:asciiTheme="minorHAnsi" w:hAnsiTheme="minorHAnsi" w:cstheme="minorHAnsi"/>
              </w:rPr>
              <w:t xml:space="preserve"> 2015)</w:t>
            </w:r>
            <w:r w:rsidRPr="00EB50F4">
              <w:rPr>
                <w:rFonts w:asciiTheme="minorHAnsi" w:hAnsiTheme="minorHAnsi" w:cstheme="minorHAnsi"/>
                <w:lang w:val="en-GB"/>
              </w:rPr>
              <w:fldChar w:fldCharType="end"/>
            </w:r>
          </w:p>
        </w:tc>
        <w:tc>
          <w:tcPr>
            <w:tcW w:w="1417" w:type="dxa"/>
          </w:tcPr>
          <w:p w14:paraId="407FAF51"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1.5</w:t>
            </w:r>
          </w:p>
        </w:tc>
        <w:tc>
          <w:tcPr>
            <w:tcW w:w="1417" w:type="dxa"/>
          </w:tcPr>
          <w:p w14:paraId="7D758C4A"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2193F93B"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 xml:space="preserve">18S, </w:t>
            </w:r>
            <w:proofErr w:type="spellStart"/>
            <w:r w:rsidRPr="00EB50F4">
              <w:rPr>
                <w:rFonts w:asciiTheme="minorHAnsi" w:hAnsiTheme="minorHAnsi" w:cstheme="minorHAnsi"/>
                <w:lang w:val="en-GB"/>
              </w:rPr>
              <w:t>trnl</w:t>
            </w:r>
            <w:proofErr w:type="spellEnd"/>
            <w:r w:rsidRPr="00EB50F4">
              <w:rPr>
                <w:rFonts w:asciiTheme="minorHAnsi" w:hAnsiTheme="minorHAnsi" w:cstheme="minorHAnsi"/>
                <w:lang w:val="en-GB"/>
              </w:rPr>
              <w:t>, COI,16S</w:t>
            </w:r>
          </w:p>
        </w:tc>
        <w:tc>
          <w:tcPr>
            <w:tcW w:w="1701" w:type="dxa"/>
          </w:tcPr>
          <w:p w14:paraId="44CD1A22"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plants and animals</w:t>
            </w:r>
          </w:p>
        </w:tc>
      </w:tr>
      <w:tr w:rsidR="00EB50F4" w:rsidRPr="00EB50F4" w14:paraId="2D411E03"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73D4458B"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[11] Antarctic eukaryotic soil diversity of the Prince Charles Mountains revealed by high-throughput sequencing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{"citationID":"wrusdtNn","properties":{"formattedCitation":"(Czechowski {\\i{}et al.} 2016)","plainCitation":"(Czechowski et al. 2016)","noteIndex":0},"citationItems":[{"id":55,"uris":["http://zotero.org/users/8293222/items/2L9STRAF"],"uri":["http://zotero.org/users/8293222/items/2L9STRAF"],"itemData":{"id":55,"type":"article-journal","abstract":"Studies of Antarctic eukaryotes have been hampered by their morphological conservatism, small size and the logistical constraints of remote field work, resulting in a deficiency of baseline biodiversity information about Antarctic terrestrial environments. The application of high throughput sequencing (HTS) in metataxonomic approaches is a promising alternative. Here, we apply such HTS approaches to the hitherto largely unsurveyed micro-eukaryote fauna of the Prince Charles Mountains, East Antarctica. We sequenced 18S rDNA amplicons of twelve Antarctic bulk-soil DNA extracts, retrieved from three sampling regions (four bulk-soil extracts per sampling region). After isolating eukaryotic phylotypes with a stringent filtering approach and initial network visualization, we firstly used rarefied data to compare four α diversity metrics between the three regions. Weighted and unweighted inter-sample UniFrac distances were then used for β diversity comparisons among rarefied data. Furthermore, we analysed the distribution of the most abundant phylotypes and phylotype groups. Lastly, we checked the validity of species-level taxonomic assignments using different sets of reference data in conjunction with two different taxonomy assignment approaches. Phylotype numbers in un-rarefied data compared across regions were lowest for Mount Menzies (73°S; 3330 m), intermediate at Mawson Escarpment (73°S; 807 m) and highest at Lake Terrasovoje (70°S; 173 m), likely due to low biological load at the higher latitude and elevation inland sites. Analysis of rarefied data was difficult due to low sequence coverage particularly from Mount Menzies, but indicated differences in Shannon diversity between Mawson Escarpment and Lake Terrasovoje. PCoA of weighted UniFrac distances between samples from Mawson Escarpment and Lake Terrasovoje indicated changes in community composition in relation to elevation of the sampling locations. The most widespread phylotypes were fungal, followed by non-algal protists. Species-level assignments included known Antarctic taxa in all sampling regions. We show that HTS can provide a rapid survey of the micro-eukaryote fauna to provide baseline biodiversity information for remote, harsh, and hitherto largely unsurveyed environments in the Prince Charles Mountains.\n•Metagenomic approach used to survey eukaryotes in the Prince Charles Mountains, Antarctica.•Eukaryotic richness and distribution increased with a decrease in latitude and altitude.•Fungi and protists are among the most widespread taxa.•Species determination was possible for Antarctic lichen, fungi, mosses and protists.","container-title":"Soil biology &amp; biochemistry","DOI":"10.1016/j.soilbio.2015.12.013","ISSN":"0038-0717","language":"eng","note":"publisher: Elsevier Ltd","page":"112–121","source":"otago.com","title":"Antarctic eukaryotic soil diversity of the Prince Charles Mountains revealed by high-throughput sequencing","volume":"95","author":[{"family":"Czechowski","given":"Paul"},{"family":"Clarke","given":"Laurence J."},{"family":"Breen","given":"Jimmy"},{"family":"Cooper","given":"Alan"},{"family":"Stevens","given":"Mark I."}],"issued":{"date-parts":[["2016"]]}}}],"schema":"https://github.com/citation-style-language/schema/raw/master/csl-citation.json"}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(Czechowski </w:t>
            </w:r>
            <w:r w:rsidRPr="00EB50F4">
              <w:rPr>
                <w:rFonts w:asciiTheme="minorHAnsi" w:hAnsiTheme="minorHAnsi" w:cstheme="minorHAnsi"/>
                <w:i/>
                <w:iCs/>
              </w:rPr>
              <w:t>et al.</w:t>
            </w:r>
            <w:r w:rsidRPr="00EB50F4">
              <w:rPr>
                <w:rFonts w:asciiTheme="minorHAnsi" w:hAnsiTheme="minorHAnsi" w:cstheme="minorHAnsi"/>
              </w:rPr>
              <w:t xml:space="preserve"> 2016)</w:t>
            </w:r>
            <w:r w:rsidRPr="00EB50F4">
              <w:rPr>
                <w:rFonts w:asciiTheme="minorHAnsi" w:hAnsiTheme="minorHAnsi" w:cstheme="minorHAnsi"/>
                <w:lang w:val="en-GB"/>
              </w:rPr>
              <w:fldChar w:fldCharType="end"/>
            </w:r>
          </w:p>
        </w:tc>
        <w:tc>
          <w:tcPr>
            <w:tcW w:w="1417" w:type="dxa"/>
          </w:tcPr>
          <w:p w14:paraId="317CEA1F"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400</w:t>
            </w:r>
          </w:p>
        </w:tc>
        <w:tc>
          <w:tcPr>
            <w:tcW w:w="1417" w:type="dxa"/>
          </w:tcPr>
          <w:p w14:paraId="202E6E39"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tcW w:w="1417" w:type="dxa"/>
          </w:tcPr>
          <w:p w14:paraId="304734B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36BDDFD7"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micro-eukaryotes</w:t>
            </w:r>
          </w:p>
        </w:tc>
      </w:tr>
      <w:tr w:rsidR="00EB50F4" w:rsidRPr="00EB50F4" w14:paraId="5EBB8691"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362929F0"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[12] Methodological considerations for detection of terrestrial small‐body salamander eDNA and </w:t>
            </w:r>
            <w:r w:rsidRPr="00EB50F4">
              <w:rPr>
                <w:rFonts w:asciiTheme="minorHAnsi" w:hAnsiTheme="minorHAnsi" w:cstheme="minorHAnsi"/>
                <w:b w:val="0"/>
                <w:bCs w:val="0"/>
                <w:lang w:val="en-GB"/>
              </w:rPr>
              <w:lastRenderedPageBreak/>
              <w:t xml:space="preserve">implications for biodiversity conservation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{"citationID":"iwxfkAHp","properties":{"formattedCitation":"(Walker {\\i{}et al.} 2017)","plainCitation":"(Walker et al. 2017)","noteIndex":0},"citationItems":[{"id":224,"uris":["http://zotero.org/users/8293222/items/ZVH2YMMT"],"uri":["http://zotero.org/users/8293222/items/ZVH2YMMT"],"itemData":{"id":224,"type":"article-journal","abstract":"Environmental DNA (eDNA) can be used as an assessment tool to detect populations of threatened species and provide fine‐scale data required to make management decisions. The objectives of this project were to use quantitative PCR (qPCR) to: (i) detect spiked salamander DNA in soil, (ii) quantify eDNA degradation over time, (iii) determine detectability of salamander eDNA in a terrestrial environment using soil, faeces, and skin swabs, (iv) detect salamander eDNA in a mesocosm experiment. Salamander eDNA was positively detected in 100% of skin swabs and 66% of faecal samples and concentrations did not differ between the two sources. However, eDNA was not detected in soil samples collected from directly underneath wild‐caught living salamanders. Salamander genomic DNA (gDNA) was detected in all qPCR reactions when spiked into soil at 10.0, 5.0, and 1.0 ng/g soil and spike concentration had a significant effect on detected concentrations. Only 33% of samples showed recoverable eDNA when spiked with 0.25 ng/g soil, which was the low end of eDNA detection. To determine the rate of eDNA degradation, gDNA (1 ng/g soil) was spiked into soil and quantified over seven days. Salamander eDNA concentrations decreased across days, but eDNA was still amplifiable at day 7. Salamander eDNA was detected in two of 182 mesocosm soil samples over 12 weeks (n = 52 control samples; n = 65 presence samples; n = 65 eviction samples). The discrepancy in detection success between experiments indicates the potential challenges for this method to be used as a monitoring technique for small‐bodied wild terrestrial salamander populations.","container-title":"Molecular ecology resources","DOI":"10.1111/1755-0998.12667","ISSN":"1755-098X","issue":"6","language":"eng","note":"publisher-place: England\npublisher: Wiley Subscription Services, Inc","page":"1223–1230","source":"otago.com","title":"Methodological considerations for detection of terrestrial small‐body salamander eDNA and implications for biodiversity conservation","volume":"17","author":[{"family":"Walker","given":"Donald M."},{"family":"Leys","given":"Jacob E."},{"family":"Dunham","given":"Kelly E."},{"family":"Oliver","given":"Joshua C."},{"family":"Schiller","given":"Emily E."},{"family":"Stephenson","given":"Kelsey S."},{"family":"Kimrey","given":"John T."},{"family":"Wooten","given":"Jessica"},{"family":"Rogers","given":"Mark W."}],"issued":{"date-parts":[["2017"]]}}}],"schema":"https://github.com/citation-style-language/schema/raw/master/csl-citation.json"}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(Walker </w:t>
            </w:r>
            <w:r w:rsidRPr="00EB50F4">
              <w:rPr>
                <w:rFonts w:asciiTheme="minorHAnsi" w:hAnsiTheme="minorHAnsi" w:cstheme="minorHAnsi"/>
                <w:i/>
                <w:iCs/>
              </w:rPr>
              <w:t>et al.</w:t>
            </w:r>
            <w:r w:rsidRPr="00EB50F4">
              <w:rPr>
                <w:rFonts w:asciiTheme="minorHAnsi" w:hAnsiTheme="minorHAnsi" w:cstheme="minorHAnsi"/>
              </w:rPr>
              <w:t xml:space="preserve"> 2017)</w:t>
            </w:r>
            <w:r w:rsidRPr="00EB50F4">
              <w:rPr>
                <w:rFonts w:asciiTheme="minorHAnsi" w:hAnsiTheme="minorHAnsi" w:cstheme="minorHAnsi"/>
                <w:lang w:val="en-GB"/>
              </w:rPr>
              <w:fldChar w:fldCharType="end"/>
            </w:r>
          </w:p>
        </w:tc>
        <w:tc>
          <w:tcPr>
            <w:tcW w:w="1417" w:type="dxa"/>
          </w:tcPr>
          <w:p w14:paraId="643AB5A6"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lastRenderedPageBreak/>
              <w:t>0.25</w:t>
            </w:r>
          </w:p>
        </w:tc>
        <w:tc>
          <w:tcPr>
            <w:tcW w:w="1417" w:type="dxa"/>
          </w:tcPr>
          <w:p w14:paraId="3B579CDD"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2B2991EB"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1701" w:type="dxa"/>
          </w:tcPr>
          <w:p w14:paraId="74CFB0B8"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salamanders</w:t>
            </w:r>
          </w:p>
        </w:tc>
      </w:tr>
      <w:tr w:rsidR="00EB50F4" w:rsidRPr="00EB50F4" w14:paraId="1574617E"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5B264F1A"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[13] Suitability of PCR primers for characterizing invertebrate communities from soil and leaf litter targeting metazoan 18S ribosomal or cytochrome oxidase I (COI) genes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{"citationID":"LF9ZfWa9","properties":{"formattedCitation":"(Horton {\\i{}et al.} 2017)","plainCitation":"(Horton et al. 2017)","noteIndex":0},"citationItems":[{"id":93,"uris":["http://zotero.org/users/8293222/items/T75FY25Q"],"uri":["http://zotero.org/users/8293222/items/T75FY25Q"],"itemData":{"id":93,"type":"article-journal","abstract":"Sequencing of environmental DNA (eDNA) for community analysis (i.e., eDNA metabarcoding) is already well established and applied in molecular microbial ecology. However, molecular methods for use in soil animal studies require further development before high-throughput sequencing can be considered a reliable technique in community ecology. To aid in this effort, we compare primers that target two frequently used genetic markers, mitochondrial cytochrome oxidase (COI) and ribosomal 18S genes, to determine their utility in broad soil animal eDNA studies. DNA was analyzed from individually identified invertebrates to test the efficiency of the primer sets in successfully targeting animal DNA and identification through sequencing. Primers were also tested for amplification of faunal genes from forest soil and leaf litter eDNA. Targeting the 18S gene resulted in the most successful amplification and correct identification of a wide range of individual invertebrate taxa, and was the most reliable primer set for use in eDNA analysis of invertebrate communities spanning several phyla. In contrast, the selected COI primers were inefficient in identifying a wide range of invertebrates, and amplified mostly bacterial sequences from eDNA.\n•Universal 18S primers are accurate in identification of animal voucher DNA and eDNA.•Degenerate COI primers consistently amplify bacterial eDNA rather than animal eDNA.•A wide breadth of invertebrate taxa can be amplified by universal 18S PCR primers.","container-title":"European journal of soil biology","DOI":"10.1016/j.ejsobi.2017.04.003","ISSN":"1164-5563","issue":"C","language":"eng","note":"publisher-place: France\npublisher: Elsevier Masson SAS","page":"43–48","source":"otago.com","title":"Suitability of PCR primers for characterizing invertebrate communities from soil and leaf litter targeting metazoan 18S ribosomal or cytochrome oxidase I (COI) genes","volume":"80","author":[{"family":"Horton","given":"Dean J."},{"family":"Kershner","given":"Mark W."},{"family":"Blackwood","given":"Christopher B."}],"issued":{"date-parts":[["2017"]]}}}],"schema":"https://github.com/citation-style-language/schema/raw/master/csl-citation.json"}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(Horton </w:t>
            </w:r>
            <w:r w:rsidRPr="00EB50F4">
              <w:rPr>
                <w:rFonts w:asciiTheme="minorHAnsi" w:hAnsiTheme="minorHAnsi" w:cstheme="minorHAnsi"/>
                <w:i/>
                <w:iCs/>
              </w:rPr>
              <w:t>et al.</w:t>
            </w:r>
            <w:r w:rsidRPr="00EB50F4">
              <w:rPr>
                <w:rFonts w:asciiTheme="minorHAnsi" w:hAnsiTheme="minorHAnsi" w:cstheme="minorHAnsi"/>
              </w:rPr>
              <w:t xml:space="preserve"> 2017)</w:t>
            </w:r>
            <w:r w:rsidRPr="00EB50F4">
              <w:rPr>
                <w:rFonts w:asciiTheme="minorHAnsi" w:hAnsiTheme="minorHAnsi" w:cstheme="minorHAnsi"/>
                <w:lang w:val="en-GB"/>
              </w:rPr>
              <w:fldChar w:fldCharType="end"/>
            </w:r>
          </w:p>
        </w:tc>
        <w:tc>
          <w:tcPr>
            <w:tcW w:w="1417" w:type="dxa"/>
          </w:tcPr>
          <w:p w14:paraId="67B57DE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38ABB82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2EC44A3F"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3B610E7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metazoan</w:t>
            </w:r>
          </w:p>
        </w:tc>
      </w:tr>
      <w:tr w:rsidR="00EB50F4" w:rsidRPr="00EB50F4" w14:paraId="67F959BA"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2CCCE116"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[14] DNA extraction replicates improve diversity and compositional dissimilarity in metabarcoding of eukaryotes in marine sediments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{"citationID":"QQZjG4k1","properties":{"formattedCitation":"(Lanz\\uc0\\u233{}n {\\i{}et al.} 2017)","plainCitation":"(Lanzén et al. 2017)","noteIndex":0},"citationItems":[{"id":118,"uris":["http://zotero.org/users/8293222/items/DD7PI5UZ"],"uri":["http://zotero.org/users/8293222/items/DD7PI5UZ"],"itemData":{"id":118,"type":"article-journal","abstract":"Human impact on marine benthic communities has traditionally been assessed using visible morphological traits and has focused on the macrobenthos, whereas the ecologically important organisms of the meio- and microbenthos have received less attention. DNA metabarcoding offers an alternative to this approach and enables a larger fraction of the biodiversity in marine sediments to be monitored in a cost-efficient manner. Although this methodology remains poorly standardised and challenged by biases inherent to rRNA copy number variation, DNA extraction, PCR, and limitations related to taxonomic identification, it has been shown to be semi-quantitative and useful for comparing taxon abundances between samples. Here, we evaluate the effect of replicating genomic DNA extraction in order to counteract small scale spatial heterogeneity and improve diversity and community structure estimates in metabarcoding-based monitoring. For this purpose, we used ten technical replicates from three different marine sediment samples. The effect of sequence depth was also assessed, and in silico pooling of DNA extraction replicates carried out in order to maintain the number of reads constant. Our analyses demonstrated that both sequencing depth and DNA extraction replicates could improve diversity estimates as well as the ability to separate samples with different characteristics. We could not identify a \"sufficient\" replicate number or sequence depth, where further improvements had a less significant effect. Based on these results, we consider replication an attractive alternative to directly increasing the amount of sample used for DNA extraction and strongly recommend it for future metabarcoding studies and routine assessments of sediment biodiversity.","container-title":"PloS one","DOI":"10.1371/journal.pone.0179443","ISSN":"1932-6203","issue":"6","language":"eng","note":"publisher-place: United States\npublisher: Public Library of Science","page":"e0179443–e0179443","source":"otago.com","title":"DNA extraction replicates improve diversity and compositional dissimilarity in metabarcoding of eukaryotes in marine sediments","volume":"12","author":[{"family":"Lanzén","given":"Anders"},{"family":"Lekang","given":"Katrine"},{"family":"Jonassen","given":"Inge"},{"family":"Thompson","given":"Eric M."},{"family":"Troedsson","given":"Christofer"}],"issued":{"date-parts":[["2017"]]}}}],"schema":"https://github.com/citation-style-language/schema/raw/master/csl-citation.json"}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(Lanzén </w:t>
            </w:r>
            <w:r w:rsidRPr="00EB50F4">
              <w:rPr>
                <w:rFonts w:asciiTheme="minorHAnsi" w:hAnsiTheme="minorHAnsi" w:cstheme="minorHAnsi"/>
                <w:i/>
                <w:iCs/>
              </w:rPr>
              <w:t>et al.</w:t>
            </w:r>
            <w:r w:rsidRPr="00EB50F4">
              <w:rPr>
                <w:rFonts w:asciiTheme="minorHAnsi" w:hAnsiTheme="minorHAnsi" w:cstheme="minorHAnsi"/>
              </w:rPr>
              <w:t xml:space="preserve"> 2017)</w:t>
            </w:r>
            <w:r w:rsidRPr="00EB50F4">
              <w:rPr>
                <w:rFonts w:asciiTheme="minorHAnsi" w:hAnsiTheme="minorHAnsi" w:cstheme="minorHAnsi"/>
                <w:lang w:val="en-GB"/>
              </w:rPr>
              <w:fldChar w:fldCharType="end"/>
            </w:r>
          </w:p>
        </w:tc>
        <w:tc>
          <w:tcPr>
            <w:tcW w:w="1417" w:type="dxa"/>
          </w:tcPr>
          <w:p w14:paraId="4AE3D951"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0.5</w:t>
            </w:r>
          </w:p>
        </w:tc>
        <w:tc>
          <w:tcPr>
            <w:tcW w:w="1417" w:type="dxa"/>
          </w:tcPr>
          <w:p w14:paraId="2214C77A"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12355F00"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248A480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marine invertebrates</w:t>
            </w:r>
          </w:p>
        </w:tc>
      </w:tr>
      <w:tr w:rsidR="00EB50F4" w:rsidRPr="00EB50F4" w14:paraId="636A5B6B"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63F42F14" w14:textId="210DF265"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[15] Evidence of plant and animal communities at exposed and subglacial (cave) geothermal sites in Antarctica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{"citationID":"2h6Lf7qP","properties":{"formattedCitation":"(Fraser {\\i{}et al.} 2018)","plainCitation":"(Fraser et al. 2018)","noteIndex":0},"citationItems":[{"id":269,"uris":["http://zotero.org/users/8293222/items/FS33QU4T"],"uri":["http://zotero.org/users/8293222/items/FS33QU4T"],"itemData":{"id":269,"type":"article-journal","abstract":"Geothermal areas, such as volcanoes, might have acted as glacial microrefugia for a wide range of species. The heavily glaciated but volcanically active Antarctic continent presents an ideal system for assessing this hypothesis. Ice-free terrain around volcanoes in Antarctica is, however, often restricted to small patches, whereas subglacial cave systems, formed by vented volcanic steam, can be extensive and interconnected. No observations of macrobiota have yet been made for subglacial geothermal environments in Antarctica, but these organisms are often patchily distributed and can be difficult to find. We carried out metabarcoding (eDNA) analyses of soil samples taken from exposed areas on three volcanoes in Victoria Land, and subglacial caves on Mount Erebus. We found evidence of numerous eukaryotic groups, including mosses, algae, arthropods, oligochaetes and nematodes, at both exposed and subglacial sites. Our findings support the notion that geothermal areas—including subglacial environments—can nurture biodiversity in glaciated regions.","container-title":"Polar biology","DOI":"10.1007/s00300-017-2198-9","ISSN":"0722-4060","issue":"3","language":"eng","note":"publisher-place: Berlin/Heidelberg\npublisher: Springer Berlin Heidelberg","page":"417–421","source":"otago.com","title":"Evidence of plant and animal communities at exposed and subglacial (cave) geothermal sites in Antarctica","volume":"41","author":[{"family":"Fraser","given":"Ceridwen I."},{"family":"Connell","given":"Laurie"},{"family":"Lee","given":"Charles K."},{"family":"Cary","given":"S. Craig"}],"issued":{"date-parts":[["2018"]]}}}],"schema":"https://github.com/citation-style-language/schema/raw/master/csl-citation.json"} </w:instrText>
            </w:r>
            <w:r w:rsidRPr="00EB50F4">
              <w:rPr>
                <w:rFonts w:asciiTheme="minorHAnsi" w:hAnsiTheme="minorHAnsi" w:cstheme="minorHAnsi"/>
                <w:lang w:val="en-GB"/>
              </w:rPr>
              <w:fldChar w:fldCharType="separate"/>
            </w:r>
            <w:r w:rsidR="00704FBD" w:rsidRPr="00704FBD">
              <w:rPr>
                <w:rFonts w:ascii="Calibri" w:hAnsi="Calibri" w:cs="Calibri"/>
              </w:rPr>
              <w:t xml:space="preserve">(Fraser </w:t>
            </w:r>
            <w:r w:rsidR="00704FBD" w:rsidRPr="00704FBD">
              <w:rPr>
                <w:rFonts w:ascii="Calibri" w:hAnsi="Calibri" w:cs="Calibri"/>
                <w:i/>
                <w:iCs/>
              </w:rPr>
              <w:t>et al.</w:t>
            </w:r>
            <w:r w:rsidR="00704FBD" w:rsidRPr="00704FBD">
              <w:rPr>
                <w:rFonts w:ascii="Calibri" w:hAnsi="Calibri" w:cs="Calibri"/>
              </w:rPr>
              <w:t xml:space="preserve"> 2018)</w:t>
            </w:r>
            <w:r w:rsidRPr="00EB50F4">
              <w:rPr>
                <w:rFonts w:asciiTheme="minorHAnsi" w:hAnsiTheme="minorHAnsi" w:cstheme="minorHAnsi"/>
                <w:lang w:val="en-GB"/>
              </w:rPr>
              <w:fldChar w:fldCharType="end"/>
            </w:r>
          </w:p>
        </w:tc>
        <w:tc>
          <w:tcPr>
            <w:tcW w:w="1417" w:type="dxa"/>
          </w:tcPr>
          <w:p w14:paraId="29BEEB6F"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0.9</w:t>
            </w:r>
          </w:p>
        </w:tc>
        <w:tc>
          <w:tcPr>
            <w:tcW w:w="1417" w:type="dxa"/>
          </w:tcPr>
          <w:p w14:paraId="1C5ABAA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CTAB</w:t>
            </w:r>
          </w:p>
        </w:tc>
        <w:tc>
          <w:tcPr>
            <w:tcW w:w="1417" w:type="dxa"/>
          </w:tcPr>
          <w:p w14:paraId="5FB7240E"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COI,28S</w:t>
            </w:r>
          </w:p>
        </w:tc>
        <w:tc>
          <w:tcPr>
            <w:tcW w:w="1701" w:type="dxa"/>
          </w:tcPr>
          <w:p w14:paraId="0FEF1E4E"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w:t>
            </w:r>
          </w:p>
        </w:tc>
      </w:tr>
      <w:tr w:rsidR="00EB50F4" w:rsidRPr="00EB50F4" w14:paraId="10BD7E2A"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024203D9"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[16] Sea-level rise in northern Australia’s Kakadu National Park: a survey of floodplain eukaryotes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{"citationID":"qphFVvSC","properties":{"formattedCitation":"(Stephenson {\\i{}et al.} 2018)","plainCitation":"(Stephenson et al. 2018)","noteIndex":0},"citationItems":[{"id":271,"uris":["http://zotero.org/users/8293222/items/Z25GRDCI"],"uri":["http://zotero.org/users/8293222/items/Z25GRDCI"],"itemData":{"id":271,"type":"article-journal","abstract":"Forecasted climate-change models predict that much of northern Australia’s coastal habitats will be in retreat because of saltwater intrusion (SWI) from sea-level rise. A region of primary concern is the nutrient-rich and biodiverse floodplains of world heritage-listed Kakadu National Park (KNP). To understand the implications of SWI, we need fundamental baseline information for floodplain biota from the South Alligator River, KNP, northern Australia, and informative data on how increased and prolonged exposure to salt is likely to shape the eukaryotic community. To assist in addressing these key knowledge gaps, we used amplicon sequencing to examine the composition of eukaryotic soil communities from the South Alligator River floodplain, an ecologically important area at the ‘coalface’ of sea-level rise. Samples were obtained from three river zones and three floodplain morphologies, capturing a wide range of habitats and episodic exposures to both saltwater and freshwater. We found that both the floodplain morphology and positioning along the river significantly influenced eukaryotic composition. However, the influence of these variables varied greatly among the floodplain morphologies, with correlative evidence suggesting that both salinity and pH played a dominant role in shaping communities within lower parts of the floodplain, with this being particularly evident in those regions subjected to major tidal influence (estuarine funnel and sinuous, and cuspate).","container-title":"Marine and freshwater research","DOI":"10.1071/MF18067","ISSN":"1323-1650","issue":"7","language":"eng","page":"1134–1145","source":"otago.com","title":"Sea-level rise in northern Australia's Kakadu National Park: A survey of floodplain eukaryotes","title-short":"Sea-level rise in northern Australia's Kakadu National Park","volume":"69","author":[{"family":"Stephenson","given":"Sarah A."},{"family":"Nelson","given":"Tiffanie M."},{"family":"Streten","given":"Claire"},{"family":"Gibb","given":"Karen S."},{"family":"Williams","given":"David"},{"family":"Greenfield","given":"Paul"},{"family":"Chariton","given":"Anthony A."}],"issued":{"date-parts":[["2018"]]}}}],"schema":"https://github.com/citation-style-language/schema/raw/master/csl-citation.json"}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(Stephenson </w:t>
            </w:r>
            <w:r w:rsidRPr="00EB50F4">
              <w:rPr>
                <w:rFonts w:asciiTheme="minorHAnsi" w:hAnsiTheme="minorHAnsi" w:cstheme="minorHAnsi"/>
                <w:i/>
                <w:iCs/>
              </w:rPr>
              <w:t>et al.</w:t>
            </w:r>
            <w:r w:rsidRPr="00EB50F4">
              <w:rPr>
                <w:rFonts w:asciiTheme="minorHAnsi" w:hAnsiTheme="minorHAnsi" w:cstheme="minorHAnsi"/>
              </w:rPr>
              <w:t xml:space="preserve"> 2018)</w:t>
            </w:r>
            <w:r w:rsidRPr="00EB50F4">
              <w:rPr>
                <w:rFonts w:asciiTheme="minorHAnsi" w:hAnsiTheme="minorHAnsi" w:cstheme="minorHAnsi"/>
                <w:lang w:val="en-GB"/>
              </w:rPr>
              <w:fldChar w:fldCharType="end"/>
            </w:r>
          </w:p>
        </w:tc>
        <w:tc>
          <w:tcPr>
            <w:tcW w:w="1417" w:type="dxa"/>
          </w:tcPr>
          <w:p w14:paraId="399A457E"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5</w:t>
            </w:r>
          </w:p>
        </w:tc>
        <w:tc>
          <w:tcPr>
            <w:tcW w:w="1417" w:type="dxa"/>
          </w:tcPr>
          <w:p w14:paraId="6E68CC50"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45730C3A"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69A8EDF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w:t>
            </w:r>
          </w:p>
        </w:tc>
      </w:tr>
      <w:tr w:rsidR="00EB50F4" w:rsidRPr="00EB50F4" w14:paraId="794E844A"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509DC089"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[17] From microbial eukaryotes to metazoan vertebrates: Wide spectrum paleo‐diversity in sedimentary ancient DNA over the last~ 14,500 years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{"citationID":"kcOJgL8U","properties":{"formattedCitation":"(Kisand {\\i{}et al.} 2018)","plainCitation":"(Kisand et al. 2018)","noteIndex":0},"citationItems":[{"id":115,"uris":["http://zotero.org/users/8293222/items/IRE9XKN3"],"uri":["http://zotero.org/users/8293222/items/IRE9XKN3"],"itemData":{"id":115,"type":"article-journal","abstract":"Most studies that utilize ancient DNA have focused on specific groups of organisms or even single species. Instead, the whole biodiversity of eukaryotes can be described using universal phylogenetic marker genes found within well‐preserved sediment cores that cover the post‐glacial period. Sedimentary ancient DNA samples from Lake Lielais Svētiņu, eastern Latvia, at a core depth of 1,050 cm in ~150 year intervals were used to determine phylotaxonomy in domain Eukaryota. Phylotaxonomic affiliation of &gt;1,200 eukaryotic phylotypes revealed high richness in all major eukaryotic groups—Alveolata, Stramenopiles, Cercozoa, Chlorophyta, Charophyta, Nucletmycea, and Holozoa. The share of organisms that originate from terrestrial ecosystems was about one third, of which the most abundant molecular operational taxonomic units were Fungi and tracheal/vascular plants, which demonstrates the usefulness of using lake sediments to reconstruct the terrestrial paleoecosystems that surround them. Phylotypes that originate from the lake ecosystem belonged to various planktonic organisms; phyto‐, proto,‐ and macrozooplankton, and vascular aquatic plants. We observed greater richness of several planktonic organisms that can be associated with higher trophic status during the warm climate period between 4,000 and 8,000 years ago and an increase in eukaryotic richness possibly associated with moderate human impact over the last 2,000 years.","container-title":"Geobiology","DOI":"10.1111/gbi.12307","ISSN":"1472-4677","issue":"6","language":"eng","note":"publisher-place: England\npublisher: Wiley Subscription Services, Inc","page":"628–639","source":"otago.com","title":"From microbial eukaryotes to metazoan vertebrates: Wide spectrum paleo‐diversity in sedimentary ancient DNA over the last ~14,500 years","title-short":"From microbial eukaryotes to metazoan vertebrates","volume":"16","author":[{"family":"Kisand","given":"Veljo"},{"family":"Talas","given":"Liisi"},{"family":"Kisand","given":"Anu"},{"family":"Stivrins","given":"Normunds"},{"family":"Reitalu","given":"Triin"},{"family":"Alliksaar","given":"Tiiu"},{"family":"Vassiljev","given":"Jüri"},{"family":"Liiv","given":"Merlin"},{"family":"Heinsalu","given":"Atko"},{"family":"Seppä","given":"Heikki"},{"family":"Veski","given":"Siim"}],"issued":{"date-parts":[["2018"]]}}}],"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(Kisand </w:t>
            </w:r>
            <w:r w:rsidRPr="00EB50F4">
              <w:rPr>
                <w:rFonts w:asciiTheme="minorHAnsi" w:hAnsiTheme="minorHAnsi" w:cstheme="minorHAnsi"/>
                <w:i/>
                <w:iCs/>
              </w:rPr>
              <w:t>et al.</w:t>
            </w:r>
            <w:r w:rsidRPr="00EB50F4">
              <w:rPr>
                <w:rFonts w:asciiTheme="minorHAnsi" w:hAnsiTheme="minorHAnsi" w:cstheme="minorHAnsi"/>
              </w:rPr>
              <w:t xml:space="preserve"> 2018)</w:t>
            </w:r>
            <w:r w:rsidRPr="00EB50F4">
              <w:rPr>
                <w:rFonts w:asciiTheme="minorHAnsi" w:hAnsiTheme="minorHAnsi" w:cstheme="minorHAnsi"/>
                <w:lang w:val="en-GB"/>
              </w:rPr>
              <w:fldChar w:fldCharType="end"/>
            </w:r>
          </w:p>
        </w:tc>
        <w:tc>
          <w:tcPr>
            <w:tcW w:w="1417" w:type="dxa"/>
          </w:tcPr>
          <w:p w14:paraId="4EF0393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70CFA69A"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693767EA"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0D9A738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w:t>
            </w:r>
          </w:p>
        </w:tc>
      </w:tr>
      <w:tr w:rsidR="00EB50F4" w:rsidRPr="00EB50F4" w14:paraId="6877841F"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5435F5F4"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[18] Metabarcoding of modern soil DNA gives a highly local vegetation signal in Svalbard tundra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{"citationID":"Xh4Wqpe4","properties":{"formattedCitation":"(Edwards {\\i{}et al.} 2018)","plainCitation":"(Edwards et al. 2018)","noteIndex":0},"citationItems":[{"id":70,"uris":["http://zotero.org/users/8293222/items/CBR236YJ"],"uri":["http://zotero.org/users/8293222/items/CBR236YJ"],"itemData":{"id":70,"type":"article-journal","abstract":"Environmental DNA retrieved from modern soils (eDNA) and late-Quaternary palaeosols and sediments (aDNA and sedaDNA) promises insight into the composition of present and past terrestrial biotic communities, but few studies address the spatial relationship between recovered eDNA and contributing organisms. Svalbard’s vascular plant flora is well known, and a cold climate enhances preservation of eDNA in soils. Thus, Svalbard plant communities are excellent systems for addressing the representation of plant eDNA in soil samples. In two valleys in the inner fjord region of Spitsbergen, we carried out detailed vegetation surveys of circular plots up to a 4-m radius. One or three near-surface soil samples from each plot were used for extraction and metabarcoding of soil-derived eDNA. Use of PCR replicates and appropriate filtering, plus a relevant reference metabarcode catalogue, provided taxon lists that reflected the local flora. There was high concordance between taxa recorded in plot vegetation and those in the eDNA, but floristic diversity was under-sampled, even at the scale of a 1-m radius plot. Most detected taxa grew within &lt; 0.5–1.0 m of the sampling point. Taxa present in vegetation but not in eDNA tended to occur further from the sampling point, and most had above-ground cover of &lt; 5%. Soil-derived eDNA provides a highly local floristic signal, and this spatial constraint should be considered in sampling designs. For palaeoecological or archaeological studies, multiple samples from a given soil horizon that are spatially distributed across the area of interest are likely to provide the most complete picture of species presence.","container-title":"Holocene (Sevenoaks)","DOI":"10.1177/0959683618798095","ISSN":"0959-6836","issue":"12","language":"eng","note":"publisher-place: London, England\npublisher: SAGE Publications","page":"2006–2016","source":"otago.com","title":"Metabarcoding of modern soil DNA gives a highly local vegetation signal in Svalbard tundra","volume":"28","author":[{"family":"Edwards","given":"Mary E."},{"family":"Alsos","given":"Inger Greve"},{"family":"Yoccoz","given":"Nigel"},{"family":"Coissac","given":"Eric"},{"family":"Goslar","given":"Tomasz"},{"family":"Gielly","given":"Ludovic"},{"family":"Haile","given":"James"},{"family":"Langdon","given":"Catherine T."},{"family":"Tribsch","given":"Andreas"},{"family":"Binney","given":"Heather A."},{"family":"Stedingk","given":"Henrik","non-dropping-particle":"von"},{"family":"Taberlet","given":"Pierre"}],"issued":{"date-parts":[["2018"]]}}}],"schema":"https://github.com/citation-style-language/schema/raw/master/csl-citation.json"}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(Edwards </w:t>
            </w:r>
            <w:r w:rsidRPr="00EB50F4">
              <w:rPr>
                <w:rFonts w:asciiTheme="minorHAnsi" w:hAnsiTheme="minorHAnsi" w:cstheme="minorHAnsi"/>
                <w:i/>
                <w:iCs/>
              </w:rPr>
              <w:t>et al.</w:t>
            </w:r>
            <w:r w:rsidRPr="00EB50F4">
              <w:rPr>
                <w:rFonts w:asciiTheme="minorHAnsi" w:hAnsiTheme="minorHAnsi" w:cstheme="minorHAnsi"/>
              </w:rPr>
              <w:t xml:space="preserve"> 2018)</w:t>
            </w:r>
            <w:r w:rsidRPr="00EB50F4">
              <w:rPr>
                <w:rFonts w:asciiTheme="minorHAnsi" w:hAnsiTheme="minorHAnsi" w:cstheme="minorHAnsi"/>
                <w:lang w:val="en-GB"/>
              </w:rPr>
              <w:fldChar w:fldCharType="end"/>
            </w:r>
          </w:p>
        </w:tc>
        <w:tc>
          <w:tcPr>
            <w:tcW w:w="1417" w:type="dxa"/>
          </w:tcPr>
          <w:p w14:paraId="35298136"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10</w:t>
            </w:r>
          </w:p>
        </w:tc>
        <w:tc>
          <w:tcPr>
            <w:tcW w:w="1417" w:type="dxa"/>
          </w:tcPr>
          <w:p w14:paraId="144EB9DB"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2B3CB3BE"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trnL</w:t>
            </w:r>
            <w:proofErr w:type="spellEnd"/>
          </w:p>
        </w:tc>
        <w:tc>
          <w:tcPr>
            <w:tcW w:w="1701" w:type="dxa"/>
          </w:tcPr>
          <w:p w14:paraId="52C847CE"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plants</w:t>
            </w:r>
          </w:p>
        </w:tc>
      </w:tr>
      <w:tr w:rsidR="00EB50F4" w:rsidRPr="00EB50F4" w14:paraId="21DBD4F1"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C1494BE"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[19] A DNA metabarcoding approach to characterize soil arthropod communities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{"citationID":"D74RSjS2","properties":{"formattedCitation":"(Oliverio {\\i{}et al.} 2018)","plainCitation":"(Oliverio et al. 2018)","noteIndex":0},"citationItems":[{"id":275,"uris":["http://zotero.org/users/8293222/items/ISEG6L99"],"uri":["http://zotero.org/users/8293222/items/ISEG6L99"],"itemData":{"id":275,"type":"article-journal","abstract":"Belowground arthropod communities are diverse and our ability to characterize them remains logistically difficult and time consuming. Molecular metabarcoding techniques are routinely used to assess the diversity of both microbial and some ‘macrobial’ taxa across a range of environments, but the use of such techniques for characterizing soil arthropod diversity remains limited. Here we used three approaches to profile soil arthropod communities at the family level of resolution across 10 distinct sites via morphological identification, metabarcoding of DNA from the extracted arthropods, and metabarcoding directly from bulk soils. Although the three methods differed to some degree in their ability to detect some individual taxa, we found that all three methods yielded well-correlated site-level estimates of diversity (Spearman's ρ ≥ 0.63 with P &lt; 0.05 for all correlations) and overall arthropod community composition (Mantel ρ ≥ 0.45 with P &lt; 0.05). Of particular note is that DNA extracted directly from bulk soil yielded results comparable to analyses of DNA from extracted arthropods. Thus, DNA metabarcoding of bulk soil will likely be a useful tool for those researchers looking to incorporate multi-domain comparisons or for studies that require rapid assessments of arthropod diversity across a large number of soil samples.\n•We compared three methods for profiling soil arthropods.•These were: morphological ID and metabarcoding of extracted arthropods or bulk soil.•All methods yielded similar estimates of arthropod diversity and composition.•There were some differences in methods in our ability to detect arthropod taxa.•Metabarcoding of soil may be a valuable tool for assessing arthropod communities.","container-title":"Soil biology &amp; biochemistry","DOI":"10.1016/j.soilbio.2018.06.026","ISSN":"0038-0717","language":"eng","note":"publisher: Elsevier Ltd","page":"37–43","source":"otago.com","title":"A DNA metabarcoding approach to characterize soil arthropod communities","volume":"125","author":[{"family":"Oliverio","given":"Angela M."},{"family":"Gan","given":"Huijie"},{"family":"Wickings","given":"Kyle"},{"family":"Fierer","given":"Noah"}],"issued":{"date-parts":[["2018"]]}}}],"schema":"https://github.com/citation-style-language/schema/raw/master/csl-citation.json"}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(Oliverio </w:t>
            </w:r>
            <w:r w:rsidRPr="00EB50F4">
              <w:rPr>
                <w:rFonts w:asciiTheme="minorHAnsi" w:hAnsiTheme="minorHAnsi" w:cstheme="minorHAnsi"/>
                <w:i/>
                <w:iCs/>
              </w:rPr>
              <w:t>et al.</w:t>
            </w:r>
            <w:r w:rsidRPr="00EB50F4">
              <w:rPr>
                <w:rFonts w:asciiTheme="minorHAnsi" w:hAnsiTheme="minorHAnsi" w:cstheme="minorHAnsi"/>
              </w:rPr>
              <w:t xml:space="preserve"> 2018)</w:t>
            </w:r>
            <w:r w:rsidRPr="00EB50F4">
              <w:rPr>
                <w:rFonts w:asciiTheme="minorHAnsi" w:hAnsiTheme="minorHAnsi" w:cstheme="minorHAnsi"/>
                <w:lang w:val="en-GB"/>
              </w:rPr>
              <w:fldChar w:fldCharType="end"/>
            </w:r>
          </w:p>
        </w:tc>
        <w:tc>
          <w:tcPr>
            <w:tcW w:w="1417" w:type="dxa"/>
          </w:tcPr>
          <w:p w14:paraId="4C9B240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2</w:t>
            </w:r>
          </w:p>
        </w:tc>
        <w:tc>
          <w:tcPr>
            <w:tcW w:w="1417" w:type="dxa"/>
          </w:tcPr>
          <w:p w14:paraId="76C2D731"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2BC67627"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COI</w:t>
            </w:r>
          </w:p>
        </w:tc>
        <w:tc>
          <w:tcPr>
            <w:tcW w:w="1701" w:type="dxa"/>
          </w:tcPr>
          <w:p w14:paraId="77AF79A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r>
      <w:tr w:rsidR="00EB50F4" w:rsidRPr="00EB50F4" w14:paraId="4B88507C"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0984D508"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[20] Biodiversity assessments in the 21st century: The potential of insect traps to 5 complement environmental samples for estimating eukaryotic and prokaryotic diversity 6 using high-throughput DNA metabarcoding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{"citationID":"wz5FzEff","properties":{"formattedCitation":"(Ritter {\\i{}et al.} 2019)","plainCitation":"(Ritter et al. 2019)","noteIndex":0},"citationItems":[{"id":276,"uris":["http://zotero.org/users/8293222/items/DCG4HRGZ"],"uri":["http://zotero.org/users/8293222/items/DCG4HRGZ"],"itemData":{"id":276,"type":"article-journal","abstract":"The rapid loss of biodiversity, coupled with difficulties in species identification, call for innovative approaches to assess biodiversity. Insects make up a substantial proportion of extant diversity and play fundamental roles in any given ecosystem. To complement morphological species identification, new techniques such as metabarcoding make it possible to quantify insect diversity and insect–ecosystem interactions through DNA sequencing. Here we examine the potential of bulk insect samples (i.e., containing many non-sorted specimens) to assess prokaryote and eukaryote biodiversity and to complement the taxonomic coverage of soil samples. We sampled 25 sites on three continents and in various ecosystems, collecting insects with SLAM traps (Brazil) and Malaise traps (South Africa and Sweden). We then compared our diversity estimates with the results obtained with biodiversity data from soil samples from the same localities. We found a largely different taxonomic composition between the soil and insect samples, testifying to the potential of bulk insect samples to complement soil samples. Finally, we found that non-destructive DNA extraction protocols, which preserve insect specimens for morphological studies, constitute a promising choice for cost-effective biodiversity assessments. We propose that the sampling and sequencing of insect samples should become a standard complement for biodiversity studies based on environmental DNA.","container-title":"Genome","DOI":"10.1139/gen-2018-0096","ISSN":"0831-2796","issue":"3","language":"eng","note":"publisher: NRC Research Press","page":"147–159","source":"otago.com","title":"Biodiversity assessments in the 21st century: The potential of insect traps to complement environmental samples for estimating eukaryotic and prokaryotic diversity using high-throughput DNA metabarcoding","title-short":"Biodiversity assessments in the 21st century","volume":"62","author":[{"family":"Ritter","given":"Camila D."},{"family":"Häggqvist","given":"Sibylle"},{"family":"Karlsson","given":"Dave"},{"family":"Sääksjärvi","given":"Ilari E."},{"family":"Muasya","given":"A. Muthama"},{"family":"Nilsson","given":"R. Henrik"},{"family":"Antonelli","given":"Alexandre"}],"issued":{"date-parts":[["2019"]]}}}],"schema":"https://github.com/citation-style-language/schema/raw/master/csl-citation.json"}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(Ritter </w:t>
            </w:r>
            <w:r w:rsidRPr="00EB50F4">
              <w:rPr>
                <w:rFonts w:asciiTheme="minorHAnsi" w:hAnsiTheme="minorHAnsi" w:cstheme="minorHAnsi"/>
                <w:i/>
                <w:iCs/>
              </w:rPr>
              <w:t>et al.</w:t>
            </w:r>
            <w:r w:rsidRPr="00EB50F4">
              <w:rPr>
                <w:rFonts w:asciiTheme="minorHAnsi" w:hAnsiTheme="minorHAnsi" w:cstheme="minorHAnsi"/>
              </w:rPr>
              <w:t xml:space="preserve"> 2019)</w:t>
            </w:r>
            <w:r w:rsidRPr="00EB50F4">
              <w:rPr>
                <w:rFonts w:asciiTheme="minorHAnsi" w:hAnsiTheme="minorHAnsi" w:cstheme="minorHAnsi"/>
                <w:lang w:val="en-GB"/>
              </w:rPr>
              <w:fldChar w:fldCharType="end"/>
            </w:r>
          </w:p>
        </w:tc>
        <w:tc>
          <w:tcPr>
            <w:tcW w:w="1417" w:type="dxa"/>
          </w:tcPr>
          <w:p w14:paraId="47ED3F37"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10</w:t>
            </w:r>
          </w:p>
        </w:tc>
        <w:tc>
          <w:tcPr>
            <w:tcW w:w="1417" w:type="dxa"/>
          </w:tcPr>
          <w:p w14:paraId="739EFA5E"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34F7DCBD"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16S,18</w:t>
            </w:r>
            <w:proofErr w:type="gramStart"/>
            <w:r w:rsidRPr="00EB50F4">
              <w:rPr>
                <w:rFonts w:asciiTheme="minorHAnsi" w:hAnsiTheme="minorHAnsi" w:cstheme="minorHAnsi"/>
                <w:lang w:val="en-GB"/>
              </w:rPr>
              <w:t>S,COI</w:t>
            </w:r>
            <w:proofErr w:type="gramEnd"/>
          </w:p>
        </w:tc>
        <w:tc>
          <w:tcPr>
            <w:tcW w:w="1701" w:type="dxa"/>
          </w:tcPr>
          <w:p w14:paraId="23DC0A6A"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insects</w:t>
            </w:r>
          </w:p>
        </w:tc>
      </w:tr>
      <w:tr w:rsidR="00EB50F4" w:rsidRPr="00EB50F4" w14:paraId="570AB25C"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78485EE"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[21] Establishing </w:t>
            </w:r>
            <w:proofErr w:type="spellStart"/>
            <w:r w:rsidRPr="00EB50F4">
              <w:rPr>
                <w:rFonts w:asciiTheme="minorHAnsi" w:hAnsiTheme="minorHAnsi" w:cstheme="minorHAnsi"/>
                <w:b w:val="0"/>
                <w:bCs w:val="0"/>
                <w:lang w:val="en-GB"/>
              </w:rPr>
              <w:t>arthorpod</w:t>
            </w:r>
            <w:proofErr w:type="spellEnd"/>
            <w:r w:rsidRPr="00EB50F4">
              <w:rPr>
                <w:rFonts w:asciiTheme="minorHAnsi" w:hAnsiTheme="minorHAnsi" w:cstheme="minorHAnsi"/>
                <w:b w:val="0"/>
                <w:bCs w:val="0"/>
                <w:lang w:val="en-GB"/>
              </w:rPr>
              <w:t xml:space="preserve"> community composition using metabarcoding of soil samples, and preservative ethanol and homogenate from Malaise trap catches: surprising inconsistencies between methods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{"citationID":"ECgRlrDu","properties":{"formattedCitation":"(Marquina {\\i{}et al.} 2019)","plainCitation":"(Marquina et al. 2019)","noteIndex":0},"citationItems":[{"id":278,"uris":["http://zotero.org/users/8293222/items/NNW6MNZ6"],"uri":["http://zotero.org/users/8293222/items/NNW6MNZ6"],"itemData":{"id":278,"type":"article-journal","abstract":"DNA metabarcoding allows the analysis of insect communities faster and more efficiently than ever before. However, metabarcoding can be conducted through several approaches, and the consistency of results across methods has rarely been studied. We compare the results obtained by DNA metabarcoding of the same communities using two different markers – COI and 16S – and three different sampling methods: (a) homogenized Malaise trap samples (homogenate), (b) preservative ethanol from the same samples, and (c) soil samples. Our results indicate that COI and 16S offer partly complementary information on Malaise trap samples, with each marker detecting a significant number of species not detected by the other. Different sampling methods offer highly divergent estimates of community composition. The community recovered from preservative ethanol of Malaise trap samples is significantly different from that recovered from homogenate. Small and weakly sclerotized insects tend to be overrepresented in ethanol while strong and large taxa are overrepresented in homogenate. For soil samples, highly degenerate COI primers pick up large amounts of nontarget DNA and only 16S provides adequate analyses of insect diversity. However, even with 16S, very little overlap in molecular operational taxonomic unit (MOTU) content was found between the trap and the soil samples. Our results demonstrate that none of the tested sampling approaches is satisfactory on its own. For instance, DNA extraction from preservative ethanol is not a valid replacement for destructive bulk extraction but a complement. In future metabarcoding studies, both should ideally be used together to achieve comprehensive representation of the target community.","container-title":"Molecular ecology resources","DOI":"10.1111/1755-0998.13071","ISSN":"1755-098X","issue":"6","language":"eng","note":"publisher-place: England\npublisher: John Wiley and Sons Inc","page":"1516–1530","source":"otago.com","title":"Establishing arthropod community composition using metabarcoding: Surprising inconsistencies between soil samples and preservative ethanol and homogenate from Malaise trap catches","title-short":"Establishing arthropod community composition using metabarcoding","volume":"19","author":[{"family":"Marquina","given":"Daniel"},{"family":"Esparza‐Salas","given":"Rodrigo"},{"family":"Roslin","given":"Tomas"},{"family":"Ronquist","given":"Fredrik"}],"issued":{"date-parts":[["2019"]]}}}],"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(Marquina </w:t>
            </w:r>
            <w:r w:rsidRPr="00EB50F4">
              <w:rPr>
                <w:rFonts w:asciiTheme="minorHAnsi" w:hAnsiTheme="minorHAnsi" w:cstheme="minorHAnsi"/>
                <w:i/>
                <w:iCs/>
              </w:rPr>
              <w:t>et al.</w:t>
            </w:r>
            <w:r w:rsidRPr="00EB50F4">
              <w:rPr>
                <w:rFonts w:asciiTheme="minorHAnsi" w:hAnsiTheme="minorHAnsi" w:cstheme="minorHAnsi"/>
              </w:rPr>
              <w:t xml:space="preserve"> 2019)</w:t>
            </w:r>
            <w:r w:rsidRPr="00EB50F4">
              <w:rPr>
                <w:rFonts w:asciiTheme="minorHAnsi" w:hAnsiTheme="minorHAnsi" w:cstheme="minorHAnsi"/>
                <w:lang w:val="en-GB"/>
              </w:rPr>
              <w:fldChar w:fldCharType="end"/>
            </w:r>
          </w:p>
        </w:tc>
        <w:tc>
          <w:tcPr>
            <w:tcW w:w="1417" w:type="dxa"/>
          </w:tcPr>
          <w:p w14:paraId="4212CFFB"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0.4</w:t>
            </w:r>
          </w:p>
        </w:tc>
        <w:tc>
          <w:tcPr>
            <w:tcW w:w="1417" w:type="dxa"/>
          </w:tcPr>
          <w:p w14:paraId="66C1A5D3"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p>
        </w:tc>
        <w:tc>
          <w:tcPr>
            <w:tcW w:w="1417" w:type="dxa"/>
          </w:tcPr>
          <w:p w14:paraId="2E03811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COI,16S</w:t>
            </w:r>
          </w:p>
        </w:tc>
        <w:tc>
          <w:tcPr>
            <w:tcW w:w="1701" w:type="dxa"/>
          </w:tcPr>
          <w:p w14:paraId="577C4FB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insects</w:t>
            </w:r>
          </w:p>
        </w:tc>
      </w:tr>
      <w:tr w:rsidR="00EB50F4" w:rsidRPr="00EB50F4" w14:paraId="169598E0"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50696AEF"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[22] Divergent national-scale trends of microbial and animal biodiversity revealed across diverse temperate soil ecosystems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{"citationID":"ki4tAnuR","properties":{"formattedCitation":"(George {\\i{}et al.} 2019)","plainCitation":"(George et al. 2019)","noteIndex":0},"citationItems":[{"id":280,"uris":["http://zotero.org/users/8293222/items/7CK4BX37"],"uri":["http://zotero.org/users/8293222/items/7CK4BX37"],"itemData":{"id":280,"type":"article-journal","abstract":"Soil biota accounts for ~25% of global biodiversity and is vital to nutrient cycling and primary production. There is growing momentum to study total belowground biodiversity across large ecological scales to understand how habitat and soil properties shape belowground communities. Microbial and animal components of belowground communities follow divergent responses to soil properties and land use intensification; however, it is unclear whether this extends across heterogeneous ecosystems. Here, a national-scale metabarcoding analysis of 436 locations across 7 different temperate ecosystems shows that belowground animal and microbial (bacteria, archaea, fungi, and protists) richness follow divergent trends, whereas β-diversity does not. Animal richness is governed by intensive land use and unaffected by soil properties, while microbial richness was driven by environmental properties across land uses. Our findings demonstrate that established divergent patterns of belowground microbial and animal diversity are consistent across heterogeneous land uses and are detectable using a standardised metabarcoding approach.","container-title":"Nature communications","DOI":"10.1038/s41467-019-09031-1","ISSN":"2041-1723","issue":"1","language":"eng","note":"publisher-place: England\npublisher: Nature Publishing Group","page":"1107–1107","source":"otago.com","title":"Divergent national-scale trends of microbial and animal biodiversity revealed across diverse temperate soil ecosystems","volume":"10","author":[{"family":"George","given":"Paul B. L."},{"family":"Lallias","given":"Delphine"},{"family":"Creer","given":"Simon"},{"family":"Seaton","given":"Fiona M."},{"family":"Kenny","given":"John G."},{"family":"Eccles","given":"Richard M."},{"family":"Griffiths","given":"Robert I."},{"family":"Lebron","given":"Inma"},{"family":"Emmett","given":"Bridget A."},{"family":"Robinson","given":"David A."},{"family":"Jones","given":"Davey L."}],"issued":{"date-parts":[["2019"]]}}}],"schema":"https://github.com/citation-style-language/schema/raw/master/csl-citation.json"}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(George </w:t>
            </w:r>
            <w:r w:rsidRPr="00EB50F4">
              <w:rPr>
                <w:rFonts w:asciiTheme="minorHAnsi" w:hAnsiTheme="minorHAnsi" w:cstheme="minorHAnsi"/>
                <w:i/>
                <w:iCs/>
              </w:rPr>
              <w:t>et al.</w:t>
            </w:r>
            <w:r w:rsidRPr="00EB50F4">
              <w:rPr>
                <w:rFonts w:asciiTheme="minorHAnsi" w:hAnsiTheme="minorHAnsi" w:cstheme="minorHAnsi"/>
              </w:rPr>
              <w:t xml:space="preserve"> 2019)</w:t>
            </w:r>
            <w:r w:rsidRPr="00EB50F4">
              <w:rPr>
                <w:rFonts w:asciiTheme="minorHAnsi" w:hAnsiTheme="minorHAnsi" w:cstheme="minorHAnsi"/>
                <w:lang w:val="en-GB"/>
              </w:rPr>
              <w:fldChar w:fldCharType="end"/>
            </w:r>
          </w:p>
        </w:tc>
        <w:tc>
          <w:tcPr>
            <w:tcW w:w="1417" w:type="dxa"/>
          </w:tcPr>
          <w:p w14:paraId="773821CC"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3F757A2F"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18DD2648"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77125D6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w:t>
            </w:r>
          </w:p>
        </w:tc>
      </w:tr>
      <w:tr w:rsidR="00EB50F4" w:rsidRPr="00EB50F4" w14:paraId="3AF72345"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0416913C"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[23] Predicting provenance of forensic soil samples: Linking soil to ecological habitats by metabarcoding and supervised classification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{"citationID":"9GtQJzmi","properties":{"formattedCitation":"(Fl\\uc0\\u248{}jgaard {\\i{}et al.} 2019)","plainCitation":"(Fløjgaard et al. 2019)","noteIndex":0},"citationItems":[{"id":282,"uris":["http://zotero.org/users/8293222/items/85BIZDMH"],"uri":["http://zotero.org/users/8293222/items/85BIZDMH"],"itemData":{"id":282,"type":"article-journal","abstract":"Environmental DNA (eDNA) is increasingly applied in ecological studies, including studies with the primary purpose of criminal investigation, in which eDNA from soil can be used to pair samples or reveal sample provenance. We collected soil eDNA samples as part of a large national biodiversity research project across 130 sites in Denmark. We investigated the potential for soil eDNA metabarcoding in predicting provenance in terms of environmental conditions, habitat type and geographic regions. We used linear regression for predicting environmental gradients of light, soil moisture, pH and nutrient status (represented by Ellenberg Indicator Values, EIVs) and Quadratic Discriminant Analysis (QDA) to predict habitat type and geographic region. eDNA data performed relatively well as a predictor of environmental gradients (R2 &gt; 0.81). Its ability to discriminate between habitat types was variable, with high accuracy for certain forest types and low accuracy for heathland, which was poorly predicted. Geographic region was also less accurately predicted by eDNA. We demonstrated the application of provenance prediction in forensic science by evaluating and discussing two mock crime scenes. Here, we listed the plant species from annotated sequences, which can further aid in identifying the likely habitat or, in case of rare species, a geographic region. Predictions of environmental gradients and habitat types together give an overall accurate description of a crime scene, but care should be taken when interpreting annotated sequences, e.g. due to erroneous assignments in GenBank. Our approach demonstrates that important habitat properties can be derived from soil eDNA, and exemplifies a range of potential applications of eDNA in forensic ecology.","container-title":"PloS one","DOI":"10.1371/journal.pone.0202844","ISSN":"1932-6203","issue":"7","language":"eng","note":"publisher-place: San Francisco\npublisher: Public Library of Science","page":"e0202844–e0202844","source":"otago.com","title":"Predicting provenance of forensic soil samples: Linking soil to ecological habitats by metabarcoding and supervised classification","title-short":"Predicting provenance of forensic soil samples","volume":"14","author":[{"family":"Fløjgaard","given":"Camilla"},{"family":"Frøslev","given":"Tobias Guldberg"},{"family":"Brunbjerg","given":"Ane Kirstine"},{"family":"Bruun","given":"Hans Henrik"},{"family":"Moeslund","given":"Jesper"},{"family":"Hansen","given":"Anders Johannes"},{"family":"Ejrnæs","given":"Rasmus"}],"issued":{"date-parts":[["2019"]]}}}],"schema":"https://github.com/citation-style-language/schema/raw/master/csl-citation.json"}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(Fløjgaard </w:t>
            </w:r>
            <w:r w:rsidRPr="00EB50F4">
              <w:rPr>
                <w:rFonts w:asciiTheme="minorHAnsi" w:hAnsiTheme="minorHAnsi" w:cstheme="minorHAnsi"/>
                <w:i/>
                <w:iCs/>
              </w:rPr>
              <w:t>et al.</w:t>
            </w:r>
            <w:r w:rsidRPr="00EB50F4">
              <w:rPr>
                <w:rFonts w:asciiTheme="minorHAnsi" w:hAnsiTheme="minorHAnsi" w:cstheme="minorHAnsi"/>
              </w:rPr>
              <w:t xml:space="preserve"> 2019)</w:t>
            </w:r>
            <w:r w:rsidRPr="00EB50F4">
              <w:rPr>
                <w:rFonts w:asciiTheme="minorHAnsi" w:hAnsiTheme="minorHAnsi" w:cstheme="minorHAnsi"/>
                <w:lang w:val="en-GB"/>
              </w:rPr>
              <w:fldChar w:fldCharType="end"/>
            </w:r>
          </w:p>
        </w:tc>
        <w:tc>
          <w:tcPr>
            <w:tcW w:w="1417" w:type="dxa"/>
          </w:tcPr>
          <w:p w14:paraId="70CE65B0"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NA</w:t>
            </w:r>
          </w:p>
        </w:tc>
        <w:tc>
          <w:tcPr>
            <w:tcW w:w="1417" w:type="dxa"/>
          </w:tcPr>
          <w:p w14:paraId="3920084D"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1CEB3316"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 mt16S</w:t>
            </w:r>
          </w:p>
        </w:tc>
        <w:tc>
          <w:tcPr>
            <w:tcW w:w="1701" w:type="dxa"/>
          </w:tcPr>
          <w:p w14:paraId="0613A6EA"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 insects</w:t>
            </w:r>
          </w:p>
        </w:tc>
      </w:tr>
      <w:tr w:rsidR="00EB50F4" w:rsidRPr="00EB50F4" w14:paraId="498F98D3"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3610D3C0"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[24] Altered rhizoctonia assemblages in grasslands on ex‐arable land support germination of mycorrhizal generalist, not specialist orchids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{"citationID":"4X7frRNi","properties":{"formattedCitation":"(Vogt\\uc0\\u8208{}Schilb {\\i{}et al.} 2020)","plainCitation":"(Vogt‐Schilb et al. 2020)","noteIndex":0},"citationItems":[{"id":284,"uris":["http://zotero.org/users/8293222/items/U54HPNGE"],"uri":["http://zotero.org/users/8293222/items/U54HPNGE"],"itemData":{"id":284,"type":"article-journal","abstract":"Summary\nSpecies‐rich seminatural grasslands in Central Europe have suffered a dramatic loss of biodiversity due to conversion to arable land, but vast areas are being restored. Population recovery of orchids, which depend on mycorrhizal fungi for germination, is however limited. We hypothesised that ploughing and fertilisation caused shifts in orchid mycorrhizal communities in soil and restricted orchid germination.\nWe examined edaphic conditions in 60 restored and seminatural grasslands, and germination success in 10 restored grasslands. Using a newly designed primer, we screened the composition of rhizoctonias in soil, seedlings and roots of seven orchid species.\nSeminatural and restored grasslands differed significantly in nutrient amounts and rhizoctonia assemblages in soil. While Serendipitaceae prevailed in seminatural grasslands with a higher organic matter content, Ceratobasidiaceae were more frequent in phosphorus‐rich restored grasslands with increased abundance on younger restored sites. Tulasnellaceae displayed no preference. Germination success in restored grasslands differed significantly between orchid species; two mycorrhizal generalist species germinated with a broad range of rhizoctonias at most restored grasslands, while germination success of specialists was low.\nPast agricultural practices have a long‐lasting effect on soil conditions and orchid mycorrhizal communities. Altered mycorrhizal availability may be the main reason for low germination success of specialist orchid species.","container-title":"The New phytologist","DOI":"10.1111/nph.16604","ISSN":"0028-646X","issue":"4","language":"eng","note":"publisher-place: England","page":"1200–1212","source":"otago.com","title":"Altered rhizoctonia assemblages in grasslands on ex‐arable land support germination of mycorrhizal generalist, not specialist orchids","volume":"227","author":[{"family":"Vogt‐Schilb","given":"Hélène"},{"family":"Těšitelová","given":"Tamara"},{"family":"Kotilínek","given":"Milan"},{"family":"Sucháček","given":"Pavel"},{"family":"Kohout","given":"Petr"},{"family":"Jersáková","given":"Jana"}],"issued":{"date-parts":[["2020"]]}}}],"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(Vogt‐Schilb </w:t>
            </w:r>
            <w:r w:rsidRPr="00EB50F4">
              <w:rPr>
                <w:rFonts w:asciiTheme="minorHAnsi" w:hAnsiTheme="minorHAnsi" w:cstheme="minorHAnsi"/>
                <w:i/>
                <w:iCs/>
              </w:rPr>
              <w:t>et al.</w:t>
            </w:r>
            <w:r w:rsidRPr="00EB50F4">
              <w:rPr>
                <w:rFonts w:asciiTheme="minorHAnsi" w:hAnsiTheme="minorHAnsi" w:cstheme="minorHAnsi"/>
              </w:rPr>
              <w:t xml:space="preserve"> 2020)</w:t>
            </w:r>
            <w:r w:rsidRPr="00EB50F4">
              <w:rPr>
                <w:rFonts w:asciiTheme="minorHAnsi" w:hAnsiTheme="minorHAnsi" w:cstheme="minorHAnsi"/>
                <w:lang w:val="en-GB"/>
              </w:rPr>
              <w:fldChar w:fldCharType="end"/>
            </w:r>
          </w:p>
        </w:tc>
        <w:tc>
          <w:tcPr>
            <w:tcW w:w="1417" w:type="dxa"/>
          </w:tcPr>
          <w:p w14:paraId="3E9843BE"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NA</w:t>
            </w:r>
          </w:p>
        </w:tc>
        <w:tc>
          <w:tcPr>
            <w:tcW w:w="1417" w:type="dxa"/>
          </w:tcPr>
          <w:p w14:paraId="726BA570"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26B6BC97"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1701" w:type="dxa"/>
          </w:tcPr>
          <w:p w14:paraId="4B6DACEB"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orchids</w:t>
            </w:r>
          </w:p>
        </w:tc>
      </w:tr>
      <w:tr w:rsidR="00EB50F4" w:rsidRPr="00EB50F4" w14:paraId="68320A75"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4E6AE3F"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[25] Power and limitations of environmental DNA metabarcoding for surveying leaf litter eukaryotic communities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{"citationID":"aEfBXelk","properties":{"formattedCitation":"(Lopes {\\i{}et al.} 2021)","plainCitation":"(Lopes et al. 2021)","noteIndex":0},"citationItems":[{"id":285,"uris":["http://zotero.org/users/8293222/items/HTNHXMTQ"],"uri":["http://zotero.org/users/8293222/items/HTNHXMTQ"],"itemData":{"id":285,"type":"article-journal","abstract":"Leaf litter habitats shelter a great variety of organisms, which play an important role in ecosystem dynamics. However, monitoring species in leaf litter is challenging, especially in highly diverse environments such as tropical forests, because individuals may easily camouflage themselves or hide in the litter layer. Identifying species based on environmental DNA (eDNA) would allow us to assess biodiversity in this microhabitat, without the need for direct observation of individuals. We applied eDNA metabarcoding to analyze large amounts of leaf litter (1 kg per sample) collected in the Brazilian Atlantic forest. We compared two DNA extraction methods, one total and one extracellular, and amplified a fragment of the mitochondrial 18S rRNA gene common to all eukaryotes, to assess the performance of eDNA from leaf litter samples in identifying different eukaryotic taxonomic groups. We also amplified two fragments of the mitochondrial 12S rRNA gene to specifically test the power of this approach for monitoring vertebrate species, with a focus on anurans. Most of the eukaryote sequence reads obtained were classified as Fungi, followed by Metazoa, and Viridiplantae. Most vertebrate sequences were assigned to Homo sapiens; only two sequences assigned to the genus Phyllomedusa and the species Euparkerella brasiliensis can be considered true detections of anurans in our eDNA samples. The detection of taxa varied depending on the DNA extraction method applied. Our results demonstrate that the analysis of eDNA from leaf litter samples has low power for monitoring vertebrate species and should be preferentially applied to describe active and abundant taxa in terrestrial communities, such as Fungi and invertebrates.\nWe demonstrate in our study that the analysis of eDNA from leaf litter samples collected in the Brazilian Atlantic forest has low power for monitoring vertebrate species and should be preferentially applied to describe active and dominant taxa in terrestrial communities, such as Fungi and invertebrates","container-title":"Environmental DNA (Hoboken, N.J.)","DOI":"10.1002/edn3.142","ISSN":"2637-4943","issue":"3","language":"eng","note":"publisher: Wiley","page":"528–540","source":"otago.com","title":"Power and limitations of environmental DNA metabarcoding for surveying leaf litter eukaryotic communities","volume":"3","author":[{"family":"Lopes","given":"Carla Martins"},{"family":"Baêta","given":"Délio"},{"family":"Sasso","given":"Thais"},{"family":"Vanzetti","given":"Agustín"},{"family":"Raquel Zamudio","given":"Kelly"},{"family":"Taberlet","given":"Pierre"},{"family":"Haddad","given":"Célio Fernando Baptista"}],"issued":{"date-parts":[["2021"]]}}}],"schema":"https://github.com/citation-style-language/schema/raw/master/csl-citation.json"}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(Lopes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40B76753"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NA</w:t>
            </w:r>
          </w:p>
        </w:tc>
        <w:tc>
          <w:tcPr>
            <w:tcW w:w="1417" w:type="dxa"/>
          </w:tcPr>
          <w:p w14:paraId="5703BD1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p>
        </w:tc>
        <w:tc>
          <w:tcPr>
            <w:tcW w:w="1417" w:type="dxa"/>
          </w:tcPr>
          <w:p w14:paraId="4579B7FA"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18S,12S</w:t>
            </w:r>
          </w:p>
        </w:tc>
        <w:tc>
          <w:tcPr>
            <w:tcW w:w="1701" w:type="dxa"/>
          </w:tcPr>
          <w:p w14:paraId="6993DA7E"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w:t>
            </w:r>
          </w:p>
        </w:tc>
      </w:tr>
      <w:tr w:rsidR="00EB50F4" w:rsidRPr="00EB50F4" w14:paraId="1288C81F"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62C81FEA"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[26] Effects of soil preservation for biodiversity monitoring using environmental DNA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{"citationID":"TjfkYOyo","properties":{"formattedCitation":"(Guerrieri {\\i{}et al.} 2021)","plainCitation":"(Guerrieri et al. 2021)","noteIndex":0},"citationItems":[{"id":287,"uris":["http://zotero.org/users/8293222/items/29TXUPXH"],"uri":["http://zotero.org/users/8293222/items/29TXUPXH"],"itemData":{"id":287,"type":"article-journal","abstract":"Environmental DNA (eDNA) metabarcoding is becoming a key tool for biodiversity monitoring over large geographical or taxonomic scales and for elusive taxa such as soil organisms. Increasing sample sizes and interest in remote or extreme areas often require the preservation of soil samples and thus deviations from optimal standardized protocols. However, we still ignore the impact of different methods of soil sample preservation on the results of metabarcoding studies and there is no guideline for best practices so far. Here, we assessed the impact of four methods of soil sample preservation that can be conveniently used also in metabarcoding studies targeting remote or difficult to access areas. Tested methods include: preservation at room temperature for 6 hr, preservation at 4°C for 3 days, desiccation immediately after sampling and preservation for 21 days, and desiccation after 6 hr at room temperature and preservation for 21 days. For each preservation method, we benchmarked resulting estimates of taxon diversity and community composition of three different taxonomic groups (bacteria, fungi and eukaryotes) in three different habitats (forest, river bank and grassland) against results obtained under ideal conditions (i.e., extraction of eDNA immediately after sampling). Overall, the different preservation methods only marginally impaired results and only under certain conditions. When rare taxa were considered, we detected small but significant changes in molecular operational taxonomic units (MOTU) richness of bacteria, fungi and eukaryotes across treatments, but MOTU richness was similar across preservation methods if rare taxa were not considered. All the approaches were able to identify differences in community structure among habitats, and the communities retrieved using the different preservation conditions were extremely similar. We propose guidelines on the selection of the optimal soil sample preservation conditions for metabarcoding studies, depending on the practical constraints, costs and ultimate research goals.","container-title":"Molecular ecology","DOI":"10.1111/mec.15674","ISSN":"0962-1083","issue":"13","language":"eng","note":"publisher: Wiley Subscription Services, Inc","page":"3313–3325","source":"otago.com","title":"Effects of soil preservation for biodiversity monitoring using environmental DNA","volume":"30","author":[{"family":"Guerrieri","given":"Alessia"},{"family":"Bonin","given":"Aurélie"},{"family":"Münkemüller","given":"Tamara"},{"family":"Gielly","given":"Ludovic"},{"family":"Thuiller","given":"Wilfried"},{"family":"Francesco Ficetola","given":"Gentile"}],"issued":{"date-parts":[["2021"]]}}}],"schema":"https://github.com/citation-style-language/schema/raw/master/csl-citation.json"}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(Guerrieri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327D460D"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NA</w:t>
            </w:r>
          </w:p>
        </w:tc>
        <w:tc>
          <w:tcPr>
            <w:tcW w:w="1417" w:type="dxa"/>
          </w:tcPr>
          <w:p w14:paraId="0AF525BC"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+phosphate buffer</w:t>
            </w:r>
          </w:p>
        </w:tc>
        <w:tc>
          <w:tcPr>
            <w:tcW w:w="1417" w:type="dxa"/>
          </w:tcPr>
          <w:p w14:paraId="79B55BEF"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Euka02</w:t>
            </w:r>
          </w:p>
        </w:tc>
        <w:tc>
          <w:tcPr>
            <w:tcW w:w="1701" w:type="dxa"/>
          </w:tcPr>
          <w:p w14:paraId="3D94DA55"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w:t>
            </w:r>
          </w:p>
        </w:tc>
      </w:tr>
      <w:tr w:rsidR="00EB50F4" w:rsidRPr="00EB50F4" w14:paraId="2D3620FB"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4720D8D"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[27] Comparison of eDNA metabarcoding to camera trapping for terrestrial vertebrate monitoring highlights the importance of substrate type, frequency of sampling and animal size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{"citationID":"kRGQggzF","properties":{"formattedCitation":"(Ryan {\\i{}et al.} 2020)","plainCitation":"(Ryan et al. 2020)","noteIndex":0},"citationItems":[{"id":289,"uris":["http://zotero.org/users/8293222/items/ZTTIZR53"],"uri":["http://zotero.org/users/8293222/items/ZTTIZR53"],"itemData":{"id":289,"type":"report","genre":"preprint","note":"DOI: 10.22541/au.160442291.13614413/v1","publisher":"Preprints","source":"DOI.org (Crossref)","title":"Comparison of eDNA metabarcoding to camera trapping for terrestrial vertebrate monitoring highlights the importance of substrate type, frequency of sampling and animal size","URL":"https://www.authorea.com/users/372664/articles/490605-comparison-of-edna-metabarcoding-to-camera-trapping-for-terrestrial-vertebrate-monitoring-highlights-the-importance-of-substrate-type-frequency-of-sampling-and-animal-size?commit=d6b995509242ab64db9573fa753abfc0f4e13307","author":[{"family":"Ryan","given":"Ethan"},{"family":"Bateman","given":"Phil"},{"family":"Heyde","given":"Mieke","dropping-particle":"van der"},{"family":"Fernandes","given":"Kristen"},{"family":"Nevill","given":"Paul"}],"accessed":{"date-parts":[["2021",7,26]]},"issued":{"date-parts":[["2020",11,3]]}}}],"schema":"https://github.com/citation-style-language/schema/raw/master/csl-citation.json"}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(Ryan </w:t>
            </w:r>
            <w:r w:rsidRPr="00EB50F4">
              <w:rPr>
                <w:rFonts w:asciiTheme="minorHAnsi" w:hAnsiTheme="minorHAnsi" w:cstheme="minorHAnsi"/>
                <w:i/>
                <w:iCs/>
              </w:rPr>
              <w:t>et al.</w:t>
            </w:r>
            <w:r w:rsidRPr="00EB50F4">
              <w:rPr>
                <w:rFonts w:asciiTheme="minorHAnsi" w:hAnsiTheme="minorHAnsi" w:cstheme="minorHAnsi"/>
              </w:rPr>
              <w:t xml:space="preserve"> 2020)</w:t>
            </w:r>
            <w:r w:rsidRPr="00EB50F4">
              <w:rPr>
                <w:rFonts w:asciiTheme="minorHAnsi" w:hAnsiTheme="minorHAnsi" w:cstheme="minorHAnsi"/>
                <w:lang w:val="en-GB"/>
              </w:rPr>
              <w:fldChar w:fldCharType="end"/>
            </w:r>
          </w:p>
        </w:tc>
        <w:tc>
          <w:tcPr>
            <w:tcW w:w="1417" w:type="dxa"/>
          </w:tcPr>
          <w:p w14:paraId="467EAE3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04EE6593"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48BB79F7"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16S and 12S</w:t>
            </w:r>
          </w:p>
        </w:tc>
        <w:tc>
          <w:tcPr>
            <w:tcW w:w="1701" w:type="dxa"/>
          </w:tcPr>
          <w:p w14:paraId="5B42D018"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mammals</w:t>
            </w:r>
          </w:p>
        </w:tc>
      </w:tr>
      <w:tr w:rsidR="00EB50F4" w:rsidRPr="00EB50F4" w14:paraId="736416CA"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109C051E"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[28] eDNA‐based biomonitoring at an experimental German vineyard to characterize how management regimes shape ecosystem diversity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{"citationID":"K0UG5gB7","properties":{"formattedCitation":"(Agerbo Rasmussen {\\i{}et al.} 2021)","plainCitation":"(Agerbo Rasmussen et al. 2021)","noteIndex":0},"citationItems":[{"id":291,"uris":["http://zotero.org/users/8293222/items/YXGPYKQL"],"uri":["http://zotero.org/users/8293222/items/YXGPYKQL"],"itemData":{"id":291,"type":"article-journal","abstract":"There is growing interest in the application of sustainable agricultural methods to minimize the environmental impact of farming and thus aiding quantification of the actual benefit that such approaches may confer. We applied DNA metabarcoding with the aim of exploring how the diversity of fungi and arthropods were affected by different agricultural management systems (integrated, organic, biodynamic) at the experimental vineyard of Geisenheim (Rheingau, Germany). Data were generated for the bloom and harvest periods in 2017, using environmental DNA (eDNA) metabarcoding analysis of both soil and vane trap samples. Our data revealed four principal results. (a) Overall richness of vane trap samples was unaffected by the management systems, likely due to the relatively small scale of the plots compared to the ranges of taxa such as the arthropods caught. In contrast, however, the richness of soil‐living taxa appeared to be negatively affected by conventional treatments, especially at harvest. (b) Analysis of similarity revealed that the species composition was significantly differentiated by management systems for both fungal and other taxa in both sample types. (c) Taxonomic analysis of fungi revealed that the management system drove differentiation in the abundance patterns for wine‐related fungi. Overall, our study reiterates the potential of eDNA techniques as a tool for assessing how biodiversity is affected by different agricultural management regimes, and we hope such approaches will be adopted in future research aimed at guiding vineyard management decisions.\nIn this study, we use molecular biomonitoring to decipher communities and dynamic of arthropods and fungi in german vineyards.","container-title":"Environmental DNA (Hoboken, N.J.)","DOI":"10.1002/edn3.131","ISSN":"2637-4943","issue":"1","language":"eng","note":"publisher-place: Hoboken\npublisher: John Wiley &amp; Sons, Inc","page":"70–82","source":"otago.com","title":"eDNA‐based biomonitoring at an experimental German vineyard to characterize how management regimes shape ecosystem diversity","volume":"3","author":[{"family":"Agerbo Rasmussen","given":"Jacob"},{"family":"Nielsen","given":"Martin"},{"family":"Mak","given":"Sarah S. T."},{"family":"Döring","given":"Johanna"},{"family":"Klincke","given":"Franziska"},{"family":"Gopalakrishnan","given":"Shyam"},{"family":"Dunn","given":"Robert R."},{"family":"Kauer","given":"Randolf"},{"family":"Gilbert","given":"Marcus Thomas Pius"}],"issued":{"date-parts":[["2021"]]}}}],"schema":"https://github.com/citation-style-language/schema/raw/master/csl-citation.json"}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(Agerbo Rasmussen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4C7D11C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751F32B7"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48E97E42"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COI</w:t>
            </w:r>
          </w:p>
        </w:tc>
        <w:tc>
          <w:tcPr>
            <w:tcW w:w="1701" w:type="dxa"/>
          </w:tcPr>
          <w:p w14:paraId="409D737B"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arthropods</w:t>
            </w:r>
          </w:p>
        </w:tc>
      </w:tr>
      <w:tr w:rsidR="00EB50F4" w:rsidRPr="00EB50F4" w14:paraId="3F5112AF"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61CB2CCE"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[29] High-throughput sequencing of litter and moss eDNA reveals a positive correlation between the diversity of Apicomplexa and their invertebrate hosts across alpine habitats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{"citationID":"cz3Adw3I","properties":{"formattedCitation":"(Singer {\\i{}et al.} 2020)","plainCitation":"(Singer et al. 2020)","noteIndex":0},"citationItems":[{"id":293,"uris":["http://zotero.org/users/8293222/items/LJQ8VFYT"],"uri":["http://zotero.org/users/8293222/items/LJQ8VFYT"],"itemData":{"id":293,"type":"article-journal","abstract":"A high diversity of Apicomplexa was recently found in tropical soils presumably reflecting the diversity of their invertebrate hosts, but such patterns have not been explored in colder regions. We analysed the diversity of Apicomplexa and their potential metazoan hosts in litter and mosses collected in 11 different alpine habitats using an eDNA metabarcoding approach. The abundance and diversity of Apicomplexa phylotypes and of their potential invertebrate hosts were positively correlated. This confirms that eDNA metabarcoding is a useful tool to explore the unknown biodiversity of free-living eukaryotes, as well as potential host-parasite interactions. Future studies should aim at describing this diversity using a combination of morphological and molecular approaches.\n•We found a high diversity of Apicomplexa sequences in alpine moss and litter eDNA.•Read numbers of Apicomplexa and their Metazoa hosts are positively correlated.•EDNA metabarcoding allows a fast comparison of Apicomplexa and Metazoa diversity.","container-title":"Soil biology &amp; biochemistry","DOI":"10.1016/j.soilbio.2020.107837","ISSN":"0038-0717","language":"eng","note":"publisher: Elsevier Ltd","page":"107837-","source":"otago.com","title":"High-throughput sequencing of litter and moss eDNA reveals a positive correlation between the diversity of Apicomplexa and their invertebrate hosts across alpine habitats","volume":"147","author":[{"family":"Singer","given":"David"},{"family":"Duckert","given":"Clément"},{"family":"Heděnec","given":"Petr"},{"family":"Lara","given":"Enrique"},{"family":"Hiltbrunner","given":"Erika"},{"family":"Mitchell","given":"Edward AD"}],"issued":{"date-parts":[["2020"]]}}}],"schema":"https://github.com/citation-style-language/schema/raw/master/csl-citation.json"}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(Singer </w:t>
            </w:r>
            <w:r w:rsidRPr="00EB50F4">
              <w:rPr>
                <w:rFonts w:asciiTheme="minorHAnsi" w:hAnsiTheme="minorHAnsi" w:cstheme="minorHAnsi"/>
                <w:i/>
                <w:iCs/>
              </w:rPr>
              <w:t>et al.</w:t>
            </w:r>
            <w:r w:rsidRPr="00EB50F4">
              <w:rPr>
                <w:rFonts w:asciiTheme="minorHAnsi" w:hAnsiTheme="minorHAnsi" w:cstheme="minorHAnsi"/>
              </w:rPr>
              <w:t xml:space="preserve"> 2020)</w:t>
            </w:r>
            <w:r w:rsidRPr="00EB50F4">
              <w:rPr>
                <w:rFonts w:asciiTheme="minorHAnsi" w:hAnsiTheme="minorHAnsi" w:cstheme="minorHAnsi"/>
                <w:lang w:val="en-GB"/>
              </w:rPr>
              <w:fldChar w:fldCharType="end"/>
            </w:r>
          </w:p>
        </w:tc>
        <w:tc>
          <w:tcPr>
            <w:tcW w:w="1417" w:type="dxa"/>
          </w:tcPr>
          <w:p w14:paraId="4A82CA8E"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NA</w:t>
            </w:r>
          </w:p>
        </w:tc>
        <w:tc>
          <w:tcPr>
            <w:tcW w:w="1417" w:type="dxa"/>
          </w:tcPr>
          <w:p w14:paraId="16A17CC2"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tc>
        <w:tc>
          <w:tcPr>
            <w:tcW w:w="1417" w:type="dxa"/>
          </w:tcPr>
          <w:p w14:paraId="4C3BE9C7"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31846630"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animals</w:t>
            </w:r>
          </w:p>
        </w:tc>
      </w:tr>
      <w:tr w:rsidR="00EB50F4" w:rsidRPr="00EB50F4" w14:paraId="260C0276"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244695D9"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[30] A novel metabarcoding strategy for studying nematode communities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{"citationID":"LN9mGoqP","properties":{"formattedCitation":"(Sikder {\\i{}et al.} 2020)","plainCitation":"(Sikder et al. 2020)","noteIndex":0},"citationItems":[{"id":189,"uris":["http://zotero.org/users/8293222/items/AMZ6E93R"],"uri":["http://zotero.org/users/8293222/items/AMZ6E93R"],"itemData":{"id":189,"type":"article-journal","container-title":"bioRxiv","note":"publisher: Cold Spring Harbor Laboratory","source":"Google Scholar","title":"A novel metabarcoding strategy for studying nematode communities","author":[{"family":"Sikder","given":"Md Maniruzzaman"},{"family":"Vestergård","given":"Mette"},{"family":"Sapkota","given":"Rumakanta"},{"family":"Kyndt","given":"Tina"},{"family":"Nicolaisen","given":"Mogens"}],"issued":{"date-parts":[["2020"]]}}}],"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(Sikder </w:t>
            </w:r>
            <w:r w:rsidRPr="00EB50F4">
              <w:rPr>
                <w:rFonts w:asciiTheme="minorHAnsi" w:hAnsiTheme="minorHAnsi" w:cstheme="minorHAnsi"/>
                <w:i/>
                <w:iCs/>
              </w:rPr>
              <w:t>et al.</w:t>
            </w:r>
            <w:r w:rsidRPr="00EB50F4">
              <w:rPr>
                <w:rFonts w:asciiTheme="minorHAnsi" w:hAnsiTheme="minorHAnsi" w:cstheme="minorHAnsi"/>
              </w:rPr>
              <w:t xml:space="preserve"> 2020)</w:t>
            </w:r>
            <w:r w:rsidRPr="00EB50F4">
              <w:rPr>
                <w:rFonts w:asciiTheme="minorHAnsi" w:hAnsiTheme="minorHAnsi" w:cstheme="minorHAnsi"/>
                <w:lang w:val="en-GB"/>
              </w:rPr>
              <w:fldChar w:fldCharType="end"/>
            </w:r>
          </w:p>
        </w:tc>
        <w:tc>
          <w:tcPr>
            <w:tcW w:w="1417" w:type="dxa"/>
          </w:tcPr>
          <w:p w14:paraId="42EF6A3E"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75CBA024"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lang w:val="en-GB"/>
              </w:rPr>
              <w:t>PowerLyzer</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 xml:space="preserve"> </w:t>
            </w:r>
          </w:p>
        </w:tc>
        <w:tc>
          <w:tcPr>
            <w:tcW w:w="1417" w:type="dxa"/>
          </w:tcPr>
          <w:p w14:paraId="1FCB7A31"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 COI</w:t>
            </w:r>
          </w:p>
        </w:tc>
        <w:tc>
          <w:tcPr>
            <w:tcW w:w="1701" w:type="dxa"/>
          </w:tcPr>
          <w:p w14:paraId="5C1B800B"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nematodes</w:t>
            </w:r>
          </w:p>
        </w:tc>
      </w:tr>
      <w:tr w:rsidR="00EB50F4" w:rsidRPr="00EB50F4" w14:paraId="68E1298C"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35C721E3"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[31] Comparison of an extracellular v. total DNA extraction approach for environmental DNA-based monitoring of sediment biota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{"citationID":"bLdVnfBU","properties":{"formattedCitation":"(Pansu {\\i{}et al.} 2020)","plainCitation":"(Pansu et al. 2020)","noteIndex":0},"citationItems":[{"id":145,"uris":["http://zotero.org/users/8293222/items/SSNPRTW7"],"uri":["http://zotero.org/users/8293222/items/SSNPRTW7"],"itemData":{"id":145,"type":"article-journal","abstract":"Monitoring sediment biota is an essential step for the quality assessment of aquatic ecosystems. Environmental DNA-based approaches for biomonitoring are increasing in popularity; yet, commercial kits and protocols for extracting total DNA from sediments remain expensive and time-consuming. Furthermore, they can accommodate only small amounts of sediments, potentially preventing an adequate representation of local biodiversity, especially for macro-organisms. Here, we assessed the reliability of a cost- and time-effective extracellular DNA extraction approach able to account for large volumes of starting material, for characterising bacterial, eukaryote and metazoan communities in three sedimentary environments. DNA concentrations extracted with the extracellular approach were at least similar to those obtained with the commercial kit. Local diversity estimates were not biased towards any particular extraction method, although specific responses were observed depending of the sediment type. Community composition and β-diversity patterns were moderately affected by the extraction approach and the initial amount of starting material; differences being more important for macro- than microorganisms. Thus, the extracellular DNA approach appears as robust and efficient as those based on the commercially available kit for biomonitoring sedimentary communities. Its low cost and fast processing time make it a promising alternative for large-scale ecological assessments of aquatic environments.","container-title":"Marine and freshwater research","DOI":"10.1071/MF20269","ISSN":"1323-1650","language":"eng","note":"publisher: CSIRO Publishing","source":"otago.com","title":"Comparison of an extracellular v. total DNA extraction approach for environmental DNA-based monitoring of sediment biota","author":[{"family":"Pansu","given":"Johan"},{"family":"Chapman","given":"Michelle B."},{"family":"Hose","given":"Grant C."},{"family":"Chariton","given":"Anthony A."}],"issued":{"date-parts":[["2020"]]}}}],"schema":"https://github.com/citation-style-language/schema/raw/master/csl-citation.json"}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(Pansu </w:t>
            </w:r>
            <w:r w:rsidRPr="00EB50F4">
              <w:rPr>
                <w:rFonts w:asciiTheme="minorHAnsi" w:hAnsiTheme="minorHAnsi" w:cstheme="minorHAnsi"/>
                <w:i/>
                <w:iCs/>
              </w:rPr>
              <w:t>et al.</w:t>
            </w:r>
            <w:r w:rsidRPr="00EB50F4">
              <w:rPr>
                <w:rFonts w:asciiTheme="minorHAnsi" w:hAnsiTheme="minorHAnsi" w:cstheme="minorHAnsi"/>
              </w:rPr>
              <w:t xml:space="preserve"> 2020)</w:t>
            </w:r>
            <w:r w:rsidRPr="00EB50F4">
              <w:rPr>
                <w:rFonts w:asciiTheme="minorHAnsi" w:hAnsiTheme="minorHAnsi" w:cstheme="minorHAnsi"/>
                <w:lang w:val="en-GB"/>
              </w:rPr>
              <w:fldChar w:fldCharType="end"/>
            </w:r>
          </w:p>
        </w:tc>
        <w:tc>
          <w:tcPr>
            <w:tcW w:w="1417" w:type="dxa"/>
          </w:tcPr>
          <w:p w14:paraId="336BE412"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1 - 10</w:t>
            </w:r>
          </w:p>
        </w:tc>
        <w:tc>
          <w:tcPr>
            <w:tcW w:w="1417" w:type="dxa"/>
          </w:tcPr>
          <w:p w14:paraId="4D1961E0"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 xml:space="preserve">+phosphate buffer and </w:t>
            </w:r>
            <w:proofErr w:type="spellStart"/>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p>
        </w:tc>
        <w:tc>
          <w:tcPr>
            <w:tcW w:w="1417" w:type="dxa"/>
          </w:tcPr>
          <w:p w14:paraId="61CCB852"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 COI</w:t>
            </w:r>
          </w:p>
        </w:tc>
        <w:tc>
          <w:tcPr>
            <w:tcW w:w="1701" w:type="dxa"/>
          </w:tcPr>
          <w:p w14:paraId="05C81BDA"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Eukaryotes, metazoans</w:t>
            </w:r>
          </w:p>
        </w:tc>
      </w:tr>
      <w:tr w:rsidR="00EB50F4" w:rsidRPr="00EB50F4" w14:paraId="37D2F58C"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2103D845"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[32] A small effect of conservation agriculture on soil biodiversity that differs between biological kingdoms and geographic locations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{"citationID":"8Gr0jXCD","properties":{"formattedCitation":"(Giraldo-Perez {\\i{}et al.} 2021)","plainCitation":"(Giraldo-Perez et al. 2021)","noteIndex":0},"citationItems":[{"id":301,"uris":["http://zotero.org/users/8293222/items/FAV8YXNH"],"uri":["http://zotero.org/users/8293222/items/FAV8YXNH"],"itemData":{"id":301,"type":"article-journal","abstract":"Larger easily visible animals and plants are negatively affected by agrochemicals used for intensive food production, but we do not understand the general spatial and temporal effects of agrochemicals on the multitudes of bacteria, fungi, and small invertebrate animals that underpin ecosystem productivity. We sequenced the 16S, ITS2, and COI DNA barcode regions from 648 New Zealand vineyard soil samples managed under either conventional or low-agrochemical-input conservation approaches across two regions and three seasons in 1 year and discovered at least 170,000 phylotypes (taxa) with &gt;97% genetic identity. Management approach correlated with a significant 2%–10% difference in the abundances of phylotypes that differed over regions and seasons. Although the data show that agrochemicals do not have a large effect on soil biodiversity on average, the important finding is that the magnitude of impact differs between taxa types and locations, and some taxa most affected also influence the quality of agricultural produce.","container-title":"iScience","DOI":"10.1016/j.isci.2021.102280","ISSN":"2589-0042","issue":"4","journalAbbreviation":"iScience","language":"en","page":"102280","source":"ScienceDirect","title":"A small effect of conservation agriculture on soil biodiversity that differs between biological kingdoms and geographic locations","volume":"24","author":[{"family":"Giraldo-Perez","given":"Paulina"},{"family":"Raw","given":"Victoria"},{"family":"Greven","given":"Marc"},{"family":"Goddard","given":"Matthew R."}],"issued":{"date-parts":[["2021",4,23]]}}}],"schema":"https://github.com/citation-style-language/schema/raw/master/csl-citation.json"}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(Giraldo-Perez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2B8CA4F0"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0.25</w:t>
            </w:r>
          </w:p>
        </w:tc>
        <w:tc>
          <w:tcPr>
            <w:tcW w:w="1417" w:type="dxa"/>
          </w:tcPr>
          <w:p w14:paraId="4DA044CF"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Soil Microbe DNA Kit</w:t>
            </w:r>
          </w:p>
        </w:tc>
        <w:tc>
          <w:tcPr>
            <w:tcW w:w="1417" w:type="dxa"/>
          </w:tcPr>
          <w:p w14:paraId="187C86D4"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16S, ITS2, and COI</w:t>
            </w:r>
          </w:p>
        </w:tc>
        <w:tc>
          <w:tcPr>
            <w:tcW w:w="1701" w:type="dxa"/>
          </w:tcPr>
          <w:p w14:paraId="7C4D2D62"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animals and fungi</w:t>
            </w:r>
          </w:p>
        </w:tc>
      </w:tr>
      <w:tr w:rsidR="00EB50F4" w:rsidRPr="00EB50F4" w14:paraId="5293E27B"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3322D9E5"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lastRenderedPageBreak/>
              <w:t xml:space="preserve">[33] Cascading Effects of Moth Outbreaks on Subarctic Soil Food Webs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{"citationID":"deiyJzG2","properties":{"formattedCitation":"(Calder\\uc0\\u243{}n-Sanou {\\i{}et al.} 2021)","plainCitation":"(Calderón-Sanou et al. 2021)","noteIndex":0},"citationItems":[{"id":304,"uris":["http://zotero.org/users/8293222/items/TEIBULZW"],"uri":["http://zotero.org/users/8293222/items/TEIBULZW"],"itemData":{"id":304,"type":"report","abstract":"The increasing severity and frequency of natural disturbances requires a better understanding of their effects on all compartments of biodiversity. In Northern Fennoscandia, recent large-scale moth outbreaks have led to an abrupt change in plant communities from birch forests dominated by dwarf shrubs to grass-dominated systems. However, the indirect effects on the belowground compartment remained unclear. Here, we combined eDNA survey of multiple trophic groups with network analyses to demonstrate that moth defoliation has far-reaching consequences on soil food webs. Following this disturbance, diversity and relative abundance of certain trophic groups declined (e.g. ectomycorrhizal fungi) while many others profited (e.g. bacterivores, omnivores) making soil food webs more diverse and structurally different. Overall, the direct and indirect consequences of moth outbreaks increased belowground diversity at different trophic levels. Our results highlight that a holistic view of ecosystems improves our understanding of cascading effects of major disturbances on soil food webs.","note":"DOI: 10.21203/rs.3.rs-228461/v1\ntype: article","source":"Europe PMC","title":"Cascading Effects of Moth Outbreaks on Subarctic Soil Food Web","URL":"https://doi.org/10.21203/rs.3.rs-228461/v1","author":[{"family":"Calderón-Sanou","given":"Irene"},{"family":"Münkemüller","given":"Tamara"},{"family":"Zinger","given":"Lucie"},{"family":"Schimann","given":"Heidy"},{"family":"Yoccoz","given":"Nigel Gilles"},{"family":"Gielly","given":"Ludovic"},{"family":"Foulquier","given":"Arnaud"},{"family":"Hedde","given":"Mickael"},{"family":"Ohlmann","given":"Marc"},{"family":"Roy","given":"Mélanie"},{"family":"Si-Moussi","given":"Sara"},{"family":"Thuiller","given":"Wilfried"}],"accessed":{"date-parts":[["2021",7,26]]},"issued":{"date-parts":[["2021"]]}}}],"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(Calderón-Sanou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5B0DFE7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15</w:t>
            </w:r>
          </w:p>
        </w:tc>
        <w:tc>
          <w:tcPr>
            <w:tcW w:w="1417" w:type="dxa"/>
          </w:tcPr>
          <w:p w14:paraId="42E7A74B"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+phosphate buffer</w:t>
            </w:r>
          </w:p>
        </w:tc>
        <w:tc>
          <w:tcPr>
            <w:tcW w:w="1417" w:type="dxa"/>
          </w:tcPr>
          <w:p w14:paraId="4C09CB73"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 ITS1,16S</w:t>
            </w:r>
          </w:p>
        </w:tc>
        <w:tc>
          <w:tcPr>
            <w:tcW w:w="1701" w:type="dxa"/>
          </w:tcPr>
          <w:p w14:paraId="2ECEE780"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plants and parasites</w:t>
            </w:r>
          </w:p>
        </w:tc>
      </w:tr>
      <w:tr w:rsidR="00EB50F4" w:rsidRPr="00EB50F4" w14:paraId="04F29911" w14:textId="77777777" w:rsidTr="007412FF">
        <w:tc>
          <w:tcPr>
            <w:cnfStyle w:val="001000000000" w:firstRow="0" w:lastRow="0" w:firstColumn="1" w:lastColumn="0" w:oddVBand="0" w:evenVBand="0" w:oddHBand="0" w:evenHBand="0" w:firstRowFirstColumn="0" w:firstRowLastColumn="0" w:lastRowFirstColumn="0" w:lastRowLastColumn="0"/>
            <w:tcW w:w="5386" w:type="dxa"/>
          </w:tcPr>
          <w:p w14:paraId="0E645F61"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[34] Soil depth matters: shift in composition and inter-kingdom co-occurrence patterns of microorganisms in forest soils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{"citationID":"vVHchwXm","properties":{"formattedCitation":"(Mundra {\\i{}et al.} 2021)","plainCitation":"(Mundra et al. 2021)","noteIndex":0},"citationItems":[{"id":306,"uris":["http://zotero.org/users/8293222/items/UU4T4NNF"],"uri":["http://zotero.org/users/8293222/items/UU4T4NNF"],"itemData":{"id":306,"type":"article-journal","abstract":"Soil depth represents a strong physiochemical gradient that greatly affects soil-dwelling microorganisms. Fungal communities are typically structured by soil depth, but how other microorganisms are structured is less known. Here, we tested whether depth-dependent variation in soil chemistry affects the distribution and co-occurrence patterns of soil microbial communities. This was investigated by DNA metabarcoding in conjunction with network analyses of bacteria, fungi, as well as other micro-eukaryotes, sampled in four different soil depths in Norwegian birch forests. Strong compositional turnover in microbial assemblages with soil depth was detected for all organismal groups. Significantly greater microbial diversity and fungal biomass appeared in the nutrient-rich organic layer, with sharp decrease towards the less nutrient-rich mineral zones. The proportions of copiotrophic bacteria, Arthropoda and Apicomplexa were markedly higher in the organic layer, while patterns were opposite for oligotrophic bacteria, Cercozoa, Ascomycota and ectomycorrhizal fungi. Network analyses indicated more intensive inter-kingdom co-occurrence patterns in the upper mineral layer (0-5 cm) compared to the above organic and the lower mineral soil, signifying substantial influence of soil depth on biotic interactions. This study supports the view that different microbial groups are adapted to different forest soil strata, with varying level of interactions along the depth gradient.","container-title":"FEMS microbiology ecology","DOI":"10.1093/femsec/fiab022","ISSN":"1574-6941","issue":"3","language":"eng","note":"publisher-place: England","source":"otago.com","title":"Soil depth matters: shift in composition and inter-kingdom co-occurrence patterns of microorganisms in forest soils","title-short":"Soil depth matters","volume":"97","author":[{"family":"Mundra","given":"Sunil"},{"family":"Kjønaas","given":"O. Janne"},{"family":"Morgado","given":"Luis N."},{"family":"Krabberød","given":"Anders Kristian"},{"family":"Ransedokken","given":"Yngvild"},{"family":"Kauserud","given":"Håvard"}],"issued":{"date-parts":[["2021"]]}}}],"schema":"https://github.com/citation-style-language/schema/raw/master/csl-citation.json"}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(Mundra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3BABC5C9"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w:t>
            </w:r>
          </w:p>
        </w:tc>
        <w:tc>
          <w:tcPr>
            <w:tcW w:w="1417" w:type="dxa"/>
          </w:tcPr>
          <w:p w14:paraId="47CF76AD"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CTAB</w:t>
            </w:r>
          </w:p>
        </w:tc>
        <w:tc>
          <w:tcPr>
            <w:tcW w:w="1417" w:type="dxa"/>
          </w:tcPr>
          <w:p w14:paraId="7D08AFB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w:t>
            </w:r>
          </w:p>
        </w:tc>
        <w:tc>
          <w:tcPr>
            <w:tcW w:w="1701" w:type="dxa"/>
          </w:tcPr>
          <w:p w14:paraId="51495299"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micro-eukaryotes</w:t>
            </w:r>
          </w:p>
        </w:tc>
      </w:tr>
      <w:tr w:rsidR="00EB50F4" w:rsidRPr="00EB50F4" w14:paraId="650B8B8C" w14:textId="77777777" w:rsidTr="00741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69E6E0B6"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[35] Unearthing the Potential of Soil eDNA metabarcoding – Towards Best Practice Advise for Invertebrate Biodiversity Assessment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{"citationID":"wxgxd50i","properties":{"formattedCitation":"(Kirse {\\i{}et al.} 2021)","plainCitation":"(Kirse et al. 2021)","noteIndex":0},"citationItems":[{"id":113,"uris":["http://zotero.org/users/8293222/items/L8CS8U98"],"uri":["http://zotero.org/users/8293222/items/L8CS8U98"],"itemData":{"id":113,"type":"article-journal","abstract":"Metabarcoding has proven to be a powerful tool to assess ecological patterns and diversity from different habitats. Terrestrial invertebrate diversity is frequently based on bulk samples, which require comparatively high sampling effort. With environmental DNA (eDNA) metabarcoding, field sampling effort can be reduced while increasing the number of recovered organism groups. However, a proof of concept is missing for several invertebrate groups, hampering the development of best-practice advice for these groups. This study aims to provide recommendations on key aspects for the processing of soil samples, from sampling effort to choice of DNA extraction method and marker genes. This study uses eDNA metabarcoding as a tool for assessing invertebrate biodiversity in soil samples, specifically comparing two DNA extraction methods (with and without a lysis step) and two genes, 18S and COI markers. The results show that the choice of marker and DNA extraction method (including a lysis step) significantly affect species detection rates and concomitantly observed invertebrate community composition. Combining methods, by using larger amounts of starting material and including a lysis step resulted in an increase of invertebrate species numbers. Together, these methods improved the detection of species with known lower population densities and allowed the assessment of temporary mesofauna. Furthermore, the choice of marker significantly influenced the diversity levels found. The 18S marker allowed the detection of a higher number of annelid and nematode OTUs, while the COI marker was more suitable for detecting changes in arthropod community structure, especially at the species level. This study makes significant advances to the field of invertebrate biodiversity assessment, particularly using metabarcoding tools by addressing several methodological considerations that are key for accurate ecological appraisals.","container-title":"Frontiers in ecology and evolution","DOI":"10.3389/fevo.2021.630560","ISSN":"2296-701X","language":"eng","note":"publisher: Frontiers Research Foundation","source":"otago.com","title":"Unearthing the potential of soil eDNA metabarcoding—towards best practice advice for invertebrate biodiversity assessment","volume":"9","author":[{"family":"Kirse","given":"Ameli"},{"family":"Bourlat","given":"Sarah J."},{"family":"Langen","given":"Kathrin"},{"family":"Fonseca","given":"Vera G."}],"issued":{"date-parts":[["2021"]]}}}],"schema":"https://github.com/citation-style-language/schema/raw/master/csl-citation.json"}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(Kirse </w:t>
            </w:r>
            <w:r w:rsidRPr="00EB50F4">
              <w:rPr>
                <w:rFonts w:asciiTheme="minorHAnsi" w:hAnsiTheme="minorHAnsi" w:cstheme="minorHAnsi"/>
                <w:i/>
                <w:iCs/>
              </w:rPr>
              <w:t>et al.</w:t>
            </w:r>
            <w:r w:rsidRPr="00EB50F4">
              <w:rPr>
                <w:rFonts w:asciiTheme="minorHAnsi" w:hAnsiTheme="minorHAnsi" w:cstheme="minorHAnsi"/>
              </w:rPr>
              <w:t xml:space="preserve"> 2021)</w:t>
            </w:r>
            <w:r w:rsidRPr="00EB50F4">
              <w:rPr>
                <w:rFonts w:asciiTheme="minorHAnsi" w:hAnsiTheme="minorHAnsi" w:cstheme="minorHAnsi"/>
                <w:lang w:val="en-GB"/>
              </w:rPr>
              <w:fldChar w:fldCharType="end"/>
            </w:r>
          </w:p>
        </w:tc>
        <w:tc>
          <w:tcPr>
            <w:tcW w:w="1417" w:type="dxa"/>
          </w:tcPr>
          <w:p w14:paraId="5947A784"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NA</w:t>
            </w:r>
          </w:p>
        </w:tc>
        <w:tc>
          <w:tcPr>
            <w:tcW w:w="1417" w:type="dxa"/>
          </w:tcPr>
          <w:p w14:paraId="2CF26765"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 xml:space="preserve">+phosphate buffer, and </w:t>
            </w:r>
            <w:proofErr w:type="spellStart"/>
            <w:r w:rsidRPr="00EB50F4">
              <w:rPr>
                <w:rFonts w:asciiTheme="minorHAnsi" w:hAnsiTheme="minorHAnsi" w:cstheme="minorHAnsi"/>
                <w:iCs/>
                <w:color w:val="000000" w:themeColor="text1"/>
                <w:lang w:val="en-GB"/>
              </w:rPr>
              <w:t>NucleoSpin</w:t>
            </w:r>
            <w:proofErr w:type="spellEnd"/>
            <w:r w:rsidRPr="00EB50F4">
              <w:rPr>
                <w:rFonts w:asciiTheme="minorHAnsi" w:hAnsiTheme="minorHAnsi" w:cstheme="minorHAnsi"/>
                <w:iCs/>
                <w:color w:val="000000" w:themeColor="text1"/>
                <w:vertAlign w:val="superscript"/>
                <w:lang w:val="en-GB"/>
              </w:rPr>
              <w:t>®</w:t>
            </w:r>
          </w:p>
        </w:tc>
        <w:tc>
          <w:tcPr>
            <w:tcW w:w="1417" w:type="dxa"/>
          </w:tcPr>
          <w:p w14:paraId="6A754B81"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 and COI</w:t>
            </w:r>
          </w:p>
        </w:tc>
        <w:tc>
          <w:tcPr>
            <w:tcW w:w="1701" w:type="dxa"/>
          </w:tcPr>
          <w:p w14:paraId="30DE8E72" w14:textId="77777777" w:rsidR="00EB50F4" w:rsidRPr="00EB50F4" w:rsidRDefault="00EB50F4" w:rsidP="007412FF">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invertebrates</w:t>
            </w:r>
          </w:p>
        </w:tc>
      </w:tr>
      <w:tr w:rsidR="00EB50F4" w:rsidRPr="00EB50F4" w14:paraId="63CCD152" w14:textId="77777777" w:rsidTr="007412FF">
        <w:tc>
          <w:tcPr>
            <w:cnfStyle w:val="001000000000" w:firstRow="0" w:lastRow="0" w:firstColumn="1" w:lastColumn="0" w:oddVBand="0" w:evenVBand="0" w:oddHBand="0" w:evenHBand="0" w:firstRowFirstColumn="0" w:firstRowLastColumn="0" w:lastRowFirstColumn="0" w:lastRowLastColumn="0"/>
            <w:tcW w:w="5386" w:type="dxa"/>
            <w:tcBorders>
              <w:bottom w:val="single" w:sz="4" w:space="0" w:color="auto"/>
            </w:tcBorders>
          </w:tcPr>
          <w:p w14:paraId="06F5556D" w14:textId="77777777" w:rsidR="00EB50F4" w:rsidRPr="00EB50F4" w:rsidRDefault="00EB50F4" w:rsidP="007412FF">
            <w:pPr>
              <w:spacing w:line="480" w:lineRule="auto"/>
              <w:rPr>
                <w:rFonts w:asciiTheme="minorHAnsi" w:hAnsiTheme="minorHAnsi" w:cstheme="minorHAnsi"/>
                <w:b w:val="0"/>
                <w:bCs w:val="0"/>
                <w:lang w:val="en-GB"/>
              </w:rPr>
            </w:pPr>
            <w:r w:rsidRPr="00EB50F4">
              <w:rPr>
                <w:rFonts w:asciiTheme="minorHAnsi" w:hAnsiTheme="minorHAnsi" w:cstheme="minorHAnsi"/>
                <w:b w:val="0"/>
                <w:bCs w:val="0"/>
                <w:lang w:val="en-GB"/>
              </w:rPr>
              <w:t xml:space="preserve">[36] Impacts of DNA extraction and PCR on DNA metabarcoding estimates of soil biodiversity </w:t>
            </w:r>
            <w:r w:rsidRPr="00EB50F4">
              <w:rPr>
                <w:rFonts w:asciiTheme="minorHAnsi" w:hAnsiTheme="minorHAnsi" w:cstheme="minorHAnsi"/>
                <w:lang w:val="en-GB"/>
              </w:rPr>
              <w:fldChar w:fldCharType="begin"/>
            </w:r>
            <w:r w:rsidRPr="00EB50F4">
              <w:rPr>
                <w:rFonts w:asciiTheme="minorHAnsi" w:hAnsiTheme="minorHAnsi" w:cstheme="minorHAnsi"/>
                <w:b w:val="0"/>
                <w:bCs w:val="0"/>
                <w:lang w:val="en-GB"/>
              </w:rPr>
              <w:instrText xml:space="preserve"> ADDIN ZOTERO_ITEM CSL_CITATION {"citationID":"YWeFEdv5","properties":{"formattedCitation":"(Dopheide {\\i{}et al.} 2019)","plainCitation":"(Dopheide et al. 2019)","noteIndex":0},"citationItems":[{"id":340,"uris":["http://zotero.org/users/8293222/items/ZMHHVPJK"],"uri":["http://zotero.org/users/8293222/items/ZMHHVPJK"],"itemData":{"id":340,"type":"article-journal","abstract":"Soils are ubiquitous and important components of terrestrial ecosystems, richly populated with diverse organisms with important ecological roles. DNA metabarcoding is a promising tool for efficient and taxonomically comprehensive analyses of soil biodiversity, but the outcomes of these analyses are likely affected by basic methodological factors such as sampling and laboratory protocols. We investigated the impacts of DNA extraction methodology and multiple PCRs on DNA metabarcoding biodiversity estimates for multiple taxonomic groups in soil. We applied four DNA extraction methods with different size constraints in parallel to fixed volumes of soil from a pair of forest sites, followed by sets of ten individually indexed PCRs and Illumina sequencing of prokaryote (16S) and eukaryote (18S, fungal 26S, and metazoan cytochrome c oxidase subunit I) barcodes. Methods utilizing larger soil volumes resulted in higher biodiversity estimates for arthropods but not for prokaryotes or microeukaryotes, and improved spatial discrimination of metazoan communities but not prokaryotes. Each DNA extraction method resulted in a biased community composition, and these biases were consistent across sites and amplicons. Some 36%–41% of operational taxonomic units (OTUs) were shared between all four DNA extraction methods and OTUs from many phyla had contrasting abundances from different methods. From 0.2% to 19% of OTUs, accounting for 9.4% to 97% of sequence reads, were amplified in all 10 PCRs from each DNA extraction method and sample. OTUs detected in only a single PCR accounted for 26% to 41% of OTUs but only 0.3% to 2.8% of the sequence reads from each extraction method and sample. The inferred species richness increased strongly with the number of PCRs carried out. We conclude that a consistent DNA extraction method should be used for comparisons between samples, confirm that larger samples of soil (≥15 g) should be used for analyses of metazoan biodiversity than for microbes, and that the number of PCR replicates undertaken strongly affects species richness estimates.","container-title":"Methods in Ecology and Evolution","DOI":"10.1111/2041-210X.13086","ISSN":"2041-210X","issue":"1","language":"en","note":"_eprint: https://besjournals.onlinelibrary.wiley.com/doi/pdf/10.1111/2041-210X.13086","page":"120-133","source":"Wiley Online Library","title":"Impacts of DNA extraction and PCR on DNA metabarcoding estimates of soil biodiversity","volume":"10","author":[{"family":"Dopheide","given":"Andrew"},{"family":"Xie","given":"Dong"},{"family":"Buckley","given":"Thomas R."},{"family":"Drummond","given":"Alexei J."},{"family":"Newcomb","given":"Richard D."}],"issued":{"date-parts":[["2019"]]}}}],"schema":"https://github.com/citation-style-language/schema/raw/master/csl-citation.json"}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(Dopheide </w:t>
            </w:r>
            <w:r w:rsidRPr="00EB50F4">
              <w:rPr>
                <w:rFonts w:asciiTheme="minorHAnsi" w:hAnsiTheme="minorHAnsi" w:cstheme="minorHAnsi"/>
                <w:i/>
                <w:iCs/>
              </w:rPr>
              <w:t>et al.</w:t>
            </w:r>
            <w:r w:rsidRPr="00EB50F4">
              <w:rPr>
                <w:rFonts w:asciiTheme="minorHAnsi" w:hAnsiTheme="minorHAnsi" w:cstheme="minorHAnsi"/>
              </w:rPr>
              <w:t xml:space="preserve"> 2019)</w:t>
            </w:r>
            <w:r w:rsidRPr="00EB50F4">
              <w:rPr>
                <w:rFonts w:asciiTheme="minorHAnsi" w:hAnsiTheme="minorHAnsi" w:cstheme="minorHAnsi"/>
                <w:lang w:val="en-GB"/>
              </w:rPr>
              <w:fldChar w:fldCharType="end"/>
            </w:r>
          </w:p>
        </w:tc>
        <w:tc>
          <w:tcPr>
            <w:tcW w:w="1417" w:type="dxa"/>
            <w:tcBorders>
              <w:bottom w:val="single" w:sz="4" w:space="0" w:color="auto"/>
            </w:tcBorders>
          </w:tcPr>
          <w:p w14:paraId="0CDAE8BA"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 xml:space="preserve">1.5 – 15 </w:t>
            </w:r>
          </w:p>
        </w:tc>
        <w:tc>
          <w:tcPr>
            <w:tcW w:w="1417" w:type="dxa"/>
            <w:tcBorders>
              <w:bottom w:val="single" w:sz="4" w:space="0" w:color="auto"/>
            </w:tcBorders>
          </w:tcPr>
          <w:p w14:paraId="451EEEE7"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lang w:val="en-GB"/>
              </w:rPr>
            </w:pPr>
            <w:proofErr w:type="spellStart"/>
            <w:r w:rsidRPr="00EB50F4">
              <w:rPr>
                <w:rFonts w:asciiTheme="minorHAnsi" w:hAnsiTheme="minorHAnsi" w:cstheme="minorHAnsi"/>
                <w:lang w:val="en-GB"/>
              </w:rPr>
              <w:t>PowerSoil</w:t>
            </w:r>
            <w:proofErr w:type="spellEnd"/>
            <w:r w:rsidRPr="00EB50F4">
              <w:rPr>
                <w:rFonts w:asciiTheme="minorHAnsi" w:hAnsiTheme="minorHAnsi" w:cstheme="minorHAnsi"/>
                <w:iCs/>
                <w:color w:val="000000" w:themeColor="text1"/>
                <w:vertAlign w:val="superscript"/>
                <w:lang w:val="en-GB"/>
              </w:rPr>
              <w:t>®</w:t>
            </w:r>
          </w:p>
          <w:p w14:paraId="4EBFEAC2"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lang w:val="en-GB"/>
              </w:rPr>
            </w:pPr>
            <w:proofErr w:type="spellStart"/>
            <w:r w:rsidRPr="00EB50F4">
              <w:rPr>
                <w:rFonts w:asciiTheme="minorHAnsi" w:hAnsiTheme="minorHAnsi" w:cstheme="minorHAnsi"/>
                <w:iCs/>
                <w:color w:val="000000" w:themeColor="text1"/>
                <w:lang w:val="en-GB"/>
              </w:rPr>
              <w:t>NucleoSpin</w:t>
            </w:r>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lang w:val="en-GB"/>
              </w:rPr>
              <w:t>PowerMax</w:t>
            </w:r>
            <w:proofErr w:type="spellEnd"/>
            <w:r w:rsidRPr="00EB50F4">
              <w:rPr>
                <w:rFonts w:asciiTheme="minorHAnsi" w:hAnsiTheme="minorHAnsi" w:cstheme="minorHAnsi"/>
                <w:iCs/>
                <w:color w:val="000000" w:themeColor="text1"/>
                <w:vertAlign w:val="superscript"/>
                <w:lang w:val="en-GB"/>
              </w:rPr>
              <w:t>®</w:t>
            </w:r>
            <w:r w:rsidRPr="00EB50F4">
              <w:rPr>
                <w:rFonts w:asciiTheme="minorHAnsi" w:hAnsiTheme="minorHAnsi" w:cstheme="minorHAnsi"/>
                <w:iCs/>
                <w:color w:val="000000" w:themeColor="text1"/>
                <w:lang w:val="en-GB"/>
              </w:rPr>
              <w:t>,</w:t>
            </w:r>
          </w:p>
          <w:p w14:paraId="339E0253"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iCs/>
                <w:color w:val="000000" w:themeColor="text1"/>
                <w:lang w:val="en-GB"/>
              </w:rPr>
              <w:t>others</w:t>
            </w:r>
          </w:p>
        </w:tc>
        <w:tc>
          <w:tcPr>
            <w:tcW w:w="1417" w:type="dxa"/>
            <w:tcBorders>
              <w:bottom w:val="single" w:sz="4" w:space="0" w:color="auto"/>
            </w:tcBorders>
          </w:tcPr>
          <w:p w14:paraId="4FCBE891"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18S &amp; COI</w:t>
            </w:r>
          </w:p>
        </w:tc>
        <w:tc>
          <w:tcPr>
            <w:tcW w:w="1701" w:type="dxa"/>
            <w:tcBorders>
              <w:bottom w:val="single" w:sz="4" w:space="0" w:color="auto"/>
            </w:tcBorders>
          </w:tcPr>
          <w:p w14:paraId="5CA5E847" w14:textId="77777777" w:rsidR="00EB50F4" w:rsidRPr="00EB50F4" w:rsidRDefault="00EB50F4" w:rsidP="007412FF">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B50F4">
              <w:rPr>
                <w:rFonts w:asciiTheme="minorHAnsi" w:hAnsiTheme="minorHAnsi" w:cstheme="minorHAnsi"/>
                <w:lang w:val="en-GB"/>
              </w:rPr>
              <w:t>Eukaryota, metazoan</w:t>
            </w:r>
          </w:p>
        </w:tc>
      </w:tr>
    </w:tbl>
    <w:p w14:paraId="1EF99339" w14:textId="77777777" w:rsidR="003C48BC" w:rsidRPr="00EB50F4" w:rsidRDefault="003C48BC" w:rsidP="003C48BC">
      <w:pPr>
        <w:spacing w:line="480" w:lineRule="auto"/>
        <w:rPr>
          <w:rFonts w:asciiTheme="minorHAnsi" w:hAnsiTheme="minorHAnsi" w:cstheme="minorHAnsi"/>
          <w:bCs/>
          <w:lang w:val="en-GB"/>
        </w:rPr>
      </w:pPr>
    </w:p>
    <w:p w14:paraId="2EF04E13" w14:textId="77777777" w:rsidR="003C48BC" w:rsidRDefault="003C48BC" w:rsidP="003C48BC">
      <w:pPr>
        <w:rPr>
          <w:rFonts w:asciiTheme="minorHAnsi" w:hAnsiTheme="minorHAnsi" w:cstheme="minorHAnsi"/>
        </w:rPr>
        <w:sectPr w:rsidR="003C48BC" w:rsidSect="00EB50F4">
          <w:pgSz w:w="16840" w:h="11900" w:orient="landscape"/>
          <w:pgMar w:top="1418" w:right="1701" w:bottom="1418" w:left="1701" w:header="709" w:footer="709" w:gutter="0"/>
          <w:lnNumType w:countBy="1" w:restart="continuous"/>
          <w:cols w:space="708"/>
          <w:docGrid w:linePitch="360"/>
        </w:sectPr>
      </w:pPr>
    </w:p>
    <w:p w14:paraId="0E0BCCA0" w14:textId="2871C070" w:rsidR="003C48BC" w:rsidRPr="00EB50F4" w:rsidRDefault="003C48BC" w:rsidP="003C48BC">
      <w:pPr>
        <w:rPr>
          <w:rFonts w:asciiTheme="minorHAnsi" w:hAnsiTheme="minorHAnsi" w:cstheme="minorHAnsi"/>
        </w:rPr>
      </w:pPr>
      <w:r w:rsidRPr="00EB50F4">
        <w:rPr>
          <w:rFonts w:asciiTheme="minorHAnsi" w:hAnsiTheme="minorHAnsi" w:cstheme="minorHAnsi"/>
          <w:noProof/>
        </w:rPr>
        <w:lastRenderedPageBreak/>
        <w:drawing>
          <wp:inline distT="0" distB="0" distL="0" distR="0" wp14:anchorId="4616AC36" wp14:editId="6ED96B0E">
            <wp:extent cx="5700395" cy="22274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113" r="535" b="28762"/>
                    <a:stretch/>
                  </pic:blipFill>
                  <pic:spPr bwMode="auto">
                    <a:xfrm>
                      <a:off x="0" y="0"/>
                      <a:ext cx="5700914" cy="2227634"/>
                    </a:xfrm>
                    <a:prstGeom prst="rect">
                      <a:avLst/>
                    </a:prstGeom>
                    <a:ln>
                      <a:noFill/>
                    </a:ln>
                    <a:extLst>
                      <a:ext uri="{53640926-AAD7-44D8-BBD7-CCE9431645EC}">
                        <a14:shadowObscured xmlns:a14="http://schemas.microsoft.com/office/drawing/2010/main"/>
                      </a:ext>
                    </a:extLst>
                  </pic:spPr>
                </pic:pic>
              </a:graphicData>
            </a:graphic>
          </wp:inline>
        </w:drawing>
      </w:r>
    </w:p>
    <w:p w14:paraId="75B5C6C0" w14:textId="77777777" w:rsidR="003C48BC" w:rsidRPr="00EB50F4" w:rsidRDefault="003C48BC" w:rsidP="003C48BC">
      <w:pPr>
        <w:rPr>
          <w:rFonts w:asciiTheme="minorHAnsi" w:hAnsiTheme="minorHAnsi" w:cstheme="minorHAnsi"/>
        </w:rPr>
      </w:pPr>
    </w:p>
    <w:p w14:paraId="5996AF88" w14:textId="77777777" w:rsidR="003C48BC" w:rsidRPr="00EB50F4" w:rsidRDefault="003C48BC" w:rsidP="003C48BC">
      <w:pPr>
        <w:rPr>
          <w:rFonts w:asciiTheme="minorHAnsi" w:hAnsiTheme="minorHAnsi" w:cstheme="minorHAnsi"/>
        </w:rPr>
      </w:pPr>
      <w:r w:rsidRPr="00EB50F4">
        <w:rPr>
          <w:rFonts w:asciiTheme="minorHAnsi" w:hAnsiTheme="minorHAnsi" w:cstheme="minorHAnsi"/>
          <w:noProof/>
        </w:rPr>
        <w:drawing>
          <wp:inline distT="0" distB="0" distL="0" distR="0" wp14:anchorId="25ECF751" wp14:editId="0ED8A264">
            <wp:extent cx="5676519" cy="18900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4567" r="943" b="16775"/>
                    <a:stretch/>
                  </pic:blipFill>
                  <pic:spPr bwMode="auto">
                    <a:xfrm>
                      <a:off x="0" y="0"/>
                      <a:ext cx="5677469" cy="1890351"/>
                    </a:xfrm>
                    <a:prstGeom prst="rect">
                      <a:avLst/>
                    </a:prstGeom>
                    <a:ln>
                      <a:noFill/>
                    </a:ln>
                    <a:extLst>
                      <a:ext uri="{53640926-AAD7-44D8-BBD7-CCE9431645EC}">
                        <a14:shadowObscured xmlns:a14="http://schemas.microsoft.com/office/drawing/2010/main"/>
                      </a:ext>
                    </a:extLst>
                  </pic:spPr>
                </pic:pic>
              </a:graphicData>
            </a:graphic>
          </wp:inline>
        </w:drawing>
      </w:r>
    </w:p>
    <w:p w14:paraId="04D8D0F2" w14:textId="77777777" w:rsidR="003C48BC" w:rsidRPr="00EB50F4" w:rsidRDefault="003C48BC" w:rsidP="003C48BC">
      <w:pPr>
        <w:rPr>
          <w:rFonts w:asciiTheme="minorHAnsi" w:hAnsiTheme="minorHAnsi" w:cstheme="minorHAnsi"/>
        </w:rPr>
      </w:pPr>
    </w:p>
    <w:p w14:paraId="0CD493E8" w14:textId="77777777" w:rsidR="003C48BC" w:rsidRPr="00EB50F4" w:rsidRDefault="003C48BC" w:rsidP="003C48BC">
      <w:pPr>
        <w:rPr>
          <w:rFonts w:asciiTheme="minorHAnsi" w:hAnsiTheme="minorHAnsi" w:cstheme="minorHAnsi"/>
        </w:rPr>
      </w:pPr>
      <w:r w:rsidRPr="00EB50F4">
        <w:rPr>
          <w:rFonts w:asciiTheme="minorHAnsi" w:hAnsiTheme="minorHAnsi" w:cstheme="minorHAnsi"/>
          <w:noProof/>
        </w:rPr>
        <w:drawing>
          <wp:inline distT="0" distB="0" distL="0" distR="0" wp14:anchorId="27DA8024" wp14:editId="0472A632">
            <wp:extent cx="5684293" cy="1807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4987" r="772" b="18886"/>
                    <a:stretch/>
                  </pic:blipFill>
                  <pic:spPr bwMode="auto">
                    <a:xfrm>
                      <a:off x="0" y="0"/>
                      <a:ext cx="5687217" cy="1808775"/>
                    </a:xfrm>
                    <a:prstGeom prst="rect">
                      <a:avLst/>
                    </a:prstGeom>
                    <a:ln>
                      <a:noFill/>
                    </a:ln>
                    <a:extLst>
                      <a:ext uri="{53640926-AAD7-44D8-BBD7-CCE9431645EC}">
                        <a14:shadowObscured xmlns:a14="http://schemas.microsoft.com/office/drawing/2010/main"/>
                      </a:ext>
                    </a:extLst>
                  </pic:spPr>
                </pic:pic>
              </a:graphicData>
            </a:graphic>
          </wp:inline>
        </w:drawing>
      </w:r>
    </w:p>
    <w:p w14:paraId="523AE367" w14:textId="77777777" w:rsidR="003C48BC" w:rsidRPr="00EB50F4" w:rsidRDefault="003C48BC" w:rsidP="003C48BC">
      <w:pPr>
        <w:rPr>
          <w:rFonts w:asciiTheme="minorHAnsi" w:hAnsiTheme="minorHAnsi" w:cstheme="minorHAnsi"/>
        </w:rPr>
      </w:pPr>
    </w:p>
    <w:p w14:paraId="3832C222" w14:textId="17F6DBD9" w:rsidR="003C48BC" w:rsidRPr="001D508D" w:rsidRDefault="003C48BC" w:rsidP="003C48BC">
      <w:pPr>
        <w:spacing w:line="480" w:lineRule="auto"/>
        <w:rPr>
          <w:rFonts w:asciiTheme="minorHAnsi" w:hAnsiTheme="minorHAnsi" w:cstheme="minorHAnsi"/>
          <w:bCs/>
          <w:lang w:val="en-GB"/>
        </w:rPr>
      </w:pPr>
      <w:r w:rsidRPr="00EB50F4">
        <w:rPr>
          <w:rFonts w:asciiTheme="minorHAnsi" w:hAnsiTheme="minorHAnsi" w:cstheme="minorHAnsi"/>
          <w:b/>
          <w:lang w:val="en-GB"/>
        </w:rPr>
        <w:t xml:space="preserve">Figure </w:t>
      </w:r>
      <w:r>
        <w:rPr>
          <w:rFonts w:asciiTheme="minorHAnsi" w:hAnsiTheme="minorHAnsi" w:cstheme="minorHAnsi"/>
          <w:b/>
          <w:lang w:val="en-GB"/>
        </w:rPr>
        <w:t>S</w:t>
      </w:r>
      <w:r w:rsidR="00787A4E">
        <w:rPr>
          <w:rFonts w:asciiTheme="minorHAnsi" w:hAnsiTheme="minorHAnsi" w:cstheme="minorHAnsi"/>
          <w:b/>
          <w:lang w:val="en-GB"/>
        </w:rPr>
        <w:t>1</w:t>
      </w:r>
      <w:r w:rsidRPr="00EB50F4">
        <w:rPr>
          <w:rFonts w:asciiTheme="minorHAnsi" w:hAnsiTheme="minorHAnsi" w:cstheme="minorHAnsi"/>
          <w:b/>
          <w:lang w:val="en-GB"/>
        </w:rPr>
        <w:t xml:space="preserve">. </w:t>
      </w:r>
      <w:r w:rsidRPr="00EB50F4">
        <w:rPr>
          <w:rFonts w:asciiTheme="minorHAnsi" w:hAnsiTheme="minorHAnsi" w:cstheme="minorHAnsi"/>
          <w:bCs/>
          <w:lang w:val="en-GB"/>
        </w:rPr>
        <w:t xml:space="preserve">Rarefaction curves for one-step (i.e., A, C, and E) and two-step (B, D, and F) libraries. </w:t>
      </w:r>
    </w:p>
    <w:p w14:paraId="0E4E526B" w14:textId="77777777" w:rsidR="003C48BC" w:rsidRDefault="003C48BC" w:rsidP="003C48BC">
      <w:pPr>
        <w:spacing w:line="480" w:lineRule="auto"/>
        <w:rPr>
          <w:rFonts w:asciiTheme="minorHAnsi" w:hAnsiTheme="minorHAnsi" w:cstheme="minorHAnsi"/>
          <w:b/>
          <w:bCs/>
          <w:color w:val="0E101A"/>
          <w:lang w:val="en-GB"/>
        </w:rPr>
      </w:pPr>
      <w:r w:rsidRPr="00EB50F4">
        <w:rPr>
          <w:rFonts w:asciiTheme="minorHAnsi" w:hAnsiTheme="minorHAnsi" w:cstheme="minorHAnsi"/>
          <w:noProof/>
          <w:lang w:val="en-GB"/>
        </w:rPr>
        <w:lastRenderedPageBreak/>
        <w:drawing>
          <wp:inline distT="0" distB="0" distL="0" distR="0" wp14:anchorId="3D5E79B9" wp14:editId="6C707277">
            <wp:extent cx="5454000" cy="3714123"/>
            <wp:effectExtent l="19050" t="19050" r="1397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12" r="7891" b="-1620"/>
                    <a:stretch/>
                  </pic:blipFill>
                  <pic:spPr bwMode="auto">
                    <a:xfrm>
                      <a:off x="0" y="0"/>
                      <a:ext cx="5454000" cy="371412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DBC91F5" w14:textId="098FB877" w:rsidR="003C48BC" w:rsidRPr="00EB50F4" w:rsidRDefault="003C48BC" w:rsidP="003C48BC">
      <w:pPr>
        <w:spacing w:line="480" w:lineRule="auto"/>
        <w:rPr>
          <w:rFonts w:asciiTheme="minorHAnsi" w:hAnsiTheme="minorHAnsi" w:cstheme="minorHAnsi"/>
          <w:bCs/>
          <w:lang w:val="en-GB"/>
        </w:rPr>
      </w:pPr>
      <w:r w:rsidRPr="00EB50F4">
        <w:rPr>
          <w:rFonts w:asciiTheme="minorHAnsi" w:hAnsiTheme="minorHAnsi" w:cstheme="minorHAnsi"/>
          <w:b/>
          <w:lang w:val="en-GB"/>
        </w:rPr>
        <w:t xml:space="preserve">Figure </w:t>
      </w:r>
      <w:r>
        <w:rPr>
          <w:rFonts w:asciiTheme="minorHAnsi" w:hAnsiTheme="minorHAnsi" w:cstheme="minorHAnsi"/>
          <w:b/>
          <w:lang w:val="en-GB"/>
        </w:rPr>
        <w:t>S</w:t>
      </w:r>
      <w:r w:rsidR="00787A4E">
        <w:rPr>
          <w:rFonts w:asciiTheme="minorHAnsi" w:hAnsiTheme="minorHAnsi" w:cstheme="minorHAnsi"/>
          <w:b/>
          <w:lang w:val="en-GB"/>
        </w:rPr>
        <w:t>2</w:t>
      </w:r>
      <w:r w:rsidRPr="00EB50F4">
        <w:rPr>
          <w:rFonts w:asciiTheme="minorHAnsi" w:hAnsiTheme="minorHAnsi" w:cstheme="minorHAnsi"/>
          <w:b/>
          <w:lang w:val="en-GB"/>
        </w:rPr>
        <w:t xml:space="preserve">. </w:t>
      </w:r>
      <w:r w:rsidRPr="00EB50F4">
        <w:rPr>
          <w:rFonts w:asciiTheme="minorHAnsi" w:hAnsiTheme="minorHAnsi" w:cstheme="minorHAnsi"/>
          <w:bCs/>
          <w:lang w:val="en-GB"/>
        </w:rPr>
        <w:t>Mean of diversity estimates of OTUs assigned per replicate in each of the treatments. Error bars represent the 95% confidence intervals.</w:t>
      </w:r>
    </w:p>
    <w:p w14:paraId="763861F5" w14:textId="77777777" w:rsidR="003C48BC" w:rsidRPr="00EB50F4" w:rsidRDefault="003C48BC" w:rsidP="003C48BC">
      <w:pPr>
        <w:spacing w:line="480" w:lineRule="auto"/>
        <w:rPr>
          <w:rFonts w:asciiTheme="minorHAnsi" w:hAnsiTheme="minorHAnsi" w:cstheme="minorHAnsi"/>
          <w:b/>
          <w:bCs/>
          <w:color w:val="0E101A"/>
          <w:lang w:val="en-GB"/>
        </w:rPr>
      </w:pPr>
    </w:p>
    <w:p w14:paraId="6C12DAE1" w14:textId="77777777" w:rsidR="003C48BC" w:rsidRPr="00EB50F4" w:rsidRDefault="003C48BC" w:rsidP="003C48BC">
      <w:pPr>
        <w:spacing w:line="480" w:lineRule="auto"/>
        <w:rPr>
          <w:rFonts w:asciiTheme="minorHAnsi" w:hAnsiTheme="minorHAnsi" w:cstheme="minorHAnsi"/>
          <w:bCs/>
          <w:lang w:val="en-GB"/>
        </w:rPr>
      </w:pPr>
      <w:r w:rsidRPr="00EB50F4">
        <w:rPr>
          <w:rFonts w:asciiTheme="minorHAnsi" w:hAnsiTheme="minorHAnsi" w:cstheme="minorHAnsi"/>
          <w:bCs/>
          <w:lang w:val="en-GB"/>
        </w:rPr>
        <w:t>Kruskal-Wallis tests for the diversity estimates of the total amount of OTUs were like those of Eukaryota taxa assigned. Between the one-step and two-step approaches no significant differences were found (</w:t>
      </w:r>
      <w:r w:rsidRPr="00EB50F4">
        <w:rPr>
          <w:rFonts w:asciiTheme="minorHAnsi" w:hAnsiTheme="minorHAnsi" w:cstheme="minorHAnsi"/>
          <w:bCs/>
          <w:i/>
          <w:iCs/>
          <w:lang w:val="en-GB"/>
        </w:rPr>
        <w:t>X</w:t>
      </w:r>
      <w:r w:rsidRPr="00EB50F4">
        <w:rPr>
          <w:rFonts w:asciiTheme="minorHAnsi" w:hAnsiTheme="minorHAnsi" w:cstheme="minorHAnsi"/>
          <w:bCs/>
          <w:i/>
          <w:iCs/>
          <w:vertAlign w:val="superscript"/>
          <w:lang w:val="en-GB"/>
        </w:rPr>
        <w:t>2</w:t>
      </w:r>
      <w:r w:rsidRPr="00EB50F4">
        <w:rPr>
          <w:rFonts w:asciiTheme="minorHAnsi" w:hAnsiTheme="minorHAnsi" w:cstheme="minorHAnsi"/>
          <w:bCs/>
          <w:vertAlign w:val="superscript"/>
          <w:lang w:val="en-GB"/>
        </w:rPr>
        <w:t xml:space="preserve"> </w:t>
      </w:r>
      <w:r w:rsidRPr="00EB50F4">
        <w:rPr>
          <w:rFonts w:asciiTheme="minorHAnsi" w:hAnsiTheme="minorHAnsi" w:cstheme="minorHAnsi"/>
          <w:bCs/>
          <w:lang w:val="en-GB"/>
        </w:rPr>
        <w:t>(3,</w:t>
      </w:r>
      <w:r w:rsidRPr="00EB50F4">
        <w:rPr>
          <w:rFonts w:asciiTheme="minorHAnsi" w:hAnsiTheme="minorHAnsi" w:cstheme="minorHAnsi"/>
          <w:bCs/>
          <w:i/>
          <w:iCs/>
          <w:lang w:val="en-GB"/>
        </w:rPr>
        <w:t xml:space="preserve"> N</w:t>
      </w:r>
      <w:r w:rsidRPr="00EB50F4">
        <w:rPr>
          <w:rFonts w:asciiTheme="minorHAnsi" w:hAnsiTheme="minorHAnsi" w:cstheme="minorHAnsi"/>
          <w:bCs/>
          <w:lang w:val="en-GB"/>
        </w:rPr>
        <w:t xml:space="preserve"> = 88) = 1.26, </w:t>
      </w:r>
      <w:r w:rsidRPr="00EB50F4">
        <w:rPr>
          <w:rFonts w:asciiTheme="minorHAnsi" w:hAnsiTheme="minorHAnsi" w:cstheme="minorHAnsi"/>
          <w:bCs/>
          <w:i/>
          <w:iCs/>
          <w:lang w:val="en-GB"/>
        </w:rPr>
        <w:t>p</w:t>
      </w:r>
      <w:r w:rsidRPr="00EB50F4">
        <w:rPr>
          <w:rFonts w:asciiTheme="minorHAnsi" w:hAnsiTheme="minorHAnsi" w:cstheme="minorHAnsi"/>
          <w:bCs/>
          <w:lang w:val="en-GB"/>
        </w:rPr>
        <w:t xml:space="preserve"> = 0.26); in average, 313.5 </w:t>
      </w:r>
      <w:r w:rsidRPr="00EB50F4">
        <w:rPr>
          <w:rFonts w:asciiTheme="minorHAnsi" w:hAnsiTheme="minorHAnsi" w:cstheme="minorHAnsi"/>
          <w:bCs/>
          <w:lang w:val="en-GB"/>
        </w:rPr>
        <w:sym w:font="Symbol" w:char="F0B1"/>
      </w:r>
      <w:r w:rsidRPr="00EB50F4">
        <w:rPr>
          <w:rFonts w:asciiTheme="minorHAnsi" w:hAnsiTheme="minorHAnsi" w:cstheme="minorHAnsi"/>
          <w:bCs/>
          <w:lang w:val="en-GB"/>
        </w:rPr>
        <w:t xml:space="preserve"> 57.52 and 337.65 </w:t>
      </w:r>
      <w:r w:rsidRPr="00EB50F4">
        <w:rPr>
          <w:rFonts w:asciiTheme="minorHAnsi" w:hAnsiTheme="minorHAnsi" w:cstheme="minorHAnsi"/>
          <w:bCs/>
          <w:lang w:val="en-GB"/>
        </w:rPr>
        <w:sym w:font="Symbol" w:char="F0B1"/>
      </w:r>
      <w:r w:rsidRPr="00EB50F4">
        <w:rPr>
          <w:rFonts w:asciiTheme="minorHAnsi" w:hAnsiTheme="minorHAnsi" w:cstheme="minorHAnsi"/>
          <w:bCs/>
          <w:lang w:val="en-GB"/>
        </w:rPr>
        <w:t xml:space="preserve"> 46.73 OTUs were matched in GenBank, for the one-step and two-step approaches respectively. Also, there were no significant differences between individual and combined sampling processing treatments in both qPCR treatments (</w:t>
      </w:r>
      <w:r w:rsidRPr="00EB50F4">
        <w:rPr>
          <w:rFonts w:asciiTheme="minorHAnsi" w:hAnsiTheme="minorHAnsi" w:cstheme="minorHAnsi"/>
          <w:bCs/>
          <w:i/>
          <w:iCs/>
          <w:lang w:val="en-GB"/>
        </w:rPr>
        <w:t>X</w:t>
      </w:r>
      <w:r w:rsidRPr="00EB50F4">
        <w:rPr>
          <w:rFonts w:asciiTheme="minorHAnsi" w:hAnsiTheme="minorHAnsi" w:cstheme="minorHAnsi"/>
          <w:bCs/>
          <w:i/>
          <w:iCs/>
          <w:vertAlign w:val="superscript"/>
          <w:lang w:val="en-GB"/>
        </w:rPr>
        <w:t>2</w:t>
      </w:r>
      <w:r w:rsidRPr="00EB50F4">
        <w:rPr>
          <w:rFonts w:asciiTheme="minorHAnsi" w:hAnsiTheme="minorHAnsi" w:cstheme="minorHAnsi"/>
          <w:bCs/>
          <w:vertAlign w:val="superscript"/>
          <w:lang w:val="en-GB"/>
        </w:rPr>
        <w:t xml:space="preserve"> </w:t>
      </w:r>
      <w:r w:rsidRPr="00EB50F4">
        <w:rPr>
          <w:rFonts w:asciiTheme="minorHAnsi" w:hAnsiTheme="minorHAnsi" w:cstheme="minorHAnsi"/>
          <w:bCs/>
          <w:lang w:val="en-GB"/>
        </w:rPr>
        <w:t>(1,</w:t>
      </w:r>
      <w:r w:rsidRPr="00EB50F4">
        <w:rPr>
          <w:rFonts w:asciiTheme="minorHAnsi" w:hAnsiTheme="minorHAnsi" w:cstheme="minorHAnsi"/>
          <w:bCs/>
          <w:i/>
          <w:iCs/>
          <w:lang w:val="en-GB"/>
        </w:rPr>
        <w:t xml:space="preserve"> N</w:t>
      </w:r>
      <w:r w:rsidRPr="00EB50F4">
        <w:rPr>
          <w:rFonts w:asciiTheme="minorHAnsi" w:hAnsiTheme="minorHAnsi" w:cstheme="minorHAnsi"/>
          <w:bCs/>
          <w:lang w:val="en-GB"/>
        </w:rPr>
        <w:t xml:space="preserve"> = 88) = 0.15, </w:t>
      </w:r>
      <w:r w:rsidRPr="00EB50F4">
        <w:rPr>
          <w:rFonts w:asciiTheme="minorHAnsi" w:hAnsiTheme="minorHAnsi" w:cstheme="minorHAnsi"/>
          <w:bCs/>
          <w:i/>
          <w:iCs/>
          <w:lang w:val="en-GB"/>
        </w:rPr>
        <w:t>p</w:t>
      </w:r>
      <w:r w:rsidRPr="00EB50F4">
        <w:rPr>
          <w:rFonts w:asciiTheme="minorHAnsi" w:hAnsiTheme="minorHAnsi" w:cstheme="minorHAnsi"/>
          <w:bCs/>
          <w:lang w:val="en-GB"/>
        </w:rPr>
        <w:t xml:space="preserve"> = 0.7); individual and combined samples showed in average 304.218 </w:t>
      </w:r>
      <w:r w:rsidRPr="00EB50F4">
        <w:rPr>
          <w:rFonts w:asciiTheme="minorHAnsi" w:hAnsiTheme="minorHAnsi" w:cstheme="minorHAnsi"/>
          <w:bCs/>
          <w:lang w:val="en-GB"/>
        </w:rPr>
        <w:sym w:font="Symbol" w:char="F0B1"/>
      </w:r>
      <w:r w:rsidRPr="00EB50F4">
        <w:rPr>
          <w:rFonts w:asciiTheme="minorHAnsi" w:hAnsiTheme="minorHAnsi" w:cstheme="minorHAnsi"/>
          <w:bCs/>
          <w:lang w:val="en-GB"/>
        </w:rPr>
        <w:t xml:space="preserve"> 67.847 and 338.333 </w:t>
      </w:r>
      <w:r w:rsidRPr="00EB50F4">
        <w:rPr>
          <w:rFonts w:asciiTheme="minorHAnsi" w:hAnsiTheme="minorHAnsi" w:cstheme="minorHAnsi"/>
          <w:bCs/>
          <w:lang w:val="en-GB"/>
        </w:rPr>
        <w:sym w:font="Symbol" w:char="F0B1"/>
      </w:r>
      <w:r w:rsidRPr="00EB50F4">
        <w:rPr>
          <w:rFonts w:asciiTheme="minorHAnsi" w:hAnsiTheme="minorHAnsi" w:cstheme="minorHAnsi"/>
          <w:bCs/>
          <w:lang w:val="en-GB"/>
        </w:rPr>
        <w:t xml:space="preserve"> 125.826 number of OTUs, respectively, for the one-step qPCR and 332.343 </w:t>
      </w:r>
      <w:r w:rsidRPr="00EB50F4">
        <w:rPr>
          <w:rFonts w:asciiTheme="minorHAnsi" w:hAnsiTheme="minorHAnsi" w:cstheme="minorHAnsi"/>
          <w:bCs/>
          <w:lang w:val="en-GB"/>
        </w:rPr>
        <w:sym w:font="Symbol" w:char="F0B1"/>
      </w:r>
      <w:r w:rsidRPr="00EB50F4">
        <w:rPr>
          <w:rFonts w:asciiTheme="minorHAnsi" w:hAnsiTheme="minorHAnsi" w:cstheme="minorHAnsi"/>
          <w:bCs/>
          <w:lang w:val="en-GB"/>
        </w:rPr>
        <w:t xml:space="preserve"> 48.461 and 351.833 </w:t>
      </w:r>
      <w:r w:rsidRPr="00EB50F4">
        <w:rPr>
          <w:rFonts w:asciiTheme="minorHAnsi" w:hAnsiTheme="minorHAnsi" w:cstheme="minorHAnsi"/>
          <w:bCs/>
          <w:lang w:val="en-GB"/>
        </w:rPr>
        <w:sym w:font="Symbol" w:char="F0B1"/>
      </w:r>
      <w:r w:rsidRPr="00EB50F4">
        <w:rPr>
          <w:rFonts w:asciiTheme="minorHAnsi" w:hAnsiTheme="minorHAnsi" w:cstheme="minorHAnsi"/>
          <w:bCs/>
          <w:lang w:val="en-GB"/>
        </w:rPr>
        <w:t xml:space="preserve"> 128.837 for the two-step qPCR approach. In the case of DNA extraction protocols, </w:t>
      </w:r>
      <w:r w:rsidRPr="00EB50F4">
        <w:rPr>
          <w:rFonts w:asciiTheme="minorHAnsi" w:hAnsiTheme="minorHAnsi" w:cstheme="minorHAnsi"/>
          <w:bCs/>
          <w:lang w:val="en-GB"/>
        </w:rPr>
        <w:lastRenderedPageBreak/>
        <w:t>significant differences (</w:t>
      </w:r>
      <w:r w:rsidRPr="00EB50F4">
        <w:rPr>
          <w:rFonts w:asciiTheme="minorHAnsi" w:hAnsiTheme="minorHAnsi" w:cstheme="minorHAnsi"/>
          <w:bCs/>
          <w:i/>
          <w:iCs/>
          <w:lang w:val="en-GB"/>
        </w:rPr>
        <w:t>X</w:t>
      </w:r>
      <w:r w:rsidRPr="00EB50F4">
        <w:rPr>
          <w:rFonts w:asciiTheme="minorHAnsi" w:hAnsiTheme="minorHAnsi" w:cstheme="minorHAnsi"/>
          <w:bCs/>
          <w:i/>
          <w:iCs/>
          <w:vertAlign w:val="superscript"/>
          <w:lang w:val="en-GB"/>
        </w:rPr>
        <w:t>2</w:t>
      </w:r>
      <w:r w:rsidRPr="00EB50F4">
        <w:rPr>
          <w:rFonts w:asciiTheme="minorHAnsi" w:hAnsiTheme="minorHAnsi" w:cstheme="minorHAnsi"/>
          <w:bCs/>
          <w:vertAlign w:val="superscript"/>
          <w:lang w:val="en-GB"/>
        </w:rPr>
        <w:t xml:space="preserve"> </w:t>
      </w:r>
      <w:r w:rsidRPr="00EB50F4">
        <w:rPr>
          <w:rFonts w:asciiTheme="minorHAnsi" w:hAnsiTheme="minorHAnsi" w:cstheme="minorHAnsi"/>
          <w:bCs/>
          <w:lang w:val="en-GB"/>
        </w:rPr>
        <w:t>(3,</w:t>
      </w:r>
      <w:r w:rsidRPr="00EB50F4">
        <w:rPr>
          <w:rFonts w:asciiTheme="minorHAnsi" w:hAnsiTheme="minorHAnsi" w:cstheme="minorHAnsi"/>
          <w:bCs/>
          <w:i/>
          <w:iCs/>
          <w:lang w:val="en-GB"/>
        </w:rPr>
        <w:t xml:space="preserve"> N</w:t>
      </w:r>
      <w:r w:rsidRPr="00EB50F4">
        <w:rPr>
          <w:rFonts w:asciiTheme="minorHAnsi" w:hAnsiTheme="minorHAnsi" w:cstheme="minorHAnsi"/>
          <w:bCs/>
          <w:lang w:val="en-GB"/>
        </w:rPr>
        <w:t xml:space="preserve"> = 88) = 25.81, </w:t>
      </w:r>
      <w:r w:rsidRPr="00EB50F4">
        <w:rPr>
          <w:rFonts w:asciiTheme="minorHAnsi" w:hAnsiTheme="minorHAnsi" w:cstheme="minorHAnsi"/>
          <w:bCs/>
          <w:i/>
          <w:iCs/>
          <w:lang w:val="en-GB"/>
        </w:rPr>
        <w:t>p</w:t>
      </w:r>
      <w:r w:rsidRPr="00EB50F4">
        <w:rPr>
          <w:rFonts w:asciiTheme="minorHAnsi" w:hAnsiTheme="minorHAnsi" w:cstheme="minorHAnsi"/>
          <w:bCs/>
          <w:lang w:val="en-GB"/>
        </w:rPr>
        <w:t xml:space="preserve"> &lt; 0.001) were found among the four treatments, for both the one- and two-step qPCR, driven mainly by the significant differences of the </w:t>
      </w:r>
      <w:proofErr w:type="spellStart"/>
      <w:r w:rsidRPr="00EB50F4">
        <w:rPr>
          <w:rFonts w:asciiTheme="minorHAnsi" w:hAnsiTheme="minorHAnsi" w:cstheme="minorHAnsi"/>
          <w:bCs/>
          <w:lang w:val="en-GB"/>
        </w:rPr>
        <w:t>NucleoSpin</w:t>
      </w:r>
      <w:proofErr w:type="spellEnd"/>
      <w:r w:rsidRPr="00EB50F4">
        <w:rPr>
          <w:rFonts w:asciiTheme="minorHAnsi" w:hAnsiTheme="minorHAnsi" w:cstheme="minorHAnsi"/>
          <w:bCs/>
          <w:lang w:val="en-GB"/>
        </w:rPr>
        <w:t xml:space="preserve"> protocol against the other three extraction protocols.</w:t>
      </w:r>
    </w:p>
    <w:p w14:paraId="2A63D2B7" w14:textId="77777777" w:rsidR="003C48BC" w:rsidRPr="00EB50F4" w:rsidRDefault="003C48BC" w:rsidP="003C48BC">
      <w:pPr>
        <w:spacing w:line="480" w:lineRule="auto"/>
        <w:rPr>
          <w:rFonts w:asciiTheme="minorHAnsi" w:hAnsiTheme="minorHAnsi" w:cstheme="minorHAnsi"/>
          <w:lang w:val="en-GB"/>
        </w:rPr>
      </w:pPr>
    </w:p>
    <w:p w14:paraId="52977C63" w14:textId="77777777" w:rsidR="003C48BC" w:rsidRDefault="003C48BC" w:rsidP="003C48BC">
      <w:pPr>
        <w:spacing w:line="480" w:lineRule="auto"/>
        <w:rPr>
          <w:rFonts w:asciiTheme="minorHAnsi" w:hAnsiTheme="minorHAnsi" w:cstheme="minorHAnsi"/>
          <w:lang w:val="en-GB"/>
        </w:rPr>
      </w:pPr>
      <w:r w:rsidRPr="00EB50F4">
        <w:rPr>
          <w:rFonts w:asciiTheme="minorHAnsi" w:hAnsiTheme="minorHAnsi" w:cstheme="minorHAnsi"/>
          <w:noProof/>
          <w:lang w:val="en-GB"/>
        </w:rPr>
        <w:drawing>
          <wp:inline distT="0" distB="0" distL="0" distR="0" wp14:anchorId="30E42B47" wp14:editId="3C5D19EF">
            <wp:extent cx="4545389" cy="28800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96" t="16842" r="65072" b="38180"/>
                    <a:stretch/>
                  </pic:blipFill>
                  <pic:spPr bwMode="auto">
                    <a:xfrm>
                      <a:off x="0" y="0"/>
                      <a:ext cx="4545389" cy="2880000"/>
                    </a:xfrm>
                    <a:prstGeom prst="rect">
                      <a:avLst/>
                    </a:prstGeom>
                    <a:ln>
                      <a:noFill/>
                    </a:ln>
                    <a:extLst>
                      <a:ext uri="{53640926-AAD7-44D8-BBD7-CCE9431645EC}">
                        <a14:shadowObscured xmlns:a14="http://schemas.microsoft.com/office/drawing/2010/main"/>
                      </a:ext>
                    </a:extLst>
                  </pic:spPr>
                </pic:pic>
              </a:graphicData>
            </a:graphic>
          </wp:inline>
        </w:drawing>
      </w:r>
    </w:p>
    <w:p w14:paraId="188BCDDD" w14:textId="2500712C" w:rsidR="003C48BC" w:rsidRPr="00EB50F4" w:rsidRDefault="003C48BC" w:rsidP="003C48BC">
      <w:pPr>
        <w:spacing w:line="480" w:lineRule="auto"/>
        <w:rPr>
          <w:rFonts w:asciiTheme="minorHAnsi" w:hAnsiTheme="minorHAnsi" w:cstheme="minorHAnsi"/>
          <w:bCs/>
          <w:lang w:val="en-GB"/>
        </w:rPr>
      </w:pPr>
      <w:r w:rsidRPr="00EB50F4">
        <w:rPr>
          <w:rFonts w:asciiTheme="minorHAnsi" w:hAnsiTheme="minorHAnsi" w:cstheme="minorHAnsi"/>
          <w:b/>
          <w:lang w:val="en-GB"/>
        </w:rPr>
        <w:t xml:space="preserve">Figure </w:t>
      </w:r>
      <w:r>
        <w:rPr>
          <w:rFonts w:asciiTheme="minorHAnsi" w:hAnsiTheme="minorHAnsi" w:cstheme="minorHAnsi"/>
          <w:b/>
          <w:lang w:val="en-GB"/>
        </w:rPr>
        <w:t>S</w:t>
      </w:r>
      <w:r w:rsidR="00787A4E">
        <w:rPr>
          <w:rFonts w:asciiTheme="minorHAnsi" w:hAnsiTheme="minorHAnsi" w:cstheme="minorHAnsi"/>
          <w:b/>
          <w:lang w:val="en-GB"/>
        </w:rPr>
        <w:t>3</w:t>
      </w:r>
      <w:r w:rsidRPr="00EB50F4">
        <w:rPr>
          <w:rFonts w:asciiTheme="minorHAnsi" w:hAnsiTheme="minorHAnsi" w:cstheme="minorHAnsi"/>
          <w:bCs/>
          <w:lang w:val="en-GB"/>
        </w:rPr>
        <w:t xml:space="preserve">. Principal Coordinates </w:t>
      </w:r>
      <w:r w:rsidR="00AC09C0">
        <w:rPr>
          <w:rFonts w:asciiTheme="minorHAnsi" w:hAnsiTheme="minorHAnsi" w:cstheme="minorHAnsi"/>
          <w:bCs/>
          <w:lang w:val="en-GB"/>
        </w:rPr>
        <w:t>A</w:t>
      </w:r>
      <w:r w:rsidRPr="00EB50F4">
        <w:rPr>
          <w:rFonts w:asciiTheme="minorHAnsi" w:hAnsiTheme="minorHAnsi" w:cstheme="minorHAnsi"/>
          <w:bCs/>
          <w:lang w:val="en-GB"/>
        </w:rPr>
        <w:t>nalysis (</w:t>
      </w:r>
      <w:proofErr w:type="spellStart"/>
      <w:r w:rsidRPr="00EB50F4">
        <w:rPr>
          <w:rFonts w:asciiTheme="minorHAnsi" w:hAnsiTheme="minorHAnsi" w:cstheme="minorHAnsi"/>
          <w:bCs/>
          <w:lang w:val="en-GB"/>
        </w:rPr>
        <w:t>PCoA</w:t>
      </w:r>
      <w:proofErr w:type="spellEnd"/>
      <w:r w:rsidRPr="00EB50F4">
        <w:rPr>
          <w:rFonts w:asciiTheme="minorHAnsi" w:hAnsiTheme="minorHAnsi" w:cstheme="minorHAnsi"/>
          <w:bCs/>
          <w:lang w:val="en-GB"/>
        </w:rPr>
        <w:t xml:space="preserve">; Jaccard) of presence/absence of total OTUs of one-step and two-step sequencing libraries using </w:t>
      </w:r>
      <w:r w:rsidR="00AC09C0">
        <w:rPr>
          <w:rFonts w:asciiTheme="minorHAnsi" w:hAnsiTheme="minorHAnsi" w:cstheme="minorHAnsi"/>
          <w:bCs/>
          <w:lang w:val="en-GB"/>
        </w:rPr>
        <w:t xml:space="preserve">the </w:t>
      </w:r>
      <w:r w:rsidRPr="00EB50F4">
        <w:rPr>
          <w:rFonts w:asciiTheme="minorHAnsi" w:hAnsiTheme="minorHAnsi" w:cstheme="minorHAnsi"/>
          <w:bCs/>
          <w:lang w:val="en-GB"/>
        </w:rPr>
        <w:t>Jaccard similarity index method. Sample processing and DNA extraction protocol samples are represented by shapes and colo</w:t>
      </w:r>
      <w:r w:rsidR="00AC09C0">
        <w:rPr>
          <w:rFonts w:asciiTheme="minorHAnsi" w:hAnsiTheme="minorHAnsi" w:cstheme="minorHAnsi"/>
          <w:bCs/>
          <w:lang w:val="en-GB"/>
        </w:rPr>
        <w:t>u</w:t>
      </w:r>
      <w:r w:rsidRPr="00EB50F4">
        <w:rPr>
          <w:rFonts w:asciiTheme="minorHAnsi" w:hAnsiTheme="minorHAnsi" w:cstheme="minorHAnsi"/>
          <w:bCs/>
          <w:lang w:val="en-GB"/>
        </w:rPr>
        <w:t xml:space="preserve">rs, respectively. Ellipses represent 95% confidence intervals for qPCR extraction methods. Scree plot shows eigenvalues which are the percentage of variation explained per dimension (axis).  </w:t>
      </w:r>
    </w:p>
    <w:p w14:paraId="46656057" w14:textId="77777777" w:rsidR="003C48BC" w:rsidRPr="00EB50F4" w:rsidRDefault="003C48BC" w:rsidP="003C48BC">
      <w:pPr>
        <w:spacing w:line="480" w:lineRule="auto"/>
        <w:rPr>
          <w:rFonts w:asciiTheme="minorHAnsi" w:hAnsiTheme="minorHAnsi" w:cstheme="minorHAnsi"/>
          <w:bCs/>
          <w:lang w:val="en-GB"/>
        </w:rPr>
      </w:pPr>
    </w:p>
    <w:p w14:paraId="3A2DC744" w14:textId="77777777" w:rsidR="003C48BC" w:rsidRPr="00EB50F4" w:rsidRDefault="003C48BC" w:rsidP="003C48BC">
      <w:pPr>
        <w:spacing w:line="480" w:lineRule="auto"/>
        <w:rPr>
          <w:rFonts w:asciiTheme="minorHAnsi" w:hAnsiTheme="minorHAnsi" w:cstheme="minorHAnsi"/>
          <w:lang w:val="en-GB"/>
        </w:rPr>
      </w:pPr>
      <w:r w:rsidRPr="00EB50F4">
        <w:rPr>
          <w:rFonts w:asciiTheme="minorHAnsi" w:hAnsiTheme="minorHAnsi" w:cstheme="minorHAnsi"/>
          <w:bCs/>
          <w:lang w:val="en-GB"/>
        </w:rPr>
        <w:t>In the case of the total OTUs found, principal coordinates analysis (</w:t>
      </w:r>
      <w:proofErr w:type="spellStart"/>
      <w:r w:rsidRPr="00EB50F4">
        <w:rPr>
          <w:rFonts w:asciiTheme="minorHAnsi" w:hAnsiTheme="minorHAnsi" w:cstheme="minorHAnsi"/>
          <w:bCs/>
          <w:lang w:val="en-GB"/>
        </w:rPr>
        <w:t>suplementary</w:t>
      </w:r>
      <w:proofErr w:type="spellEnd"/>
      <w:r w:rsidRPr="00EB50F4">
        <w:rPr>
          <w:rFonts w:asciiTheme="minorHAnsi" w:hAnsiTheme="minorHAnsi" w:cstheme="minorHAnsi"/>
          <w:bCs/>
          <w:lang w:val="en-GB"/>
        </w:rPr>
        <w:t xml:space="preserve"> material) showed distinct dissimilarity between qPCR library approaches, </w:t>
      </w:r>
      <w:proofErr w:type="gramStart"/>
      <w:r w:rsidRPr="00EB50F4">
        <w:rPr>
          <w:rFonts w:asciiTheme="minorHAnsi" w:hAnsiTheme="minorHAnsi" w:cstheme="minorHAnsi"/>
          <w:lang w:val="en-GB"/>
        </w:rPr>
        <w:t>PERMANOVA :</w:t>
      </w:r>
      <w:proofErr w:type="gramEnd"/>
      <w:r w:rsidRPr="00EB50F4">
        <w:rPr>
          <w:rFonts w:asciiTheme="minorHAnsi" w:hAnsiTheme="minorHAnsi" w:cstheme="minorHAnsi"/>
          <w:lang w:val="en-GB"/>
        </w:rPr>
        <w:t xml:space="preserve"> </w:t>
      </w:r>
      <w:r w:rsidRPr="00EB50F4">
        <w:rPr>
          <w:rFonts w:asciiTheme="minorHAnsi" w:hAnsiTheme="minorHAnsi" w:cstheme="minorHAnsi"/>
          <w:i/>
          <w:iCs/>
          <w:lang w:val="en-GB"/>
        </w:rPr>
        <w:t>F</w:t>
      </w:r>
      <w:r w:rsidRPr="00EB50F4">
        <w:rPr>
          <w:rFonts w:asciiTheme="minorHAnsi" w:hAnsiTheme="minorHAnsi" w:cstheme="minorHAnsi"/>
          <w:vertAlign w:val="subscript"/>
          <w:lang w:val="en-GB"/>
        </w:rPr>
        <w:t>1,82</w:t>
      </w:r>
      <w:r w:rsidRPr="00EB50F4">
        <w:rPr>
          <w:rFonts w:asciiTheme="minorHAnsi" w:hAnsiTheme="minorHAnsi" w:cstheme="minorHAnsi"/>
          <w:lang w:val="en-GB"/>
        </w:rPr>
        <w:t xml:space="preserve"> = 6.62, </w:t>
      </w:r>
      <w:r w:rsidRPr="00EB50F4">
        <w:rPr>
          <w:rFonts w:asciiTheme="minorHAnsi" w:hAnsiTheme="minorHAnsi" w:cstheme="minorHAnsi"/>
          <w:i/>
          <w:iCs/>
          <w:lang w:val="en-GB"/>
        </w:rPr>
        <w:t xml:space="preserve">p </w:t>
      </w:r>
      <w:r w:rsidRPr="00EB50F4">
        <w:rPr>
          <w:rFonts w:asciiTheme="minorHAnsi" w:hAnsiTheme="minorHAnsi" w:cstheme="minorHAnsi"/>
          <w:lang w:val="en-GB"/>
        </w:rPr>
        <w:t>&lt; 0.001).</w:t>
      </w:r>
      <w:r w:rsidRPr="00EB50F4">
        <w:rPr>
          <w:rFonts w:asciiTheme="minorHAnsi" w:hAnsiTheme="minorHAnsi" w:cstheme="minorHAnsi"/>
          <w:bCs/>
          <w:lang w:val="en-GB"/>
        </w:rPr>
        <w:t xml:space="preserve"> The two-step approach cluster showed more similarity among treatments. The PS and </w:t>
      </w:r>
      <w:proofErr w:type="spellStart"/>
      <w:r w:rsidRPr="00EB50F4">
        <w:rPr>
          <w:rFonts w:asciiTheme="minorHAnsi" w:hAnsiTheme="minorHAnsi" w:cstheme="minorHAnsi"/>
          <w:bCs/>
          <w:lang w:val="en-GB"/>
        </w:rPr>
        <w:t>PS+buffer</w:t>
      </w:r>
      <w:proofErr w:type="spellEnd"/>
      <w:r w:rsidRPr="00EB50F4">
        <w:rPr>
          <w:rFonts w:asciiTheme="minorHAnsi" w:hAnsiTheme="minorHAnsi" w:cstheme="minorHAnsi"/>
          <w:bCs/>
          <w:lang w:val="en-GB"/>
        </w:rPr>
        <w:t xml:space="preserve"> extraction methods</w:t>
      </w:r>
      <w:r w:rsidRPr="00EB50F4">
        <w:rPr>
          <w:rFonts w:asciiTheme="minorHAnsi" w:hAnsiTheme="minorHAnsi" w:cstheme="minorHAnsi"/>
          <w:lang w:val="en-GB"/>
        </w:rPr>
        <w:t xml:space="preserve"> of the one-step approach showed a separate cluster from </w:t>
      </w:r>
      <w:r w:rsidRPr="00EB50F4">
        <w:rPr>
          <w:rFonts w:asciiTheme="minorHAnsi" w:hAnsiTheme="minorHAnsi" w:cstheme="minorHAnsi"/>
          <w:lang w:val="en-GB"/>
        </w:rPr>
        <w:lastRenderedPageBreak/>
        <w:t xml:space="preserve">the NS and </w:t>
      </w:r>
      <w:proofErr w:type="spellStart"/>
      <w:r w:rsidRPr="00EB50F4">
        <w:rPr>
          <w:rFonts w:asciiTheme="minorHAnsi" w:hAnsiTheme="minorHAnsi" w:cstheme="minorHAnsi"/>
          <w:lang w:val="en-GB"/>
        </w:rPr>
        <w:t>NS+buffer</w:t>
      </w:r>
      <w:proofErr w:type="spellEnd"/>
      <w:r w:rsidRPr="00EB50F4">
        <w:rPr>
          <w:rFonts w:asciiTheme="minorHAnsi" w:hAnsiTheme="minorHAnsi" w:cstheme="minorHAnsi"/>
          <w:lang w:val="en-GB"/>
        </w:rPr>
        <w:t xml:space="preserve"> extraction methods. PERMANOVA results showed significant differences (</w:t>
      </w:r>
      <w:r w:rsidRPr="00EB50F4">
        <w:rPr>
          <w:rFonts w:asciiTheme="minorHAnsi" w:hAnsiTheme="minorHAnsi" w:cstheme="minorHAnsi"/>
          <w:i/>
          <w:iCs/>
          <w:lang w:val="en-GB"/>
        </w:rPr>
        <w:t>F</w:t>
      </w:r>
      <w:r w:rsidRPr="00EB50F4">
        <w:rPr>
          <w:rFonts w:asciiTheme="minorHAnsi" w:hAnsiTheme="minorHAnsi" w:cstheme="minorHAnsi"/>
          <w:vertAlign w:val="subscript"/>
          <w:lang w:val="en-GB"/>
        </w:rPr>
        <w:t>3,82</w:t>
      </w:r>
      <w:r w:rsidRPr="00EB50F4">
        <w:rPr>
          <w:rFonts w:asciiTheme="minorHAnsi" w:hAnsiTheme="minorHAnsi" w:cstheme="minorHAnsi"/>
          <w:lang w:val="en-GB"/>
        </w:rPr>
        <w:t xml:space="preserve"> = 2.28, </w:t>
      </w:r>
      <w:r w:rsidRPr="00EB50F4">
        <w:rPr>
          <w:rFonts w:asciiTheme="minorHAnsi" w:hAnsiTheme="minorHAnsi" w:cstheme="minorHAnsi"/>
          <w:i/>
          <w:iCs/>
          <w:lang w:val="en-GB"/>
        </w:rPr>
        <w:t xml:space="preserve">p </w:t>
      </w:r>
      <w:r w:rsidRPr="00EB50F4">
        <w:rPr>
          <w:rFonts w:asciiTheme="minorHAnsi" w:hAnsiTheme="minorHAnsi" w:cstheme="minorHAnsi"/>
          <w:lang w:val="en-GB"/>
        </w:rPr>
        <w:t>&lt; 0.001) among DNA extraction kits. However, these differences might be an artifact of heterogeneous dispersions as given by PERMADIST results (</w:t>
      </w:r>
      <w:r w:rsidRPr="00EB50F4">
        <w:rPr>
          <w:rFonts w:asciiTheme="minorHAnsi" w:hAnsiTheme="minorHAnsi" w:cstheme="minorHAnsi"/>
          <w:i/>
          <w:iCs/>
          <w:lang w:val="en-GB"/>
        </w:rPr>
        <w:t>F</w:t>
      </w:r>
      <w:r w:rsidRPr="00EB50F4">
        <w:rPr>
          <w:rFonts w:asciiTheme="minorHAnsi" w:hAnsiTheme="minorHAnsi" w:cstheme="minorHAnsi"/>
          <w:vertAlign w:val="subscript"/>
          <w:lang w:val="en-GB"/>
        </w:rPr>
        <w:t>3,84</w:t>
      </w:r>
      <w:r w:rsidRPr="00EB50F4">
        <w:rPr>
          <w:rFonts w:asciiTheme="minorHAnsi" w:hAnsiTheme="minorHAnsi" w:cstheme="minorHAnsi"/>
          <w:lang w:val="en-GB"/>
        </w:rPr>
        <w:t xml:space="preserve"> = 19.56, </w:t>
      </w:r>
      <w:r w:rsidRPr="00EB50F4">
        <w:rPr>
          <w:rFonts w:asciiTheme="minorHAnsi" w:hAnsiTheme="minorHAnsi" w:cstheme="minorHAnsi"/>
          <w:i/>
          <w:iCs/>
          <w:lang w:val="en-GB"/>
        </w:rPr>
        <w:t xml:space="preserve">p </w:t>
      </w:r>
      <w:r w:rsidRPr="00EB50F4">
        <w:rPr>
          <w:rFonts w:asciiTheme="minorHAnsi" w:hAnsiTheme="minorHAnsi" w:cstheme="minorHAnsi"/>
          <w:lang w:val="en-GB"/>
        </w:rPr>
        <w:t xml:space="preserve">&lt; 0.001). Individual and combined samples showed no dissimilarity over the </w:t>
      </w:r>
      <w:proofErr w:type="spellStart"/>
      <w:r w:rsidRPr="00EB50F4">
        <w:rPr>
          <w:rFonts w:asciiTheme="minorHAnsi" w:hAnsiTheme="minorHAnsi" w:cstheme="minorHAnsi"/>
          <w:lang w:val="en-GB"/>
        </w:rPr>
        <w:t>PCoA</w:t>
      </w:r>
      <w:proofErr w:type="spellEnd"/>
      <w:r w:rsidRPr="00EB50F4">
        <w:rPr>
          <w:rFonts w:asciiTheme="minorHAnsi" w:hAnsiTheme="minorHAnsi" w:cstheme="minorHAnsi"/>
          <w:lang w:val="en-GB"/>
        </w:rPr>
        <w:t xml:space="preserve"> plot and no significant differences in the PERMANOVA analysis (</w:t>
      </w:r>
      <w:r w:rsidRPr="00EB50F4">
        <w:rPr>
          <w:rFonts w:asciiTheme="minorHAnsi" w:hAnsiTheme="minorHAnsi" w:cstheme="minorHAnsi"/>
          <w:i/>
          <w:iCs/>
          <w:lang w:val="en-GB"/>
        </w:rPr>
        <w:t>F</w:t>
      </w:r>
      <w:r w:rsidRPr="00EB50F4">
        <w:rPr>
          <w:rFonts w:asciiTheme="minorHAnsi" w:hAnsiTheme="minorHAnsi" w:cstheme="minorHAnsi"/>
          <w:vertAlign w:val="subscript"/>
          <w:lang w:val="en-GB"/>
        </w:rPr>
        <w:t>1,82</w:t>
      </w:r>
      <w:r w:rsidRPr="00EB50F4">
        <w:rPr>
          <w:rFonts w:asciiTheme="minorHAnsi" w:hAnsiTheme="minorHAnsi" w:cstheme="minorHAnsi"/>
          <w:lang w:val="en-GB"/>
        </w:rPr>
        <w:t xml:space="preserve"> = 0.98, </w:t>
      </w:r>
      <w:r w:rsidRPr="00EB50F4">
        <w:rPr>
          <w:rFonts w:asciiTheme="minorHAnsi" w:hAnsiTheme="minorHAnsi" w:cstheme="minorHAnsi"/>
          <w:i/>
          <w:iCs/>
          <w:lang w:val="en-GB"/>
        </w:rPr>
        <w:t>p &gt; 0.5</w:t>
      </w:r>
      <w:r w:rsidRPr="00EB50F4">
        <w:rPr>
          <w:rFonts w:asciiTheme="minorHAnsi" w:hAnsiTheme="minorHAnsi" w:cstheme="minorHAnsi"/>
          <w:lang w:val="en-GB"/>
        </w:rPr>
        <w:t xml:space="preserve">). </w:t>
      </w:r>
    </w:p>
    <w:p w14:paraId="0942577E" w14:textId="77777777" w:rsidR="003C48BC" w:rsidRPr="00EB50F4" w:rsidRDefault="003C48BC" w:rsidP="003C48BC">
      <w:pPr>
        <w:spacing w:line="480" w:lineRule="auto"/>
        <w:rPr>
          <w:rFonts w:asciiTheme="minorHAnsi" w:hAnsiTheme="minorHAnsi" w:cstheme="minorHAnsi"/>
          <w:lang w:val="en-GB"/>
        </w:rPr>
      </w:pPr>
      <w:r w:rsidRPr="00EB50F4">
        <w:rPr>
          <w:rFonts w:asciiTheme="minorHAnsi" w:hAnsiTheme="minorHAnsi" w:cstheme="minorHAnsi"/>
          <w:lang w:val="en-GB"/>
        </w:rPr>
        <w:t>The scree plot shows that about 14% of the variation in Jaccard distances are explained within the first two dimensions, i.e., 8.3% axis 1 and 5.4% axis 2.</w:t>
      </w:r>
    </w:p>
    <w:p w14:paraId="512343CE" w14:textId="77777777" w:rsidR="003C48BC" w:rsidRPr="00EB50F4" w:rsidRDefault="003C48BC" w:rsidP="003C48BC">
      <w:pPr>
        <w:spacing w:line="480" w:lineRule="auto"/>
        <w:rPr>
          <w:rFonts w:asciiTheme="minorHAnsi" w:hAnsiTheme="minorHAnsi" w:cstheme="minorHAnsi"/>
          <w:lang w:val="en-GB"/>
        </w:rPr>
      </w:pPr>
    </w:p>
    <w:p w14:paraId="50ED172B" w14:textId="77777777" w:rsidR="003C48BC" w:rsidRPr="00EB50F4" w:rsidRDefault="003C48BC" w:rsidP="003C48BC">
      <w:pPr>
        <w:spacing w:line="480" w:lineRule="auto"/>
        <w:rPr>
          <w:rFonts w:asciiTheme="minorHAnsi" w:hAnsiTheme="minorHAnsi" w:cstheme="minorHAnsi"/>
          <w:lang w:val="en-GB"/>
        </w:rPr>
      </w:pPr>
      <w:r w:rsidRPr="00EB50F4">
        <w:rPr>
          <w:rFonts w:asciiTheme="minorHAnsi" w:hAnsiTheme="minorHAnsi" w:cstheme="minorHAnsi"/>
          <w:lang w:val="en-GB"/>
        </w:rPr>
        <w:t xml:space="preserve">Similar results were given by analysis of similarity (ANOSIM). Specifically, higher similarity was found within each qPCR approach than between both (R:0.389, </w:t>
      </w:r>
      <w:r w:rsidRPr="00EB50F4">
        <w:rPr>
          <w:rFonts w:asciiTheme="minorHAnsi" w:hAnsiTheme="minorHAnsi" w:cstheme="minorHAnsi"/>
          <w:i/>
          <w:iCs/>
          <w:lang w:val="en-GB"/>
        </w:rPr>
        <w:t xml:space="preserve">p </w:t>
      </w:r>
      <w:r w:rsidRPr="00EB50F4">
        <w:rPr>
          <w:rFonts w:asciiTheme="minorHAnsi" w:hAnsiTheme="minorHAnsi" w:cstheme="minorHAnsi"/>
          <w:lang w:val="en-GB"/>
        </w:rPr>
        <w:t>&lt; 0.001). Similarity was also greater within DNA extraction methods than between them (R: 0.1577,</w:t>
      </w:r>
      <w:r w:rsidRPr="00EB50F4">
        <w:rPr>
          <w:rFonts w:asciiTheme="minorHAnsi" w:hAnsiTheme="minorHAnsi" w:cstheme="minorHAnsi"/>
          <w:i/>
          <w:iCs/>
          <w:lang w:val="en-GB"/>
        </w:rPr>
        <w:t xml:space="preserve"> p</w:t>
      </w:r>
      <w:r w:rsidRPr="00EB50F4">
        <w:rPr>
          <w:rFonts w:asciiTheme="minorHAnsi" w:hAnsiTheme="minorHAnsi" w:cstheme="minorHAnsi"/>
          <w:lang w:val="en-GB"/>
        </w:rPr>
        <w:t xml:space="preserve"> &lt; 0.001). A negative R value (R: -0.04488) for sampling methods indicated no difference among groups however results were not statistically significant (</w:t>
      </w:r>
      <w:r w:rsidRPr="00EB50F4">
        <w:rPr>
          <w:rFonts w:asciiTheme="minorHAnsi" w:hAnsiTheme="minorHAnsi" w:cstheme="minorHAnsi"/>
          <w:i/>
          <w:iCs/>
          <w:lang w:val="en-GB"/>
        </w:rPr>
        <w:t>p</w:t>
      </w:r>
      <w:r w:rsidRPr="00EB50F4">
        <w:rPr>
          <w:rFonts w:asciiTheme="minorHAnsi" w:hAnsiTheme="minorHAnsi" w:cstheme="minorHAnsi"/>
          <w:lang w:val="en-GB"/>
        </w:rPr>
        <w:t xml:space="preserve"> = 0.763).</w:t>
      </w:r>
    </w:p>
    <w:p w14:paraId="329EA497" w14:textId="77777777" w:rsidR="003C48BC" w:rsidRPr="00EB50F4" w:rsidRDefault="003C48BC" w:rsidP="003C48BC">
      <w:pPr>
        <w:spacing w:line="480" w:lineRule="auto"/>
        <w:rPr>
          <w:rFonts w:asciiTheme="minorHAnsi" w:hAnsiTheme="minorHAnsi" w:cstheme="minorHAnsi"/>
          <w:b/>
          <w:bCs/>
          <w:lang w:val="en-GB"/>
        </w:rPr>
      </w:pPr>
    </w:p>
    <w:p w14:paraId="0B1CF1C7" w14:textId="77777777" w:rsidR="003C48BC" w:rsidRPr="00EB50F4" w:rsidRDefault="003C48BC" w:rsidP="003C48BC">
      <w:pPr>
        <w:spacing w:line="480" w:lineRule="auto"/>
        <w:rPr>
          <w:rFonts w:asciiTheme="minorHAnsi" w:hAnsiTheme="minorHAnsi" w:cstheme="minorHAnsi"/>
          <w:b/>
          <w:bCs/>
          <w:lang w:val="en-GB"/>
        </w:rPr>
      </w:pPr>
      <w:r w:rsidRPr="00EB50F4">
        <w:rPr>
          <w:rFonts w:asciiTheme="minorHAnsi" w:hAnsiTheme="minorHAnsi" w:cstheme="minorHAnsi"/>
          <w:b/>
          <w:bCs/>
          <w:lang w:val="en-GB"/>
        </w:rPr>
        <w:t>Indicator species analyses</w:t>
      </w:r>
    </w:p>
    <w:p w14:paraId="70740641" w14:textId="77777777" w:rsidR="003C48BC" w:rsidRPr="00EB50F4" w:rsidRDefault="003C48BC" w:rsidP="003C48BC">
      <w:pPr>
        <w:spacing w:line="480" w:lineRule="auto"/>
        <w:rPr>
          <w:rFonts w:asciiTheme="minorHAnsi" w:hAnsiTheme="minorHAnsi" w:cstheme="minorHAnsi"/>
          <w:bCs/>
          <w:lang w:val="en-GB"/>
        </w:rPr>
      </w:pPr>
      <w:r w:rsidRPr="00EB50F4">
        <w:rPr>
          <w:rFonts w:asciiTheme="minorHAnsi" w:hAnsiTheme="minorHAnsi" w:cstheme="minorHAnsi"/>
          <w:bCs/>
          <w:lang w:val="en-GB"/>
        </w:rPr>
        <w:t>When accounting for the total OTUs assigned, 199 and 151 OTUs were significantly (</w:t>
      </w:r>
      <w:r w:rsidRPr="00EB50F4">
        <w:rPr>
          <w:rFonts w:asciiTheme="minorHAnsi" w:hAnsiTheme="minorHAnsi" w:cstheme="minorHAnsi"/>
          <w:bCs/>
          <w:i/>
          <w:iCs/>
          <w:lang w:val="en-GB"/>
        </w:rPr>
        <w:t xml:space="preserve">p </w:t>
      </w:r>
      <w:r w:rsidRPr="00EB50F4">
        <w:rPr>
          <w:rFonts w:asciiTheme="minorHAnsi" w:hAnsiTheme="minorHAnsi" w:cstheme="minorHAnsi"/>
          <w:bCs/>
          <w:lang w:val="en-GB"/>
        </w:rPr>
        <w:t xml:space="preserve">&lt; 0.05) associated with the one-step and two-step approaches, respectively.  In the case of the one-step approach, 17 OTUs were assigned to taxa, which were mostly represented by bacteria, but also by the </w:t>
      </w:r>
      <w:proofErr w:type="spellStart"/>
      <w:r w:rsidRPr="00EB50F4">
        <w:rPr>
          <w:rFonts w:asciiTheme="minorHAnsi" w:hAnsiTheme="minorHAnsi" w:cstheme="minorHAnsi"/>
          <w:bCs/>
          <w:lang w:val="en-GB"/>
        </w:rPr>
        <w:t>Trebouxiophycea</w:t>
      </w:r>
      <w:proofErr w:type="spellEnd"/>
      <w:r w:rsidRPr="00EB50F4">
        <w:rPr>
          <w:rFonts w:asciiTheme="minorHAnsi" w:hAnsiTheme="minorHAnsi" w:cstheme="minorHAnsi"/>
          <w:bCs/>
          <w:lang w:val="en-GB"/>
        </w:rPr>
        <w:t xml:space="preserve"> (class) and Chlorophyta (phylum) groups. In the case of the two-step approach, 19 OTUs were assigned to taxa, again mostly to bacteria but also a </w:t>
      </w:r>
      <w:proofErr w:type="spellStart"/>
      <w:r w:rsidRPr="00EB50F4">
        <w:rPr>
          <w:rFonts w:asciiTheme="minorHAnsi" w:hAnsiTheme="minorHAnsi" w:cstheme="minorHAnsi"/>
          <w:bCs/>
          <w:lang w:val="en-GB"/>
        </w:rPr>
        <w:t>Rotifera</w:t>
      </w:r>
      <w:proofErr w:type="spellEnd"/>
      <w:r w:rsidRPr="00EB50F4">
        <w:rPr>
          <w:rFonts w:asciiTheme="minorHAnsi" w:hAnsiTheme="minorHAnsi" w:cstheme="minorHAnsi"/>
          <w:bCs/>
          <w:lang w:val="en-GB"/>
        </w:rPr>
        <w:t xml:space="preserve">. </w:t>
      </w:r>
    </w:p>
    <w:p w14:paraId="2E20D6D6" w14:textId="77777777" w:rsidR="003C48BC" w:rsidRPr="00EB50F4" w:rsidRDefault="003C48BC" w:rsidP="003C48BC">
      <w:pPr>
        <w:spacing w:line="480" w:lineRule="auto"/>
        <w:rPr>
          <w:rFonts w:asciiTheme="minorHAnsi" w:hAnsiTheme="minorHAnsi" w:cstheme="minorHAnsi"/>
          <w:b/>
          <w:lang w:val="en-GB"/>
        </w:rPr>
      </w:pPr>
    </w:p>
    <w:p w14:paraId="3CDEA6E2" w14:textId="77777777" w:rsidR="003C48BC" w:rsidRPr="00EB50F4" w:rsidRDefault="003C48BC" w:rsidP="003C48BC">
      <w:pPr>
        <w:spacing w:line="480" w:lineRule="auto"/>
        <w:rPr>
          <w:rFonts w:asciiTheme="minorHAnsi" w:hAnsiTheme="minorHAnsi" w:cstheme="minorHAnsi"/>
          <w:b/>
          <w:bCs/>
          <w:lang w:val="en-GB"/>
        </w:rPr>
      </w:pPr>
      <w:r w:rsidRPr="00EB50F4">
        <w:rPr>
          <w:rFonts w:asciiTheme="minorHAnsi" w:hAnsiTheme="minorHAnsi" w:cstheme="minorHAnsi"/>
          <w:b/>
          <w:bCs/>
          <w:lang w:val="en-GB"/>
        </w:rPr>
        <w:br w:type="page"/>
      </w:r>
    </w:p>
    <w:p w14:paraId="44B50F75" w14:textId="77777777" w:rsidR="003C48BC" w:rsidRDefault="003C48BC" w:rsidP="003C48BC">
      <w:pPr>
        <w:spacing w:line="480" w:lineRule="auto"/>
        <w:rPr>
          <w:rFonts w:asciiTheme="minorHAnsi" w:hAnsiTheme="minorHAnsi" w:cstheme="minorHAnsi"/>
          <w:lang w:val="en-GB"/>
        </w:rPr>
      </w:pPr>
      <w:r>
        <w:rPr>
          <w:noProof/>
        </w:rPr>
        <w:lastRenderedPageBreak/>
        <w:drawing>
          <wp:inline distT="0" distB="0" distL="0" distR="0" wp14:anchorId="5AB8C92E" wp14:editId="7E0ABE00">
            <wp:extent cx="5755640" cy="4025265"/>
            <wp:effectExtent l="19050" t="19050" r="1651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4025265"/>
                    </a:xfrm>
                    <a:prstGeom prst="rect">
                      <a:avLst/>
                    </a:prstGeom>
                    <a:noFill/>
                    <a:ln>
                      <a:solidFill>
                        <a:schemeClr val="bg1">
                          <a:lumMod val="65000"/>
                        </a:schemeClr>
                      </a:solidFill>
                    </a:ln>
                  </pic:spPr>
                </pic:pic>
              </a:graphicData>
            </a:graphic>
          </wp:inline>
        </w:drawing>
      </w:r>
    </w:p>
    <w:p w14:paraId="711ECFCC" w14:textId="45A22CCB" w:rsidR="003C48BC" w:rsidRPr="00476C4A" w:rsidRDefault="003C48BC" w:rsidP="003C48BC">
      <w:pPr>
        <w:spacing w:line="480" w:lineRule="auto"/>
        <w:rPr>
          <w:rFonts w:asciiTheme="minorHAnsi" w:hAnsiTheme="minorHAnsi" w:cstheme="minorHAnsi"/>
          <w:lang w:val="en-GB"/>
        </w:rPr>
      </w:pPr>
      <w:r w:rsidRPr="00EB50F4">
        <w:rPr>
          <w:rFonts w:asciiTheme="minorHAnsi" w:hAnsiTheme="minorHAnsi" w:cstheme="minorHAnsi"/>
          <w:b/>
          <w:bCs/>
          <w:lang w:val="en-GB"/>
        </w:rPr>
        <w:t xml:space="preserve">Figure </w:t>
      </w:r>
      <w:r>
        <w:rPr>
          <w:rFonts w:asciiTheme="minorHAnsi" w:hAnsiTheme="minorHAnsi" w:cstheme="minorHAnsi"/>
          <w:b/>
          <w:bCs/>
          <w:lang w:val="en-GB"/>
        </w:rPr>
        <w:t>S</w:t>
      </w:r>
      <w:r w:rsidR="00787A4E">
        <w:rPr>
          <w:rFonts w:asciiTheme="minorHAnsi" w:hAnsiTheme="minorHAnsi" w:cstheme="minorHAnsi"/>
          <w:b/>
          <w:bCs/>
          <w:lang w:val="en-GB"/>
        </w:rPr>
        <w:t>4</w:t>
      </w:r>
      <w:r w:rsidRPr="00EB50F4">
        <w:rPr>
          <w:rFonts w:asciiTheme="minorHAnsi" w:hAnsiTheme="minorHAnsi" w:cstheme="minorHAnsi"/>
          <w:b/>
          <w:bCs/>
          <w:lang w:val="en-GB"/>
        </w:rPr>
        <w:t>.</w:t>
      </w:r>
      <w:r w:rsidRPr="00EB50F4">
        <w:rPr>
          <w:rFonts w:asciiTheme="minorHAnsi" w:hAnsiTheme="minorHAnsi" w:cstheme="minorHAnsi"/>
          <w:lang w:val="en-GB"/>
        </w:rPr>
        <w:t xml:space="preserve"> Total and standardi</w:t>
      </w:r>
      <w:r>
        <w:rPr>
          <w:rFonts w:asciiTheme="minorHAnsi" w:hAnsiTheme="minorHAnsi" w:cstheme="minorHAnsi"/>
          <w:lang w:val="en-GB"/>
        </w:rPr>
        <w:t>s</w:t>
      </w:r>
      <w:r w:rsidRPr="00EB50F4">
        <w:rPr>
          <w:rFonts w:asciiTheme="minorHAnsi" w:hAnsiTheme="minorHAnsi" w:cstheme="minorHAnsi"/>
          <w:lang w:val="en-GB"/>
        </w:rPr>
        <w:t>ed (</w:t>
      </w:r>
      <w:proofErr w:type="gramStart"/>
      <w:r w:rsidRPr="00EB50F4">
        <w:rPr>
          <w:rFonts w:asciiTheme="minorHAnsi" w:hAnsiTheme="minorHAnsi" w:cstheme="minorHAnsi"/>
          <w:lang w:val="en-GB"/>
        </w:rPr>
        <w:t>i.e.</w:t>
      </w:r>
      <w:proofErr w:type="gramEnd"/>
      <w:r w:rsidRPr="00EB50F4">
        <w:rPr>
          <w:rFonts w:asciiTheme="minorHAnsi" w:hAnsiTheme="minorHAnsi" w:cstheme="minorHAnsi"/>
          <w:lang w:val="en-GB"/>
        </w:rPr>
        <w:t xml:space="preserve"> total DNA concentration divided by </w:t>
      </w:r>
      <w:r w:rsidR="00AC09C0">
        <w:rPr>
          <w:rFonts w:asciiTheme="minorHAnsi" w:hAnsiTheme="minorHAnsi" w:cstheme="minorHAnsi"/>
          <w:lang w:val="en-GB"/>
        </w:rPr>
        <w:t xml:space="preserve">the </w:t>
      </w:r>
      <w:r w:rsidRPr="00EB50F4">
        <w:rPr>
          <w:rFonts w:asciiTheme="minorHAnsi" w:hAnsiTheme="minorHAnsi" w:cstheme="minorHAnsi"/>
          <w:lang w:val="en-GB"/>
        </w:rPr>
        <w:t xml:space="preserve">total volume of sample) concentrations of DNA for (a) commercial extraction kits and (b) commercial extraction kits in combination with saturated phosphate buffer. </w:t>
      </w:r>
    </w:p>
    <w:p w14:paraId="304ADA04" w14:textId="77AD22F6" w:rsidR="00EB50F4" w:rsidRDefault="00EB50F4" w:rsidP="00EB50F4">
      <w:pPr>
        <w:spacing w:line="480" w:lineRule="auto"/>
        <w:rPr>
          <w:rFonts w:asciiTheme="minorHAnsi" w:hAnsiTheme="minorHAnsi" w:cstheme="minorHAnsi"/>
          <w:b/>
          <w:lang w:val="en-GB"/>
        </w:rPr>
      </w:pPr>
    </w:p>
    <w:p w14:paraId="15E91C53" w14:textId="77777777" w:rsidR="003C48BC" w:rsidRDefault="003C48BC" w:rsidP="00EB50F4">
      <w:pPr>
        <w:spacing w:line="480" w:lineRule="auto"/>
        <w:rPr>
          <w:rFonts w:asciiTheme="minorHAnsi" w:hAnsiTheme="minorHAnsi" w:cstheme="minorHAnsi"/>
          <w:b/>
          <w:lang w:val="en-GB"/>
        </w:rPr>
      </w:pPr>
      <w:r>
        <w:rPr>
          <w:rFonts w:asciiTheme="minorHAnsi" w:hAnsiTheme="minorHAnsi" w:cstheme="minorHAnsi"/>
          <w:b/>
          <w:lang w:val="en-GB"/>
        </w:rPr>
        <w:br w:type="page"/>
      </w:r>
    </w:p>
    <w:p w14:paraId="4AD7B5A9" w14:textId="77777777" w:rsidR="003C48BC" w:rsidRDefault="003C48BC" w:rsidP="00EB50F4">
      <w:pPr>
        <w:spacing w:line="480" w:lineRule="auto"/>
        <w:rPr>
          <w:rFonts w:asciiTheme="minorHAnsi" w:hAnsiTheme="minorHAnsi" w:cstheme="minorHAnsi"/>
          <w:b/>
          <w:lang w:val="en-GB"/>
        </w:rPr>
        <w:sectPr w:rsidR="003C48BC" w:rsidSect="003C48BC">
          <w:pgSz w:w="11900" w:h="16840"/>
          <w:pgMar w:top="1701" w:right="1418" w:bottom="1701" w:left="1418" w:header="709" w:footer="709" w:gutter="0"/>
          <w:lnNumType w:countBy="1" w:restart="continuous"/>
          <w:cols w:space="708"/>
          <w:docGrid w:linePitch="360"/>
        </w:sectPr>
      </w:pPr>
    </w:p>
    <w:p w14:paraId="48232CC8" w14:textId="5E6E5C4C" w:rsidR="003C48BC" w:rsidRDefault="003C48BC" w:rsidP="00EB50F4">
      <w:pPr>
        <w:spacing w:line="480" w:lineRule="auto"/>
        <w:rPr>
          <w:rFonts w:asciiTheme="minorHAnsi" w:hAnsiTheme="minorHAnsi" w:cstheme="minorHAnsi"/>
          <w:b/>
          <w:lang w:val="en-GB"/>
        </w:rPr>
      </w:pPr>
      <w:r>
        <w:rPr>
          <w:rFonts w:asciiTheme="minorHAnsi" w:hAnsiTheme="minorHAnsi" w:cstheme="minorHAnsi"/>
          <w:b/>
          <w:lang w:val="en-GB"/>
        </w:rPr>
        <w:lastRenderedPageBreak/>
        <w:t>PRIMERS USED AND SEQUENCING WORKFLOW</w:t>
      </w:r>
    </w:p>
    <w:p w14:paraId="7E253F68" w14:textId="77777777" w:rsidR="003C48BC" w:rsidRPr="00EB50F4" w:rsidRDefault="003C48BC" w:rsidP="00EB50F4">
      <w:pPr>
        <w:spacing w:line="480" w:lineRule="auto"/>
        <w:rPr>
          <w:rFonts w:asciiTheme="minorHAnsi" w:hAnsiTheme="minorHAnsi" w:cstheme="minorHAnsi"/>
          <w:b/>
          <w:lang w:val="en-GB"/>
        </w:rPr>
      </w:pPr>
    </w:p>
    <w:p w14:paraId="429A8765" w14:textId="24355FF6" w:rsidR="00EB50F4" w:rsidRPr="00EB50F4" w:rsidRDefault="00EB50F4" w:rsidP="00EB50F4">
      <w:pPr>
        <w:spacing w:line="480" w:lineRule="auto"/>
        <w:rPr>
          <w:rFonts w:asciiTheme="minorHAnsi" w:hAnsiTheme="minorHAnsi" w:cstheme="minorHAnsi"/>
          <w:color w:val="000000" w:themeColor="text1"/>
          <w:lang w:val="en-GB"/>
        </w:rPr>
      </w:pPr>
      <w:r w:rsidRPr="00EB50F4">
        <w:rPr>
          <w:rFonts w:asciiTheme="minorHAnsi" w:hAnsiTheme="minorHAnsi" w:cstheme="minorHAnsi"/>
          <w:b/>
          <w:bCs/>
          <w:color w:val="000000" w:themeColor="text1"/>
          <w:lang w:val="en-GB"/>
        </w:rPr>
        <w:t xml:space="preserve">Table </w:t>
      </w:r>
      <w:r w:rsidR="00E83413">
        <w:rPr>
          <w:rFonts w:asciiTheme="minorHAnsi" w:hAnsiTheme="minorHAnsi" w:cstheme="minorHAnsi"/>
          <w:b/>
          <w:bCs/>
          <w:color w:val="000000" w:themeColor="text1"/>
          <w:lang w:val="en-GB"/>
        </w:rPr>
        <w:t>S</w:t>
      </w:r>
      <w:r w:rsidRPr="00EB50F4">
        <w:rPr>
          <w:rFonts w:asciiTheme="minorHAnsi" w:hAnsiTheme="minorHAnsi" w:cstheme="minorHAnsi"/>
          <w:b/>
          <w:bCs/>
          <w:color w:val="000000" w:themeColor="text1"/>
          <w:lang w:val="en-GB"/>
        </w:rPr>
        <w:t>2.</w:t>
      </w:r>
      <w:r w:rsidRPr="00EB50F4">
        <w:rPr>
          <w:rFonts w:asciiTheme="minorHAnsi" w:hAnsiTheme="minorHAnsi" w:cstheme="minorHAnsi"/>
          <w:color w:val="000000" w:themeColor="text1"/>
          <w:lang w:val="en-GB"/>
        </w:rPr>
        <w:t xml:space="preserve"> List of primers used in the one-step qPCR approach. </w:t>
      </w:r>
      <w:r w:rsidRPr="00EB50F4">
        <w:rPr>
          <w:rFonts w:asciiTheme="minorHAnsi" w:hAnsiTheme="minorHAnsi" w:cstheme="minorHAnsi"/>
          <w:color w:val="000000"/>
          <w:lang w:val="en-GB"/>
        </w:rPr>
        <w:t xml:space="preserve">From 5’ ends, </w:t>
      </w:r>
      <w:r w:rsidR="00CF3285">
        <w:rPr>
          <w:rFonts w:asciiTheme="minorHAnsi" w:hAnsiTheme="minorHAnsi" w:cstheme="minorHAnsi"/>
          <w:color w:val="000000"/>
          <w:lang w:val="en-GB"/>
        </w:rPr>
        <w:t xml:space="preserve">the </w:t>
      </w:r>
      <w:r w:rsidRPr="00EB50F4">
        <w:rPr>
          <w:rFonts w:asciiTheme="minorHAnsi" w:hAnsiTheme="minorHAnsi" w:cstheme="minorHAnsi"/>
          <w:color w:val="000000"/>
          <w:lang w:val="en-GB"/>
        </w:rPr>
        <w:t>primer contains a (1) Illumina flow-cell adapter, (2) primer pad (only forward primer), (3) index (6–8 bp length) and, (4) the specific primer sequence.</w:t>
      </w:r>
    </w:p>
    <w:tbl>
      <w:tblPr>
        <w:tblStyle w:val="TableGridLight"/>
        <w:tblW w:w="1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4252"/>
        <w:gridCol w:w="2721"/>
        <w:gridCol w:w="1417"/>
        <w:gridCol w:w="3337"/>
      </w:tblGrid>
      <w:tr w:rsidR="00EB50F4" w:rsidRPr="00EB50F4" w14:paraId="34B35D3E" w14:textId="77777777" w:rsidTr="007412FF">
        <w:trPr>
          <w:trHeight w:val="320"/>
        </w:trPr>
        <w:tc>
          <w:tcPr>
            <w:tcW w:w="1417" w:type="dxa"/>
            <w:tcBorders>
              <w:top w:val="single" w:sz="4" w:space="0" w:color="auto"/>
              <w:bottom w:val="single" w:sz="4" w:space="0" w:color="auto"/>
            </w:tcBorders>
            <w:noWrap/>
            <w:hideMark/>
          </w:tcPr>
          <w:p w14:paraId="377EA963"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Name</w:t>
            </w:r>
          </w:p>
        </w:tc>
        <w:tc>
          <w:tcPr>
            <w:tcW w:w="4252" w:type="dxa"/>
            <w:tcBorders>
              <w:top w:val="single" w:sz="4" w:space="0" w:color="auto"/>
              <w:bottom w:val="single" w:sz="4" w:space="0" w:color="auto"/>
            </w:tcBorders>
            <w:noWrap/>
            <w:hideMark/>
          </w:tcPr>
          <w:p w14:paraId="11350D2A"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 xml:space="preserve">Flow-cell Adapter </w:t>
            </w:r>
          </w:p>
        </w:tc>
        <w:tc>
          <w:tcPr>
            <w:tcW w:w="2721" w:type="dxa"/>
            <w:tcBorders>
              <w:top w:val="single" w:sz="4" w:space="0" w:color="auto"/>
              <w:bottom w:val="single" w:sz="4" w:space="0" w:color="auto"/>
            </w:tcBorders>
            <w:noWrap/>
            <w:hideMark/>
          </w:tcPr>
          <w:p w14:paraId="3B46C1B3"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Flu-Pad</w:t>
            </w:r>
          </w:p>
        </w:tc>
        <w:tc>
          <w:tcPr>
            <w:tcW w:w="1417" w:type="dxa"/>
            <w:tcBorders>
              <w:top w:val="single" w:sz="4" w:space="0" w:color="auto"/>
              <w:bottom w:val="single" w:sz="4" w:space="0" w:color="auto"/>
            </w:tcBorders>
            <w:noWrap/>
            <w:hideMark/>
          </w:tcPr>
          <w:p w14:paraId="2481C7C5" w14:textId="77777777" w:rsidR="00EB50F4" w:rsidRPr="00EB50F4" w:rsidRDefault="00EB50F4" w:rsidP="007412FF">
            <w:pPr>
              <w:spacing w:line="480" w:lineRule="auto"/>
              <w:rPr>
                <w:rFonts w:asciiTheme="minorHAnsi" w:hAnsiTheme="minorHAnsi" w:cstheme="minorHAnsi"/>
                <w:lang w:val="en-GB"/>
              </w:rPr>
            </w:pPr>
            <w:r w:rsidRPr="00EB50F4">
              <w:rPr>
                <w:rFonts w:asciiTheme="minorHAnsi" w:hAnsiTheme="minorHAnsi" w:cstheme="minorHAnsi"/>
                <w:b/>
                <w:bCs/>
                <w:color w:val="000000"/>
                <w:lang w:val="en-GB"/>
              </w:rPr>
              <w:t>Index</w:t>
            </w:r>
          </w:p>
        </w:tc>
        <w:tc>
          <w:tcPr>
            <w:tcW w:w="3337" w:type="dxa"/>
            <w:tcBorders>
              <w:top w:val="single" w:sz="4" w:space="0" w:color="auto"/>
              <w:bottom w:val="single" w:sz="4" w:space="0" w:color="auto"/>
            </w:tcBorders>
            <w:noWrap/>
            <w:hideMark/>
          </w:tcPr>
          <w:p w14:paraId="21D99EF2" w14:textId="77777777" w:rsidR="00EB50F4" w:rsidRPr="00EB50F4" w:rsidRDefault="00EB50F4" w:rsidP="007412FF">
            <w:pPr>
              <w:spacing w:line="480" w:lineRule="auto"/>
              <w:rPr>
                <w:rFonts w:asciiTheme="minorHAnsi" w:hAnsiTheme="minorHAnsi" w:cstheme="minorHAnsi"/>
                <w:lang w:val="en-GB"/>
              </w:rPr>
            </w:pPr>
            <w:r w:rsidRPr="00EB50F4">
              <w:rPr>
                <w:rFonts w:asciiTheme="minorHAnsi" w:hAnsiTheme="minorHAnsi" w:cstheme="minorHAnsi"/>
                <w:b/>
                <w:bCs/>
                <w:color w:val="000000"/>
                <w:lang w:val="en-GB"/>
              </w:rPr>
              <w:t>Template Specific Primer</w:t>
            </w:r>
          </w:p>
        </w:tc>
      </w:tr>
      <w:tr w:rsidR="00EB50F4" w:rsidRPr="00EB50F4" w14:paraId="4C02E6B4" w14:textId="77777777" w:rsidTr="007412FF">
        <w:trPr>
          <w:trHeight w:val="320"/>
        </w:trPr>
        <w:tc>
          <w:tcPr>
            <w:tcW w:w="1417" w:type="dxa"/>
            <w:tcBorders>
              <w:top w:val="single" w:sz="4" w:space="0" w:color="auto"/>
              <w:bottom w:val="single" w:sz="4" w:space="0" w:color="auto"/>
            </w:tcBorders>
            <w:shd w:val="clear" w:color="auto" w:fill="D0CECE" w:themeFill="background2" w:themeFillShade="E6"/>
            <w:noWrap/>
            <w:hideMark/>
          </w:tcPr>
          <w:p w14:paraId="600CD742"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Forward</w:t>
            </w:r>
          </w:p>
        </w:tc>
        <w:tc>
          <w:tcPr>
            <w:tcW w:w="4252" w:type="dxa"/>
            <w:tcBorders>
              <w:top w:val="single" w:sz="4" w:space="0" w:color="auto"/>
              <w:bottom w:val="single" w:sz="4" w:space="0" w:color="auto"/>
            </w:tcBorders>
            <w:shd w:val="clear" w:color="auto" w:fill="D0CECE" w:themeFill="background2" w:themeFillShade="E6"/>
            <w:noWrap/>
          </w:tcPr>
          <w:p w14:paraId="67AAE09B"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(P5)</w:t>
            </w:r>
          </w:p>
        </w:tc>
        <w:tc>
          <w:tcPr>
            <w:tcW w:w="2721" w:type="dxa"/>
            <w:tcBorders>
              <w:top w:val="single" w:sz="4" w:space="0" w:color="auto"/>
              <w:bottom w:val="single" w:sz="4" w:space="0" w:color="auto"/>
            </w:tcBorders>
            <w:shd w:val="clear" w:color="auto" w:fill="D0CECE" w:themeFill="background2" w:themeFillShade="E6"/>
            <w:noWrap/>
            <w:hideMark/>
          </w:tcPr>
          <w:p w14:paraId="21778E26" w14:textId="77777777" w:rsidR="00EB50F4" w:rsidRPr="00EB50F4" w:rsidRDefault="00EB50F4" w:rsidP="007412FF">
            <w:pPr>
              <w:spacing w:line="480" w:lineRule="auto"/>
              <w:rPr>
                <w:rFonts w:asciiTheme="minorHAnsi" w:hAnsiTheme="minorHAnsi" w:cstheme="minorHAnsi"/>
                <w:b/>
                <w:bCs/>
                <w:color w:val="000000"/>
                <w:lang w:val="en-GB"/>
              </w:rPr>
            </w:pPr>
          </w:p>
        </w:tc>
        <w:tc>
          <w:tcPr>
            <w:tcW w:w="1417" w:type="dxa"/>
            <w:tcBorders>
              <w:top w:val="single" w:sz="4" w:space="0" w:color="auto"/>
              <w:bottom w:val="single" w:sz="4" w:space="0" w:color="auto"/>
            </w:tcBorders>
            <w:shd w:val="clear" w:color="auto" w:fill="D0CECE" w:themeFill="background2" w:themeFillShade="E6"/>
            <w:noWrap/>
            <w:hideMark/>
          </w:tcPr>
          <w:p w14:paraId="02951A9B" w14:textId="77777777" w:rsidR="00EB50F4" w:rsidRPr="00EB50F4" w:rsidRDefault="00EB50F4" w:rsidP="007412FF">
            <w:pPr>
              <w:spacing w:line="480" w:lineRule="auto"/>
              <w:rPr>
                <w:rFonts w:asciiTheme="minorHAnsi" w:hAnsiTheme="minorHAnsi" w:cstheme="minorHAnsi"/>
                <w:b/>
                <w:bCs/>
                <w:color w:val="000000"/>
                <w:lang w:val="en-GB"/>
              </w:rPr>
            </w:pPr>
          </w:p>
        </w:tc>
        <w:tc>
          <w:tcPr>
            <w:tcW w:w="3337" w:type="dxa"/>
            <w:tcBorders>
              <w:top w:val="single" w:sz="4" w:space="0" w:color="auto"/>
              <w:bottom w:val="single" w:sz="4" w:space="0" w:color="auto"/>
            </w:tcBorders>
            <w:shd w:val="clear" w:color="auto" w:fill="D0CECE" w:themeFill="background2" w:themeFillShade="E6"/>
            <w:noWrap/>
          </w:tcPr>
          <w:p w14:paraId="2D2A54C5" w14:textId="77777777" w:rsidR="00EB50F4" w:rsidRPr="00EB50F4" w:rsidRDefault="00EB50F4" w:rsidP="007412FF">
            <w:pPr>
              <w:spacing w:line="480" w:lineRule="auto"/>
              <w:rPr>
                <w:rFonts w:asciiTheme="minorHAnsi" w:hAnsiTheme="minorHAnsi" w:cstheme="minorHAnsi"/>
                <w:b/>
                <w:bCs/>
                <w:color w:val="000000"/>
                <w:lang w:val="en-GB"/>
              </w:rPr>
            </w:pPr>
          </w:p>
        </w:tc>
      </w:tr>
      <w:tr w:rsidR="00EB50F4" w:rsidRPr="00EB50F4" w14:paraId="701B0079" w14:textId="77777777" w:rsidTr="007412FF">
        <w:trPr>
          <w:trHeight w:val="320"/>
        </w:trPr>
        <w:tc>
          <w:tcPr>
            <w:tcW w:w="1417" w:type="dxa"/>
            <w:tcBorders>
              <w:top w:val="single" w:sz="4" w:space="0" w:color="auto"/>
            </w:tcBorders>
            <w:noWrap/>
            <w:hideMark/>
          </w:tcPr>
          <w:p w14:paraId="26596FC5"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1391f_1</w:t>
            </w:r>
          </w:p>
        </w:tc>
        <w:tc>
          <w:tcPr>
            <w:tcW w:w="4252" w:type="dxa"/>
            <w:tcBorders>
              <w:top w:val="single" w:sz="4" w:space="0" w:color="auto"/>
            </w:tcBorders>
            <w:noWrap/>
            <w:hideMark/>
          </w:tcPr>
          <w:p w14:paraId="50218D0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AATGATACGGCGACCACCGAGATCTACAC</w:t>
            </w:r>
          </w:p>
        </w:tc>
        <w:tc>
          <w:tcPr>
            <w:tcW w:w="2721" w:type="dxa"/>
            <w:tcBorders>
              <w:top w:val="single" w:sz="4" w:space="0" w:color="auto"/>
            </w:tcBorders>
            <w:noWrap/>
            <w:hideMark/>
          </w:tcPr>
          <w:p w14:paraId="322BB1FD"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TGACGACATGGTTCTACA</w:t>
            </w:r>
          </w:p>
        </w:tc>
        <w:tc>
          <w:tcPr>
            <w:tcW w:w="1417" w:type="dxa"/>
            <w:tcBorders>
              <w:top w:val="single" w:sz="4" w:space="0" w:color="auto"/>
            </w:tcBorders>
            <w:noWrap/>
            <w:hideMark/>
          </w:tcPr>
          <w:p w14:paraId="51580117"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AACCGA</w:t>
            </w:r>
          </w:p>
        </w:tc>
        <w:tc>
          <w:tcPr>
            <w:tcW w:w="3337" w:type="dxa"/>
            <w:tcBorders>
              <w:top w:val="single" w:sz="4" w:space="0" w:color="auto"/>
            </w:tcBorders>
            <w:noWrap/>
            <w:hideMark/>
          </w:tcPr>
          <w:p w14:paraId="382EA27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GTACACACCGCCCGTC</w:t>
            </w:r>
          </w:p>
        </w:tc>
      </w:tr>
      <w:tr w:rsidR="00EB50F4" w:rsidRPr="00EB50F4" w14:paraId="1A1888CD" w14:textId="77777777" w:rsidTr="007412FF">
        <w:trPr>
          <w:trHeight w:val="320"/>
        </w:trPr>
        <w:tc>
          <w:tcPr>
            <w:tcW w:w="1417" w:type="dxa"/>
            <w:noWrap/>
            <w:hideMark/>
          </w:tcPr>
          <w:p w14:paraId="56EE14F9"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1391f_4</w:t>
            </w:r>
          </w:p>
        </w:tc>
        <w:tc>
          <w:tcPr>
            <w:tcW w:w="4252" w:type="dxa"/>
            <w:noWrap/>
            <w:hideMark/>
          </w:tcPr>
          <w:p w14:paraId="06A76768"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AATGATACGGCGACCACCGAGATCTACAC</w:t>
            </w:r>
          </w:p>
        </w:tc>
        <w:tc>
          <w:tcPr>
            <w:tcW w:w="2721" w:type="dxa"/>
            <w:noWrap/>
            <w:hideMark/>
          </w:tcPr>
          <w:p w14:paraId="5F36B72D"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TGACGACATGGTTCTACA</w:t>
            </w:r>
          </w:p>
        </w:tc>
        <w:tc>
          <w:tcPr>
            <w:tcW w:w="1417" w:type="dxa"/>
            <w:noWrap/>
            <w:hideMark/>
          </w:tcPr>
          <w:p w14:paraId="511E349B"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AGACCT</w:t>
            </w:r>
          </w:p>
        </w:tc>
        <w:tc>
          <w:tcPr>
            <w:tcW w:w="3337" w:type="dxa"/>
            <w:noWrap/>
            <w:hideMark/>
          </w:tcPr>
          <w:p w14:paraId="0ED4F06F"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GTACACACCGCCCGTC</w:t>
            </w:r>
          </w:p>
        </w:tc>
      </w:tr>
      <w:tr w:rsidR="00EB50F4" w:rsidRPr="00EB50F4" w14:paraId="3FADAF72" w14:textId="77777777" w:rsidTr="007412FF">
        <w:trPr>
          <w:trHeight w:val="320"/>
        </w:trPr>
        <w:tc>
          <w:tcPr>
            <w:tcW w:w="1417" w:type="dxa"/>
            <w:noWrap/>
            <w:hideMark/>
          </w:tcPr>
          <w:p w14:paraId="3A44D5F9"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1391f_45</w:t>
            </w:r>
          </w:p>
        </w:tc>
        <w:tc>
          <w:tcPr>
            <w:tcW w:w="4252" w:type="dxa"/>
            <w:noWrap/>
            <w:hideMark/>
          </w:tcPr>
          <w:p w14:paraId="7DD17F7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AATGATACGGCGACCACCGAGATCTACAC</w:t>
            </w:r>
          </w:p>
        </w:tc>
        <w:tc>
          <w:tcPr>
            <w:tcW w:w="2721" w:type="dxa"/>
            <w:noWrap/>
            <w:hideMark/>
          </w:tcPr>
          <w:p w14:paraId="691388B6"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TGACGACATGGTTCTACA</w:t>
            </w:r>
          </w:p>
        </w:tc>
        <w:tc>
          <w:tcPr>
            <w:tcW w:w="1417" w:type="dxa"/>
            <w:noWrap/>
            <w:hideMark/>
          </w:tcPr>
          <w:p w14:paraId="2D70ACD3"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TGAGTA</w:t>
            </w:r>
          </w:p>
        </w:tc>
        <w:tc>
          <w:tcPr>
            <w:tcW w:w="3337" w:type="dxa"/>
            <w:noWrap/>
            <w:hideMark/>
          </w:tcPr>
          <w:p w14:paraId="56A2D40C"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GTACACACCGCCCGTC</w:t>
            </w:r>
          </w:p>
        </w:tc>
      </w:tr>
      <w:tr w:rsidR="00EB50F4" w:rsidRPr="00EB50F4" w14:paraId="363DA20A" w14:textId="77777777" w:rsidTr="007412FF">
        <w:trPr>
          <w:trHeight w:val="320"/>
        </w:trPr>
        <w:tc>
          <w:tcPr>
            <w:tcW w:w="1417" w:type="dxa"/>
            <w:noWrap/>
            <w:hideMark/>
          </w:tcPr>
          <w:p w14:paraId="05306F26"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1391f_297</w:t>
            </w:r>
          </w:p>
        </w:tc>
        <w:tc>
          <w:tcPr>
            <w:tcW w:w="4252" w:type="dxa"/>
            <w:noWrap/>
            <w:hideMark/>
          </w:tcPr>
          <w:p w14:paraId="2E24CA4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AATGATACGGCGACCACCGAGATCTACAC</w:t>
            </w:r>
          </w:p>
        </w:tc>
        <w:tc>
          <w:tcPr>
            <w:tcW w:w="2721" w:type="dxa"/>
            <w:noWrap/>
            <w:hideMark/>
          </w:tcPr>
          <w:p w14:paraId="547054CA"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TGACGACATGGTTCTACA</w:t>
            </w:r>
          </w:p>
        </w:tc>
        <w:tc>
          <w:tcPr>
            <w:tcW w:w="1417" w:type="dxa"/>
            <w:noWrap/>
            <w:hideMark/>
          </w:tcPr>
          <w:p w14:paraId="7471AB29"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TCGTATAG</w:t>
            </w:r>
          </w:p>
        </w:tc>
        <w:tc>
          <w:tcPr>
            <w:tcW w:w="3337" w:type="dxa"/>
            <w:noWrap/>
            <w:hideMark/>
          </w:tcPr>
          <w:p w14:paraId="47C045AC"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GTACACACCGCCCGTC</w:t>
            </w:r>
          </w:p>
        </w:tc>
      </w:tr>
      <w:tr w:rsidR="00EB50F4" w:rsidRPr="00EB50F4" w14:paraId="4ACF110C" w14:textId="77777777" w:rsidTr="007412FF">
        <w:trPr>
          <w:trHeight w:val="320"/>
        </w:trPr>
        <w:tc>
          <w:tcPr>
            <w:tcW w:w="1417" w:type="dxa"/>
            <w:tcBorders>
              <w:bottom w:val="single" w:sz="4" w:space="0" w:color="auto"/>
            </w:tcBorders>
            <w:noWrap/>
            <w:hideMark/>
          </w:tcPr>
          <w:p w14:paraId="757E293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1391f_524</w:t>
            </w:r>
          </w:p>
        </w:tc>
        <w:tc>
          <w:tcPr>
            <w:tcW w:w="4252" w:type="dxa"/>
            <w:tcBorders>
              <w:bottom w:val="single" w:sz="4" w:space="0" w:color="auto"/>
            </w:tcBorders>
            <w:noWrap/>
            <w:hideMark/>
          </w:tcPr>
          <w:p w14:paraId="03FFAC5A"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AATGATACGGCGACCACCGAGATCTACAC</w:t>
            </w:r>
          </w:p>
        </w:tc>
        <w:tc>
          <w:tcPr>
            <w:tcW w:w="2721" w:type="dxa"/>
            <w:tcBorders>
              <w:bottom w:val="single" w:sz="4" w:space="0" w:color="auto"/>
            </w:tcBorders>
            <w:noWrap/>
            <w:hideMark/>
          </w:tcPr>
          <w:p w14:paraId="0283A0F0"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TGACGACATGGTTCTACA</w:t>
            </w:r>
          </w:p>
        </w:tc>
        <w:tc>
          <w:tcPr>
            <w:tcW w:w="1417" w:type="dxa"/>
            <w:tcBorders>
              <w:bottom w:val="single" w:sz="4" w:space="0" w:color="auto"/>
            </w:tcBorders>
            <w:noWrap/>
            <w:hideMark/>
          </w:tcPr>
          <w:p w14:paraId="0EC1B90F"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TCTATGTC</w:t>
            </w:r>
          </w:p>
        </w:tc>
        <w:tc>
          <w:tcPr>
            <w:tcW w:w="3337" w:type="dxa"/>
            <w:tcBorders>
              <w:bottom w:val="single" w:sz="4" w:space="0" w:color="auto"/>
            </w:tcBorders>
            <w:noWrap/>
            <w:hideMark/>
          </w:tcPr>
          <w:p w14:paraId="38E52BD3"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GTACACACCGCCCGTC</w:t>
            </w:r>
          </w:p>
        </w:tc>
      </w:tr>
      <w:tr w:rsidR="00EB50F4" w:rsidRPr="00EB50F4" w14:paraId="00A02645" w14:textId="77777777" w:rsidTr="007412FF">
        <w:trPr>
          <w:trHeight w:val="320"/>
        </w:trPr>
        <w:tc>
          <w:tcPr>
            <w:tcW w:w="1417" w:type="dxa"/>
            <w:tcBorders>
              <w:top w:val="single" w:sz="4" w:space="0" w:color="auto"/>
              <w:bottom w:val="single" w:sz="4" w:space="0" w:color="auto"/>
            </w:tcBorders>
            <w:shd w:val="clear" w:color="auto" w:fill="D0CECE" w:themeFill="background2" w:themeFillShade="E6"/>
            <w:noWrap/>
          </w:tcPr>
          <w:p w14:paraId="04CDD992"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Reverse</w:t>
            </w:r>
          </w:p>
        </w:tc>
        <w:tc>
          <w:tcPr>
            <w:tcW w:w="4252" w:type="dxa"/>
            <w:tcBorders>
              <w:top w:val="single" w:sz="4" w:space="0" w:color="auto"/>
              <w:bottom w:val="single" w:sz="4" w:space="0" w:color="auto"/>
            </w:tcBorders>
            <w:shd w:val="clear" w:color="auto" w:fill="D0CECE" w:themeFill="background2" w:themeFillShade="E6"/>
            <w:noWrap/>
          </w:tcPr>
          <w:p w14:paraId="68207234" w14:textId="77777777" w:rsidR="00EB50F4" w:rsidRPr="00EB50F4" w:rsidRDefault="00EB50F4" w:rsidP="007412FF">
            <w:pPr>
              <w:spacing w:line="480" w:lineRule="auto"/>
              <w:rPr>
                <w:rFonts w:asciiTheme="minorHAnsi" w:hAnsiTheme="minorHAnsi" w:cstheme="minorHAnsi"/>
                <w:b/>
                <w:bCs/>
                <w:color w:val="000000"/>
                <w:lang w:val="en-GB"/>
              </w:rPr>
            </w:pPr>
            <w:r w:rsidRPr="00EB50F4">
              <w:rPr>
                <w:rFonts w:asciiTheme="minorHAnsi" w:hAnsiTheme="minorHAnsi" w:cstheme="minorHAnsi"/>
                <w:b/>
                <w:bCs/>
                <w:color w:val="000000"/>
                <w:lang w:val="en-GB"/>
              </w:rPr>
              <w:t>(P7)</w:t>
            </w:r>
          </w:p>
        </w:tc>
        <w:tc>
          <w:tcPr>
            <w:tcW w:w="2721" w:type="dxa"/>
            <w:tcBorders>
              <w:top w:val="single" w:sz="4" w:space="0" w:color="auto"/>
              <w:bottom w:val="single" w:sz="4" w:space="0" w:color="auto"/>
            </w:tcBorders>
            <w:shd w:val="clear" w:color="auto" w:fill="D0CECE" w:themeFill="background2" w:themeFillShade="E6"/>
            <w:noWrap/>
          </w:tcPr>
          <w:p w14:paraId="3FCA2FA0"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tcBorders>
              <w:top w:val="single" w:sz="4" w:space="0" w:color="auto"/>
              <w:bottom w:val="single" w:sz="4" w:space="0" w:color="auto"/>
            </w:tcBorders>
            <w:shd w:val="clear" w:color="auto" w:fill="D0CECE" w:themeFill="background2" w:themeFillShade="E6"/>
            <w:noWrap/>
          </w:tcPr>
          <w:p w14:paraId="4A91D4D5" w14:textId="77777777" w:rsidR="00EB50F4" w:rsidRPr="00EB50F4" w:rsidRDefault="00EB50F4" w:rsidP="007412FF">
            <w:pPr>
              <w:spacing w:line="480" w:lineRule="auto"/>
              <w:rPr>
                <w:rFonts w:asciiTheme="minorHAnsi" w:hAnsiTheme="minorHAnsi" w:cstheme="minorHAnsi"/>
                <w:color w:val="000000"/>
                <w:lang w:val="en-GB"/>
              </w:rPr>
            </w:pPr>
          </w:p>
        </w:tc>
        <w:tc>
          <w:tcPr>
            <w:tcW w:w="3337" w:type="dxa"/>
            <w:tcBorders>
              <w:top w:val="single" w:sz="4" w:space="0" w:color="auto"/>
              <w:bottom w:val="single" w:sz="4" w:space="0" w:color="auto"/>
            </w:tcBorders>
            <w:shd w:val="clear" w:color="auto" w:fill="D0CECE" w:themeFill="background2" w:themeFillShade="E6"/>
            <w:noWrap/>
          </w:tcPr>
          <w:p w14:paraId="579EC2B3" w14:textId="77777777" w:rsidR="00EB50F4" w:rsidRPr="00EB50F4" w:rsidRDefault="00EB50F4" w:rsidP="007412FF">
            <w:pPr>
              <w:spacing w:line="480" w:lineRule="auto"/>
              <w:rPr>
                <w:rFonts w:asciiTheme="minorHAnsi" w:hAnsiTheme="minorHAnsi" w:cstheme="minorHAnsi"/>
                <w:color w:val="000000"/>
                <w:lang w:val="en-GB"/>
              </w:rPr>
            </w:pPr>
          </w:p>
        </w:tc>
      </w:tr>
      <w:tr w:rsidR="00EB50F4" w:rsidRPr="00EB50F4" w14:paraId="0D207EEA" w14:textId="77777777" w:rsidTr="007412FF">
        <w:trPr>
          <w:trHeight w:val="320"/>
        </w:trPr>
        <w:tc>
          <w:tcPr>
            <w:tcW w:w="1417" w:type="dxa"/>
            <w:tcBorders>
              <w:top w:val="single" w:sz="4" w:space="0" w:color="auto"/>
            </w:tcBorders>
            <w:noWrap/>
            <w:vAlign w:val="bottom"/>
          </w:tcPr>
          <w:p w14:paraId="1AE8E55C"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EukBr_1</w:t>
            </w:r>
          </w:p>
        </w:tc>
        <w:tc>
          <w:tcPr>
            <w:tcW w:w="4252" w:type="dxa"/>
            <w:tcBorders>
              <w:top w:val="single" w:sz="4" w:space="0" w:color="auto"/>
            </w:tcBorders>
            <w:noWrap/>
            <w:vAlign w:val="bottom"/>
          </w:tcPr>
          <w:p w14:paraId="73B3A80D"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tcBorders>
              <w:top w:val="single" w:sz="4" w:space="0" w:color="auto"/>
            </w:tcBorders>
            <w:noWrap/>
          </w:tcPr>
          <w:p w14:paraId="4E42F7D1"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tcBorders>
              <w:top w:val="single" w:sz="4" w:space="0" w:color="auto"/>
            </w:tcBorders>
            <w:noWrap/>
            <w:vAlign w:val="bottom"/>
          </w:tcPr>
          <w:p w14:paraId="7A29DD2C"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AACCGA</w:t>
            </w:r>
          </w:p>
        </w:tc>
        <w:tc>
          <w:tcPr>
            <w:tcW w:w="3337" w:type="dxa"/>
            <w:tcBorders>
              <w:top w:val="single" w:sz="4" w:space="0" w:color="auto"/>
            </w:tcBorders>
            <w:noWrap/>
            <w:vAlign w:val="bottom"/>
          </w:tcPr>
          <w:p w14:paraId="3316CF6E"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5AF4DFE0" w14:textId="77777777" w:rsidTr="007412FF">
        <w:trPr>
          <w:trHeight w:val="320"/>
        </w:trPr>
        <w:tc>
          <w:tcPr>
            <w:tcW w:w="1417" w:type="dxa"/>
            <w:tcBorders>
              <w:bottom w:val="single" w:sz="4" w:space="0" w:color="auto"/>
            </w:tcBorders>
            <w:noWrap/>
            <w:vAlign w:val="bottom"/>
          </w:tcPr>
          <w:p w14:paraId="32B18337"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EukBr_2</w:t>
            </w:r>
          </w:p>
        </w:tc>
        <w:tc>
          <w:tcPr>
            <w:tcW w:w="4252" w:type="dxa"/>
            <w:tcBorders>
              <w:bottom w:val="single" w:sz="4" w:space="0" w:color="auto"/>
            </w:tcBorders>
            <w:noWrap/>
            <w:vAlign w:val="bottom"/>
          </w:tcPr>
          <w:p w14:paraId="5F03B543"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tcBorders>
              <w:bottom w:val="single" w:sz="4" w:space="0" w:color="auto"/>
            </w:tcBorders>
            <w:noWrap/>
          </w:tcPr>
          <w:p w14:paraId="2C4DB4D7"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tcBorders>
              <w:bottom w:val="single" w:sz="4" w:space="0" w:color="auto"/>
            </w:tcBorders>
            <w:noWrap/>
            <w:vAlign w:val="bottom"/>
          </w:tcPr>
          <w:p w14:paraId="3C1F6C5B"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TAGAGC</w:t>
            </w:r>
          </w:p>
        </w:tc>
        <w:tc>
          <w:tcPr>
            <w:tcW w:w="3337" w:type="dxa"/>
            <w:tcBorders>
              <w:bottom w:val="single" w:sz="4" w:space="0" w:color="auto"/>
            </w:tcBorders>
            <w:noWrap/>
            <w:vAlign w:val="bottom"/>
          </w:tcPr>
          <w:p w14:paraId="1C8CA72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5B99F597" w14:textId="77777777" w:rsidTr="007412FF">
        <w:trPr>
          <w:trHeight w:val="320"/>
        </w:trPr>
        <w:tc>
          <w:tcPr>
            <w:tcW w:w="1417" w:type="dxa"/>
            <w:noWrap/>
            <w:vAlign w:val="bottom"/>
          </w:tcPr>
          <w:p w14:paraId="7F3D7F5E"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EukBr_3</w:t>
            </w:r>
          </w:p>
        </w:tc>
        <w:tc>
          <w:tcPr>
            <w:tcW w:w="4252" w:type="dxa"/>
            <w:noWrap/>
            <w:vAlign w:val="bottom"/>
          </w:tcPr>
          <w:p w14:paraId="754C4809"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0A746A19"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2F16F90E"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GAAGAG</w:t>
            </w:r>
          </w:p>
        </w:tc>
        <w:tc>
          <w:tcPr>
            <w:tcW w:w="3337" w:type="dxa"/>
            <w:noWrap/>
            <w:vAlign w:val="bottom"/>
          </w:tcPr>
          <w:p w14:paraId="1F5D5BDD"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7650163A" w14:textId="77777777" w:rsidTr="007412FF">
        <w:trPr>
          <w:trHeight w:val="320"/>
        </w:trPr>
        <w:tc>
          <w:tcPr>
            <w:tcW w:w="1417" w:type="dxa"/>
            <w:noWrap/>
            <w:vAlign w:val="bottom"/>
          </w:tcPr>
          <w:p w14:paraId="3C6F868F"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lastRenderedPageBreak/>
              <w:t>EukBr_8</w:t>
            </w:r>
          </w:p>
        </w:tc>
        <w:tc>
          <w:tcPr>
            <w:tcW w:w="4252" w:type="dxa"/>
            <w:noWrap/>
            <w:vAlign w:val="bottom"/>
          </w:tcPr>
          <w:p w14:paraId="1D89FA96"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515F0FC7"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46ED237A"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TGAACG</w:t>
            </w:r>
          </w:p>
        </w:tc>
        <w:tc>
          <w:tcPr>
            <w:tcW w:w="3337" w:type="dxa"/>
            <w:noWrap/>
            <w:vAlign w:val="bottom"/>
          </w:tcPr>
          <w:p w14:paraId="1276E587"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21DC1806" w14:textId="77777777" w:rsidTr="007412FF">
        <w:trPr>
          <w:trHeight w:val="320"/>
        </w:trPr>
        <w:tc>
          <w:tcPr>
            <w:tcW w:w="1417" w:type="dxa"/>
            <w:noWrap/>
            <w:vAlign w:val="bottom"/>
          </w:tcPr>
          <w:p w14:paraId="79719306"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EukBr_170</w:t>
            </w:r>
          </w:p>
        </w:tc>
        <w:tc>
          <w:tcPr>
            <w:tcW w:w="4252" w:type="dxa"/>
            <w:noWrap/>
            <w:vAlign w:val="bottom"/>
          </w:tcPr>
          <w:p w14:paraId="15223303"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5C0BA7DF"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4633EF2D"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TACGCTC</w:t>
            </w:r>
          </w:p>
        </w:tc>
        <w:tc>
          <w:tcPr>
            <w:tcW w:w="3337" w:type="dxa"/>
            <w:noWrap/>
            <w:vAlign w:val="bottom"/>
          </w:tcPr>
          <w:p w14:paraId="516B7108"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42E0E23C" w14:textId="77777777" w:rsidTr="007412FF">
        <w:trPr>
          <w:trHeight w:val="320"/>
        </w:trPr>
        <w:tc>
          <w:tcPr>
            <w:tcW w:w="1417" w:type="dxa"/>
            <w:noWrap/>
            <w:vAlign w:val="bottom"/>
          </w:tcPr>
          <w:p w14:paraId="13926909"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EukBr_172</w:t>
            </w:r>
          </w:p>
        </w:tc>
        <w:tc>
          <w:tcPr>
            <w:tcW w:w="4252" w:type="dxa"/>
            <w:noWrap/>
            <w:vAlign w:val="bottom"/>
          </w:tcPr>
          <w:p w14:paraId="72D4435A"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5428BFAB"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3A4DD338"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TCATCTC</w:t>
            </w:r>
          </w:p>
        </w:tc>
        <w:tc>
          <w:tcPr>
            <w:tcW w:w="3337" w:type="dxa"/>
            <w:noWrap/>
            <w:vAlign w:val="bottom"/>
          </w:tcPr>
          <w:p w14:paraId="56ACEBDA"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07CB9992" w14:textId="77777777" w:rsidTr="007412FF">
        <w:trPr>
          <w:trHeight w:val="320"/>
        </w:trPr>
        <w:tc>
          <w:tcPr>
            <w:tcW w:w="1417" w:type="dxa"/>
            <w:noWrap/>
            <w:vAlign w:val="bottom"/>
          </w:tcPr>
          <w:p w14:paraId="4854020C"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EukBr_176</w:t>
            </w:r>
          </w:p>
        </w:tc>
        <w:tc>
          <w:tcPr>
            <w:tcW w:w="4252" w:type="dxa"/>
            <w:noWrap/>
            <w:vAlign w:val="bottom"/>
          </w:tcPr>
          <w:p w14:paraId="59DF4F90"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66FC32E8"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7439E830"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ACGAGTC</w:t>
            </w:r>
          </w:p>
        </w:tc>
        <w:tc>
          <w:tcPr>
            <w:tcW w:w="3337" w:type="dxa"/>
            <w:noWrap/>
            <w:vAlign w:val="bottom"/>
          </w:tcPr>
          <w:p w14:paraId="6C8D6794"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14E2BCAF" w14:textId="77777777" w:rsidTr="007412FF">
        <w:trPr>
          <w:trHeight w:val="320"/>
        </w:trPr>
        <w:tc>
          <w:tcPr>
            <w:tcW w:w="1417" w:type="dxa"/>
            <w:noWrap/>
            <w:vAlign w:val="bottom"/>
          </w:tcPr>
          <w:p w14:paraId="28CF32CF"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EukBr_315</w:t>
            </w:r>
          </w:p>
        </w:tc>
        <w:tc>
          <w:tcPr>
            <w:tcW w:w="4252" w:type="dxa"/>
            <w:noWrap/>
            <w:vAlign w:val="bottom"/>
          </w:tcPr>
          <w:p w14:paraId="2FDCEE97"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49B9E3F5"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7B6B0451"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ATGACGTC</w:t>
            </w:r>
          </w:p>
        </w:tc>
        <w:tc>
          <w:tcPr>
            <w:tcW w:w="3337" w:type="dxa"/>
            <w:noWrap/>
            <w:vAlign w:val="bottom"/>
          </w:tcPr>
          <w:p w14:paraId="5391A138"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3F1782ED" w14:textId="77777777" w:rsidTr="007412FF">
        <w:trPr>
          <w:trHeight w:val="320"/>
        </w:trPr>
        <w:tc>
          <w:tcPr>
            <w:tcW w:w="1417" w:type="dxa"/>
            <w:noWrap/>
            <w:vAlign w:val="bottom"/>
          </w:tcPr>
          <w:p w14:paraId="596D4929"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EukBr_318</w:t>
            </w:r>
          </w:p>
        </w:tc>
        <w:tc>
          <w:tcPr>
            <w:tcW w:w="4252" w:type="dxa"/>
            <w:noWrap/>
            <w:vAlign w:val="bottom"/>
          </w:tcPr>
          <w:p w14:paraId="509C7D97"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noWrap/>
          </w:tcPr>
          <w:p w14:paraId="1E8ADF93"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noWrap/>
            <w:vAlign w:val="bottom"/>
          </w:tcPr>
          <w:p w14:paraId="50AFDC73"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ATACAGTC</w:t>
            </w:r>
          </w:p>
        </w:tc>
        <w:tc>
          <w:tcPr>
            <w:tcW w:w="3337" w:type="dxa"/>
            <w:noWrap/>
            <w:vAlign w:val="bottom"/>
          </w:tcPr>
          <w:p w14:paraId="05A8FDA6"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r w:rsidR="00EB50F4" w:rsidRPr="00EB50F4" w14:paraId="0B0E4472" w14:textId="77777777" w:rsidTr="007412FF">
        <w:trPr>
          <w:trHeight w:val="320"/>
        </w:trPr>
        <w:tc>
          <w:tcPr>
            <w:tcW w:w="1417" w:type="dxa"/>
            <w:tcBorders>
              <w:bottom w:val="single" w:sz="4" w:space="0" w:color="auto"/>
            </w:tcBorders>
            <w:noWrap/>
            <w:vAlign w:val="bottom"/>
          </w:tcPr>
          <w:p w14:paraId="04068BBA"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EukBr_590</w:t>
            </w:r>
          </w:p>
        </w:tc>
        <w:tc>
          <w:tcPr>
            <w:tcW w:w="4252" w:type="dxa"/>
            <w:tcBorders>
              <w:bottom w:val="single" w:sz="4" w:space="0" w:color="auto"/>
            </w:tcBorders>
            <w:noWrap/>
            <w:vAlign w:val="bottom"/>
          </w:tcPr>
          <w:p w14:paraId="0A2B18F1"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CAAGCAGAAGACGGCATACGAGAT</w:t>
            </w:r>
          </w:p>
        </w:tc>
        <w:tc>
          <w:tcPr>
            <w:tcW w:w="2721" w:type="dxa"/>
            <w:tcBorders>
              <w:bottom w:val="single" w:sz="4" w:space="0" w:color="auto"/>
            </w:tcBorders>
            <w:noWrap/>
          </w:tcPr>
          <w:p w14:paraId="32689C22" w14:textId="77777777" w:rsidR="00EB50F4" w:rsidRPr="00EB50F4" w:rsidRDefault="00EB50F4" w:rsidP="007412FF">
            <w:pPr>
              <w:spacing w:line="480" w:lineRule="auto"/>
              <w:rPr>
                <w:rFonts w:asciiTheme="minorHAnsi" w:hAnsiTheme="minorHAnsi" w:cstheme="minorHAnsi"/>
                <w:color w:val="000000"/>
                <w:lang w:val="en-GB"/>
              </w:rPr>
            </w:pPr>
          </w:p>
        </w:tc>
        <w:tc>
          <w:tcPr>
            <w:tcW w:w="1417" w:type="dxa"/>
            <w:tcBorders>
              <w:bottom w:val="single" w:sz="4" w:space="0" w:color="auto"/>
            </w:tcBorders>
            <w:noWrap/>
            <w:vAlign w:val="bottom"/>
          </w:tcPr>
          <w:p w14:paraId="723AA23C"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ACATGACG</w:t>
            </w:r>
          </w:p>
        </w:tc>
        <w:tc>
          <w:tcPr>
            <w:tcW w:w="3337" w:type="dxa"/>
            <w:tcBorders>
              <w:bottom w:val="single" w:sz="4" w:space="0" w:color="auto"/>
            </w:tcBorders>
            <w:noWrap/>
            <w:vAlign w:val="bottom"/>
          </w:tcPr>
          <w:p w14:paraId="4E6EC87D" w14:textId="77777777" w:rsidR="00EB50F4" w:rsidRPr="00EB50F4" w:rsidRDefault="00EB50F4" w:rsidP="007412FF">
            <w:pPr>
              <w:spacing w:line="480" w:lineRule="auto"/>
              <w:rPr>
                <w:rFonts w:asciiTheme="minorHAnsi" w:hAnsiTheme="minorHAnsi" w:cstheme="minorHAnsi"/>
                <w:color w:val="000000"/>
                <w:lang w:val="en-GB"/>
              </w:rPr>
            </w:pPr>
            <w:r w:rsidRPr="00EB50F4">
              <w:rPr>
                <w:rFonts w:asciiTheme="minorHAnsi" w:hAnsiTheme="minorHAnsi" w:cstheme="minorHAnsi"/>
                <w:color w:val="000000"/>
                <w:lang w:val="en-GB"/>
              </w:rPr>
              <w:t>TGATCCTTCTGCAGGTTCACCTAC</w:t>
            </w:r>
          </w:p>
        </w:tc>
      </w:tr>
    </w:tbl>
    <w:p w14:paraId="3D648582" w14:textId="77777777" w:rsidR="00EB50F4" w:rsidRPr="00EB50F4" w:rsidRDefault="00EB50F4" w:rsidP="00EB50F4">
      <w:pPr>
        <w:spacing w:line="480" w:lineRule="auto"/>
        <w:rPr>
          <w:rFonts w:asciiTheme="minorHAnsi" w:hAnsiTheme="minorHAnsi" w:cstheme="minorHAnsi"/>
          <w:color w:val="000000"/>
          <w:lang w:val="en-GB"/>
        </w:rPr>
        <w:sectPr w:rsidR="00EB50F4" w:rsidRPr="00EB50F4" w:rsidSect="003C48BC">
          <w:pgSz w:w="16840" w:h="11900" w:orient="landscape"/>
          <w:pgMar w:top="1418" w:right="1701" w:bottom="1418" w:left="1701" w:header="709" w:footer="709" w:gutter="0"/>
          <w:lnNumType w:countBy="1" w:restart="continuous"/>
          <w:cols w:space="708"/>
          <w:docGrid w:linePitch="360"/>
        </w:sectPr>
      </w:pPr>
    </w:p>
    <w:p w14:paraId="546299A0" w14:textId="13687B0D" w:rsidR="00EB50F4" w:rsidRPr="00EB50F4" w:rsidRDefault="00EB50F4" w:rsidP="00EB50F4">
      <w:pPr>
        <w:spacing w:line="480" w:lineRule="auto"/>
        <w:rPr>
          <w:rFonts w:asciiTheme="minorHAnsi" w:hAnsiTheme="minorHAnsi" w:cstheme="minorHAnsi"/>
          <w:color w:val="000000" w:themeColor="text1"/>
          <w:shd w:val="clear" w:color="auto" w:fill="FFFFFF"/>
          <w:lang w:val="en-GB"/>
        </w:rPr>
      </w:pPr>
      <w:r w:rsidRPr="00EB50F4">
        <w:rPr>
          <w:rFonts w:asciiTheme="minorHAnsi" w:hAnsiTheme="minorHAnsi" w:cstheme="minorHAnsi"/>
          <w:b/>
          <w:bCs/>
          <w:color w:val="000000" w:themeColor="text1"/>
          <w:lang w:val="en-GB"/>
        </w:rPr>
        <w:lastRenderedPageBreak/>
        <w:t xml:space="preserve">Table </w:t>
      </w:r>
      <w:r w:rsidR="00E83413">
        <w:rPr>
          <w:rFonts w:asciiTheme="minorHAnsi" w:hAnsiTheme="minorHAnsi" w:cstheme="minorHAnsi"/>
          <w:b/>
          <w:bCs/>
          <w:color w:val="000000" w:themeColor="text1"/>
          <w:lang w:val="en-GB"/>
        </w:rPr>
        <w:t>S</w:t>
      </w:r>
      <w:r w:rsidRPr="00EB50F4">
        <w:rPr>
          <w:rFonts w:asciiTheme="minorHAnsi" w:hAnsiTheme="minorHAnsi" w:cstheme="minorHAnsi"/>
          <w:b/>
          <w:bCs/>
          <w:color w:val="000000" w:themeColor="text1"/>
          <w:lang w:val="en-GB"/>
        </w:rPr>
        <w:t>3.</w:t>
      </w:r>
      <w:r w:rsidRPr="00EB50F4">
        <w:rPr>
          <w:rFonts w:asciiTheme="minorHAnsi" w:hAnsiTheme="minorHAnsi" w:cstheme="minorHAnsi"/>
          <w:color w:val="000000" w:themeColor="text1"/>
          <w:lang w:val="en-GB"/>
        </w:rPr>
        <w:t xml:space="preserve"> List of primers used in the first and second round</w:t>
      </w:r>
      <w:r w:rsidR="00197A01">
        <w:rPr>
          <w:rFonts w:asciiTheme="minorHAnsi" w:hAnsiTheme="minorHAnsi" w:cstheme="minorHAnsi"/>
          <w:color w:val="000000" w:themeColor="text1"/>
          <w:lang w:val="en-GB"/>
        </w:rPr>
        <w:t>s</w:t>
      </w:r>
      <w:r w:rsidRPr="00EB50F4">
        <w:rPr>
          <w:rFonts w:asciiTheme="minorHAnsi" w:hAnsiTheme="minorHAnsi" w:cstheme="minorHAnsi"/>
          <w:color w:val="000000" w:themeColor="text1"/>
          <w:lang w:val="en-GB"/>
        </w:rPr>
        <w:t xml:space="preserve"> of the Two-step qPCR approach. F</w:t>
      </w:r>
      <w:r w:rsidRPr="00EB50F4">
        <w:rPr>
          <w:rFonts w:asciiTheme="minorHAnsi" w:hAnsiTheme="minorHAnsi" w:cstheme="minorHAnsi"/>
          <w:color w:val="000000"/>
          <w:lang w:val="en-GB"/>
        </w:rPr>
        <w:t>rom 5’ ends, primers for the first round contain a (1) Illumina flow cell adapter (P7), (2) Clustering enhancers as “N” segments and, (3) the specific primer sequence (</w:t>
      </w:r>
      <w:r w:rsidRPr="00EB50F4">
        <w:rPr>
          <w:rFonts w:asciiTheme="minorHAnsi" w:hAnsiTheme="minorHAnsi" w:cstheme="minorHAnsi"/>
          <w:color w:val="000000" w:themeColor="text1"/>
          <w:lang w:val="en-GB"/>
        </w:rPr>
        <w:t xml:space="preserve">Note that reverse complement of i7 sequences should be listed in sample sheet for </w:t>
      </w:r>
      <w:proofErr w:type="spellStart"/>
      <w:r w:rsidRPr="00EB50F4">
        <w:rPr>
          <w:rFonts w:asciiTheme="minorHAnsi" w:hAnsiTheme="minorHAnsi" w:cstheme="minorHAnsi"/>
          <w:color w:val="000000" w:themeColor="text1"/>
          <w:lang w:val="en-GB"/>
        </w:rPr>
        <w:t>MiSeq</w:t>
      </w:r>
      <w:proofErr w:type="spellEnd"/>
      <w:r w:rsidRPr="00EB50F4">
        <w:rPr>
          <w:rFonts w:asciiTheme="minorHAnsi" w:hAnsiTheme="minorHAnsi" w:cstheme="minorHAnsi"/>
          <w:color w:val="000000" w:themeColor="text1"/>
          <w:lang w:val="en-GB"/>
        </w:rPr>
        <w:t xml:space="preserve"> sample submissions). </w:t>
      </w:r>
      <w:r w:rsidRPr="00EB50F4">
        <w:rPr>
          <w:rFonts w:asciiTheme="minorHAnsi" w:hAnsiTheme="minorHAnsi" w:cstheme="minorHAnsi"/>
          <w:color w:val="000000"/>
          <w:lang w:val="en-GB"/>
        </w:rPr>
        <w:t>From 5’ ends, primers of the second round contain a (1) Illumina flow cell adapter (P5), (2) index (8 bp length) and, (3) Illumina flow cell adapter (P7).</w:t>
      </w:r>
    </w:p>
    <w:p w14:paraId="65AC8150" w14:textId="77777777" w:rsidR="00EB50F4" w:rsidRPr="00EB50F4" w:rsidRDefault="00EB50F4" w:rsidP="00EB50F4">
      <w:pPr>
        <w:spacing w:line="480" w:lineRule="auto"/>
        <w:rPr>
          <w:rFonts w:asciiTheme="minorHAnsi" w:hAnsiTheme="minorHAnsi" w:cstheme="minorHAnsi"/>
          <w:color w:val="000000" w:themeColor="text1"/>
          <w:lang w:val="en-GB"/>
        </w:rPr>
      </w:pPr>
    </w:p>
    <w:tbl>
      <w:tblPr>
        <w:tblW w:w="12800" w:type="dxa"/>
        <w:tblLook w:val="04A0" w:firstRow="1" w:lastRow="0" w:firstColumn="1" w:lastColumn="0" w:noHBand="0" w:noVBand="1"/>
      </w:tblPr>
      <w:tblGrid>
        <w:gridCol w:w="1984"/>
        <w:gridCol w:w="4735"/>
        <w:gridCol w:w="1346"/>
        <w:gridCol w:w="4735"/>
      </w:tblGrid>
      <w:tr w:rsidR="00EB50F4" w:rsidRPr="00EB50F4" w14:paraId="13C37645" w14:textId="77777777" w:rsidTr="007412FF">
        <w:trPr>
          <w:trHeight w:val="302"/>
        </w:trPr>
        <w:tc>
          <w:tcPr>
            <w:tcW w:w="1984" w:type="dxa"/>
            <w:tcBorders>
              <w:top w:val="single" w:sz="4" w:space="0" w:color="auto"/>
              <w:left w:val="nil"/>
              <w:bottom w:val="single" w:sz="4" w:space="0" w:color="auto"/>
              <w:right w:val="nil"/>
            </w:tcBorders>
            <w:shd w:val="clear" w:color="auto" w:fill="D0CECE" w:themeFill="background2" w:themeFillShade="E6"/>
            <w:noWrap/>
            <w:vAlign w:val="bottom"/>
            <w:hideMark/>
          </w:tcPr>
          <w:p w14:paraId="25E9D360" w14:textId="77777777" w:rsidR="00EB50F4" w:rsidRPr="00EB50F4" w:rsidRDefault="00EB50F4" w:rsidP="007412FF">
            <w:pPr>
              <w:spacing w:line="480" w:lineRule="auto"/>
              <w:rPr>
                <w:rFonts w:asciiTheme="minorHAnsi" w:hAnsiTheme="minorHAnsi" w:cstheme="minorHAnsi"/>
                <w:b/>
                <w:bCs/>
                <w:color w:val="000000" w:themeColor="text1"/>
                <w:lang w:val="en-GB"/>
              </w:rPr>
            </w:pPr>
            <w:r w:rsidRPr="00EB50F4">
              <w:rPr>
                <w:rFonts w:asciiTheme="minorHAnsi" w:hAnsiTheme="minorHAnsi" w:cstheme="minorHAnsi"/>
                <w:b/>
                <w:bCs/>
                <w:color w:val="000000" w:themeColor="text1"/>
                <w:lang w:val="en-GB"/>
              </w:rPr>
              <w:t>First round</w:t>
            </w:r>
          </w:p>
        </w:tc>
        <w:tc>
          <w:tcPr>
            <w:tcW w:w="4735" w:type="dxa"/>
            <w:tcBorders>
              <w:top w:val="single" w:sz="4" w:space="0" w:color="auto"/>
              <w:left w:val="nil"/>
              <w:bottom w:val="single" w:sz="4" w:space="0" w:color="auto"/>
              <w:right w:val="nil"/>
            </w:tcBorders>
            <w:shd w:val="clear" w:color="auto" w:fill="D0CECE" w:themeFill="background2" w:themeFillShade="E6"/>
            <w:noWrap/>
            <w:vAlign w:val="bottom"/>
          </w:tcPr>
          <w:p w14:paraId="165EC047" w14:textId="77777777" w:rsidR="00EB50F4" w:rsidRPr="00EB50F4" w:rsidRDefault="00EB50F4" w:rsidP="007412FF">
            <w:pPr>
              <w:spacing w:line="480" w:lineRule="auto"/>
              <w:rPr>
                <w:rFonts w:asciiTheme="minorHAnsi" w:hAnsiTheme="minorHAnsi" w:cstheme="minorHAnsi"/>
                <w:b/>
                <w:bCs/>
                <w:color w:val="000000" w:themeColor="text1"/>
                <w:highlight w:val="yellow"/>
                <w:lang w:val="en-GB"/>
              </w:rPr>
            </w:pPr>
            <w:r w:rsidRPr="00EB50F4">
              <w:rPr>
                <w:rFonts w:asciiTheme="minorHAnsi" w:hAnsiTheme="minorHAnsi" w:cstheme="minorHAnsi"/>
                <w:b/>
                <w:bCs/>
                <w:color w:val="000000" w:themeColor="text1"/>
                <w:lang w:val="en-GB"/>
              </w:rPr>
              <w:t>Illumina primer-binding P7</w:t>
            </w:r>
          </w:p>
        </w:tc>
        <w:tc>
          <w:tcPr>
            <w:tcW w:w="1346" w:type="dxa"/>
            <w:tcBorders>
              <w:top w:val="single" w:sz="4" w:space="0" w:color="auto"/>
              <w:left w:val="nil"/>
              <w:bottom w:val="single" w:sz="4" w:space="0" w:color="auto"/>
              <w:right w:val="nil"/>
            </w:tcBorders>
            <w:shd w:val="clear" w:color="auto" w:fill="D0CECE" w:themeFill="background2" w:themeFillShade="E6"/>
            <w:noWrap/>
            <w:vAlign w:val="bottom"/>
          </w:tcPr>
          <w:p w14:paraId="4C031253" w14:textId="77777777" w:rsidR="00EB50F4" w:rsidRPr="00EB50F4" w:rsidRDefault="00EB50F4" w:rsidP="007412FF">
            <w:pPr>
              <w:spacing w:line="480" w:lineRule="auto"/>
              <w:rPr>
                <w:rFonts w:asciiTheme="minorHAnsi" w:hAnsiTheme="minorHAnsi" w:cstheme="minorHAnsi"/>
                <w:b/>
                <w:bCs/>
                <w:color w:val="000000" w:themeColor="text1"/>
                <w:lang w:val="en-GB"/>
              </w:rPr>
            </w:pPr>
            <w:r w:rsidRPr="00EB50F4">
              <w:rPr>
                <w:rFonts w:asciiTheme="minorHAnsi" w:hAnsiTheme="minorHAnsi" w:cstheme="minorHAnsi"/>
                <w:b/>
                <w:bCs/>
                <w:color w:val="000000" w:themeColor="text1"/>
                <w:lang w:val="en-GB"/>
              </w:rPr>
              <w:t>Enhancer</w:t>
            </w:r>
          </w:p>
        </w:tc>
        <w:tc>
          <w:tcPr>
            <w:tcW w:w="4735" w:type="dxa"/>
            <w:tcBorders>
              <w:top w:val="single" w:sz="4" w:space="0" w:color="auto"/>
              <w:left w:val="nil"/>
              <w:bottom w:val="single" w:sz="4" w:space="0" w:color="auto"/>
              <w:right w:val="nil"/>
            </w:tcBorders>
            <w:shd w:val="clear" w:color="auto" w:fill="D0CECE" w:themeFill="background2" w:themeFillShade="E6"/>
            <w:noWrap/>
            <w:vAlign w:val="bottom"/>
          </w:tcPr>
          <w:p w14:paraId="2CE2CC46" w14:textId="77777777" w:rsidR="00EB50F4" w:rsidRPr="00EB50F4" w:rsidRDefault="00EB50F4" w:rsidP="007412FF">
            <w:pPr>
              <w:spacing w:line="480" w:lineRule="auto"/>
              <w:rPr>
                <w:rFonts w:asciiTheme="minorHAnsi" w:hAnsiTheme="minorHAnsi" w:cstheme="minorHAnsi"/>
                <w:b/>
                <w:bCs/>
                <w:color w:val="000000" w:themeColor="text1"/>
                <w:lang w:val="en-GB"/>
              </w:rPr>
            </w:pPr>
            <w:r w:rsidRPr="00EB50F4">
              <w:rPr>
                <w:rFonts w:asciiTheme="minorHAnsi" w:hAnsiTheme="minorHAnsi" w:cstheme="minorHAnsi"/>
                <w:b/>
                <w:bCs/>
                <w:color w:val="000000" w:themeColor="text1"/>
                <w:lang w:val="en-GB"/>
              </w:rPr>
              <w:t>Template Specific Primer</w:t>
            </w:r>
          </w:p>
        </w:tc>
      </w:tr>
      <w:tr w:rsidR="00EB50F4" w:rsidRPr="00EB50F4" w14:paraId="5FD4CC24" w14:textId="77777777" w:rsidTr="007412FF">
        <w:trPr>
          <w:trHeight w:val="302"/>
        </w:trPr>
        <w:tc>
          <w:tcPr>
            <w:tcW w:w="1984" w:type="dxa"/>
            <w:tcBorders>
              <w:top w:val="single" w:sz="8" w:space="0" w:color="000000"/>
              <w:left w:val="nil"/>
              <w:bottom w:val="nil"/>
              <w:right w:val="nil"/>
            </w:tcBorders>
            <w:shd w:val="clear" w:color="auto" w:fill="auto"/>
            <w:noWrap/>
            <w:vAlign w:val="bottom"/>
            <w:hideMark/>
          </w:tcPr>
          <w:p w14:paraId="4C9CEA91"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1391f_first</w:t>
            </w:r>
          </w:p>
        </w:tc>
        <w:tc>
          <w:tcPr>
            <w:tcW w:w="4735" w:type="dxa"/>
            <w:tcBorders>
              <w:top w:val="single" w:sz="8" w:space="0" w:color="000000"/>
              <w:left w:val="nil"/>
              <w:bottom w:val="nil"/>
              <w:right w:val="nil"/>
            </w:tcBorders>
            <w:shd w:val="clear" w:color="auto" w:fill="auto"/>
            <w:noWrap/>
            <w:vAlign w:val="bottom"/>
            <w:hideMark/>
          </w:tcPr>
          <w:p w14:paraId="3ADF8AAD"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ACACTCTTTCCCTACACGACGCTCTTCCGATCT</w:t>
            </w:r>
          </w:p>
        </w:tc>
        <w:tc>
          <w:tcPr>
            <w:tcW w:w="1346" w:type="dxa"/>
            <w:tcBorders>
              <w:top w:val="single" w:sz="8" w:space="0" w:color="000000"/>
              <w:left w:val="nil"/>
              <w:bottom w:val="nil"/>
              <w:right w:val="nil"/>
            </w:tcBorders>
            <w:shd w:val="clear" w:color="auto" w:fill="auto"/>
            <w:noWrap/>
            <w:vAlign w:val="bottom"/>
            <w:hideMark/>
          </w:tcPr>
          <w:p w14:paraId="2CD7EC0F"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NNNNNN</w:t>
            </w:r>
          </w:p>
        </w:tc>
        <w:tc>
          <w:tcPr>
            <w:tcW w:w="4735" w:type="dxa"/>
            <w:tcBorders>
              <w:top w:val="single" w:sz="8" w:space="0" w:color="000000"/>
              <w:left w:val="nil"/>
              <w:bottom w:val="nil"/>
              <w:right w:val="nil"/>
            </w:tcBorders>
            <w:shd w:val="clear" w:color="auto" w:fill="auto"/>
            <w:noWrap/>
            <w:vAlign w:val="bottom"/>
            <w:hideMark/>
          </w:tcPr>
          <w:p w14:paraId="7287D3C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GTACACACCGCCCGTC</w:t>
            </w:r>
          </w:p>
        </w:tc>
      </w:tr>
      <w:tr w:rsidR="00EB50F4" w:rsidRPr="00EB50F4" w14:paraId="7130E43B" w14:textId="77777777" w:rsidTr="007412FF">
        <w:trPr>
          <w:trHeight w:val="302"/>
        </w:trPr>
        <w:tc>
          <w:tcPr>
            <w:tcW w:w="1984" w:type="dxa"/>
            <w:tcBorders>
              <w:top w:val="nil"/>
              <w:left w:val="nil"/>
              <w:bottom w:val="single" w:sz="4" w:space="0" w:color="auto"/>
              <w:right w:val="nil"/>
            </w:tcBorders>
            <w:shd w:val="clear" w:color="auto" w:fill="auto"/>
            <w:noWrap/>
            <w:vAlign w:val="bottom"/>
            <w:hideMark/>
          </w:tcPr>
          <w:p w14:paraId="01A86051" w14:textId="77777777" w:rsidR="00EB50F4" w:rsidRPr="00EB50F4" w:rsidRDefault="00EB50F4" w:rsidP="007412FF">
            <w:pPr>
              <w:spacing w:line="480" w:lineRule="auto"/>
              <w:rPr>
                <w:rFonts w:asciiTheme="minorHAnsi" w:hAnsiTheme="minorHAnsi" w:cstheme="minorHAnsi"/>
                <w:color w:val="000000" w:themeColor="text1"/>
                <w:lang w:val="en-GB"/>
              </w:rPr>
            </w:pPr>
            <w:proofErr w:type="spellStart"/>
            <w:r w:rsidRPr="00EB50F4">
              <w:rPr>
                <w:rFonts w:asciiTheme="minorHAnsi" w:hAnsiTheme="minorHAnsi" w:cstheme="minorHAnsi"/>
                <w:color w:val="000000" w:themeColor="text1"/>
                <w:lang w:val="en-GB"/>
              </w:rPr>
              <w:t>EukBr_first</w:t>
            </w:r>
            <w:proofErr w:type="spellEnd"/>
          </w:p>
        </w:tc>
        <w:tc>
          <w:tcPr>
            <w:tcW w:w="4735" w:type="dxa"/>
            <w:tcBorders>
              <w:top w:val="nil"/>
              <w:left w:val="nil"/>
              <w:bottom w:val="single" w:sz="4" w:space="0" w:color="auto"/>
              <w:right w:val="nil"/>
            </w:tcBorders>
            <w:shd w:val="clear" w:color="auto" w:fill="auto"/>
            <w:noWrap/>
            <w:vAlign w:val="bottom"/>
            <w:hideMark/>
          </w:tcPr>
          <w:p w14:paraId="3383B1BC"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c>
          <w:tcPr>
            <w:tcW w:w="1346" w:type="dxa"/>
            <w:tcBorders>
              <w:top w:val="nil"/>
              <w:left w:val="nil"/>
              <w:bottom w:val="single" w:sz="4" w:space="0" w:color="auto"/>
              <w:right w:val="nil"/>
            </w:tcBorders>
            <w:shd w:val="clear" w:color="auto" w:fill="auto"/>
            <w:noWrap/>
            <w:vAlign w:val="bottom"/>
            <w:hideMark/>
          </w:tcPr>
          <w:p w14:paraId="5E46368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NNNNNN</w:t>
            </w:r>
          </w:p>
        </w:tc>
        <w:tc>
          <w:tcPr>
            <w:tcW w:w="4735" w:type="dxa"/>
            <w:tcBorders>
              <w:top w:val="nil"/>
              <w:left w:val="nil"/>
              <w:bottom w:val="single" w:sz="4" w:space="0" w:color="auto"/>
              <w:right w:val="nil"/>
            </w:tcBorders>
            <w:shd w:val="clear" w:color="auto" w:fill="auto"/>
            <w:noWrap/>
            <w:vAlign w:val="bottom"/>
            <w:hideMark/>
          </w:tcPr>
          <w:p w14:paraId="46A6344A"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TGATCCTTCTGCAGGTTCACCTAC</w:t>
            </w:r>
          </w:p>
        </w:tc>
      </w:tr>
      <w:tr w:rsidR="00EB50F4" w:rsidRPr="00EB50F4" w14:paraId="0EC99401" w14:textId="77777777" w:rsidTr="007412FF">
        <w:trPr>
          <w:trHeight w:val="302"/>
        </w:trPr>
        <w:tc>
          <w:tcPr>
            <w:tcW w:w="1984" w:type="dxa"/>
            <w:tcBorders>
              <w:top w:val="single" w:sz="4" w:space="0" w:color="auto"/>
              <w:left w:val="nil"/>
              <w:bottom w:val="single" w:sz="4" w:space="0" w:color="auto"/>
              <w:right w:val="nil"/>
            </w:tcBorders>
            <w:shd w:val="clear" w:color="auto" w:fill="D0CECE" w:themeFill="background2" w:themeFillShade="E6"/>
            <w:noWrap/>
            <w:vAlign w:val="bottom"/>
          </w:tcPr>
          <w:p w14:paraId="7BB0941B"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b/>
                <w:bCs/>
                <w:color w:val="000000" w:themeColor="text1"/>
                <w:lang w:val="en-GB"/>
              </w:rPr>
              <w:t>Second Round</w:t>
            </w:r>
          </w:p>
        </w:tc>
        <w:tc>
          <w:tcPr>
            <w:tcW w:w="4735" w:type="dxa"/>
            <w:tcBorders>
              <w:top w:val="single" w:sz="4" w:space="0" w:color="auto"/>
              <w:left w:val="nil"/>
              <w:bottom w:val="single" w:sz="4" w:space="0" w:color="auto"/>
              <w:right w:val="nil"/>
            </w:tcBorders>
            <w:shd w:val="clear" w:color="auto" w:fill="D0CECE" w:themeFill="background2" w:themeFillShade="E6"/>
            <w:noWrap/>
            <w:vAlign w:val="bottom"/>
          </w:tcPr>
          <w:p w14:paraId="402EC692"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b/>
                <w:bCs/>
                <w:color w:val="000000" w:themeColor="text1"/>
                <w:lang w:val="en-GB"/>
              </w:rPr>
              <w:t>Illumina primer-binding P5</w:t>
            </w:r>
          </w:p>
        </w:tc>
        <w:tc>
          <w:tcPr>
            <w:tcW w:w="1346" w:type="dxa"/>
            <w:tcBorders>
              <w:top w:val="single" w:sz="4" w:space="0" w:color="auto"/>
              <w:left w:val="nil"/>
              <w:bottom w:val="single" w:sz="4" w:space="0" w:color="auto"/>
              <w:right w:val="nil"/>
            </w:tcBorders>
            <w:shd w:val="clear" w:color="auto" w:fill="D0CECE" w:themeFill="background2" w:themeFillShade="E6"/>
            <w:noWrap/>
            <w:vAlign w:val="bottom"/>
          </w:tcPr>
          <w:p w14:paraId="5D84A521"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b/>
                <w:bCs/>
                <w:color w:val="000000" w:themeColor="text1"/>
                <w:lang w:val="en-GB"/>
              </w:rPr>
              <w:t>Index</w:t>
            </w:r>
          </w:p>
        </w:tc>
        <w:tc>
          <w:tcPr>
            <w:tcW w:w="4735" w:type="dxa"/>
            <w:tcBorders>
              <w:top w:val="single" w:sz="4" w:space="0" w:color="auto"/>
              <w:left w:val="nil"/>
              <w:bottom w:val="single" w:sz="4" w:space="0" w:color="auto"/>
              <w:right w:val="nil"/>
            </w:tcBorders>
            <w:shd w:val="clear" w:color="auto" w:fill="D0CECE" w:themeFill="background2" w:themeFillShade="E6"/>
            <w:noWrap/>
            <w:vAlign w:val="bottom"/>
          </w:tcPr>
          <w:p w14:paraId="44BFD7E0"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b/>
                <w:bCs/>
                <w:color w:val="000000" w:themeColor="text1"/>
                <w:lang w:val="en-GB"/>
              </w:rPr>
              <w:t>Illumina primer-binding P7</w:t>
            </w:r>
          </w:p>
        </w:tc>
      </w:tr>
      <w:tr w:rsidR="00EB50F4" w:rsidRPr="00EB50F4" w14:paraId="465FB0B5" w14:textId="77777777" w:rsidTr="007412FF">
        <w:trPr>
          <w:trHeight w:val="302"/>
        </w:trPr>
        <w:tc>
          <w:tcPr>
            <w:tcW w:w="1984" w:type="dxa"/>
            <w:tcBorders>
              <w:top w:val="single" w:sz="8" w:space="0" w:color="000000"/>
              <w:left w:val="nil"/>
              <w:bottom w:val="single" w:sz="4" w:space="0" w:color="auto"/>
              <w:right w:val="nil"/>
            </w:tcBorders>
            <w:shd w:val="clear" w:color="auto" w:fill="auto"/>
            <w:noWrap/>
            <w:vAlign w:val="bottom"/>
            <w:hideMark/>
          </w:tcPr>
          <w:p w14:paraId="663FA5DB" w14:textId="77777777" w:rsidR="00EB50F4" w:rsidRPr="00EB50F4" w:rsidRDefault="00EB50F4" w:rsidP="007412FF">
            <w:pPr>
              <w:spacing w:line="480" w:lineRule="auto"/>
              <w:rPr>
                <w:rFonts w:asciiTheme="minorHAnsi" w:hAnsiTheme="minorHAnsi" w:cstheme="minorHAnsi"/>
                <w:b/>
                <w:bCs/>
                <w:color w:val="000000" w:themeColor="text1"/>
                <w:lang w:val="en-GB"/>
              </w:rPr>
            </w:pPr>
            <w:r w:rsidRPr="00EB50F4">
              <w:rPr>
                <w:rFonts w:asciiTheme="minorHAnsi" w:hAnsiTheme="minorHAnsi" w:cstheme="minorHAnsi"/>
                <w:b/>
                <w:bCs/>
                <w:color w:val="000000" w:themeColor="text1"/>
                <w:lang w:val="en-GB"/>
              </w:rPr>
              <w:t>Forward</w:t>
            </w:r>
          </w:p>
        </w:tc>
        <w:tc>
          <w:tcPr>
            <w:tcW w:w="4735" w:type="dxa"/>
            <w:tcBorders>
              <w:top w:val="single" w:sz="8" w:space="0" w:color="000000"/>
              <w:left w:val="nil"/>
              <w:bottom w:val="single" w:sz="4" w:space="0" w:color="auto"/>
              <w:right w:val="nil"/>
            </w:tcBorders>
            <w:shd w:val="clear" w:color="auto" w:fill="auto"/>
            <w:noWrap/>
            <w:vAlign w:val="bottom"/>
            <w:hideMark/>
          </w:tcPr>
          <w:p w14:paraId="32CAA4F1" w14:textId="77777777" w:rsidR="00EB50F4" w:rsidRPr="00EB50F4" w:rsidRDefault="00EB50F4" w:rsidP="007412FF">
            <w:pPr>
              <w:spacing w:line="480" w:lineRule="auto"/>
              <w:rPr>
                <w:rFonts w:asciiTheme="minorHAnsi" w:hAnsiTheme="minorHAnsi" w:cstheme="minorHAnsi"/>
                <w:b/>
                <w:bCs/>
                <w:color w:val="000000" w:themeColor="text1"/>
                <w:lang w:val="en-GB"/>
              </w:rPr>
            </w:pPr>
          </w:p>
        </w:tc>
        <w:tc>
          <w:tcPr>
            <w:tcW w:w="1346" w:type="dxa"/>
            <w:tcBorders>
              <w:top w:val="single" w:sz="8" w:space="0" w:color="000000"/>
              <w:left w:val="nil"/>
              <w:bottom w:val="single" w:sz="4" w:space="0" w:color="auto"/>
              <w:right w:val="nil"/>
            </w:tcBorders>
            <w:shd w:val="clear" w:color="auto" w:fill="auto"/>
            <w:noWrap/>
            <w:vAlign w:val="bottom"/>
            <w:hideMark/>
          </w:tcPr>
          <w:p w14:paraId="232677FC" w14:textId="77777777" w:rsidR="00EB50F4" w:rsidRPr="00EB50F4" w:rsidRDefault="00EB50F4" w:rsidP="007412FF">
            <w:pPr>
              <w:spacing w:line="480" w:lineRule="auto"/>
              <w:rPr>
                <w:rFonts w:asciiTheme="minorHAnsi" w:hAnsiTheme="minorHAnsi" w:cstheme="minorHAnsi"/>
                <w:b/>
                <w:bCs/>
                <w:color w:val="000000" w:themeColor="text1"/>
                <w:lang w:val="en-GB"/>
              </w:rPr>
            </w:pPr>
            <w:r w:rsidRPr="00EB50F4">
              <w:rPr>
                <w:rFonts w:asciiTheme="minorHAnsi" w:hAnsiTheme="minorHAnsi" w:cstheme="minorHAnsi"/>
                <w:b/>
                <w:bCs/>
                <w:color w:val="000000" w:themeColor="text1"/>
                <w:lang w:val="en-GB"/>
              </w:rPr>
              <w:t>i5 indices</w:t>
            </w:r>
          </w:p>
        </w:tc>
        <w:tc>
          <w:tcPr>
            <w:tcW w:w="4735" w:type="dxa"/>
            <w:tcBorders>
              <w:top w:val="single" w:sz="8" w:space="0" w:color="000000"/>
              <w:left w:val="nil"/>
              <w:bottom w:val="single" w:sz="4" w:space="0" w:color="auto"/>
              <w:right w:val="nil"/>
            </w:tcBorders>
            <w:shd w:val="clear" w:color="auto" w:fill="auto"/>
            <w:noWrap/>
            <w:vAlign w:val="bottom"/>
            <w:hideMark/>
          </w:tcPr>
          <w:p w14:paraId="15D5CE80" w14:textId="77777777" w:rsidR="00EB50F4" w:rsidRPr="00EB50F4" w:rsidRDefault="00EB50F4" w:rsidP="007412FF">
            <w:pPr>
              <w:spacing w:line="480" w:lineRule="auto"/>
              <w:rPr>
                <w:rFonts w:asciiTheme="minorHAnsi" w:hAnsiTheme="minorHAnsi" w:cstheme="minorHAnsi"/>
                <w:b/>
                <w:bCs/>
                <w:color w:val="000000" w:themeColor="text1"/>
                <w:lang w:val="en-GB"/>
              </w:rPr>
            </w:pPr>
          </w:p>
        </w:tc>
      </w:tr>
      <w:tr w:rsidR="00EB50F4" w:rsidRPr="00EB50F4" w14:paraId="66418586" w14:textId="77777777" w:rsidTr="007412FF">
        <w:trPr>
          <w:trHeight w:val="302"/>
        </w:trPr>
        <w:tc>
          <w:tcPr>
            <w:tcW w:w="1984" w:type="dxa"/>
            <w:tcBorders>
              <w:top w:val="single" w:sz="4" w:space="0" w:color="auto"/>
              <w:left w:val="nil"/>
              <w:bottom w:val="nil"/>
              <w:right w:val="nil"/>
            </w:tcBorders>
            <w:shd w:val="clear" w:color="auto" w:fill="auto"/>
            <w:noWrap/>
            <w:vAlign w:val="bottom"/>
            <w:hideMark/>
          </w:tcPr>
          <w:p w14:paraId="600AF00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2nd_PCR_F_A501</w:t>
            </w:r>
          </w:p>
        </w:tc>
        <w:tc>
          <w:tcPr>
            <w:tcW w:w="4735" w:type="dxa"/>
            <w:tcBorders>
              <w:top w:val="single" w:sz="4" w:space="0" w:color="auto"/>
              <w:left w:val="nil"/>
              <w:bottom w:val="nil"/>
              <w:right w:val="nil"/>
            </w:tcBorders>
            <w:shd w:val="clear" w:color="auto" w:fill="auto"/>
            <w:noWrap/>
            <w:vAlign w:val="bottom"/>
            <w:hideMark/>
          </w:tcPr>
          <w:p w14:paraId="1EA772C5"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AATGATACGGCGACCACCGAGATCTACAC</w:t>
            </w:r>
          </w:p>
        </w:tc>
        <w:tc>
          <w:tcPr>
            <w:tcW w:w="1346" w:type="dxa"/>
            <w:tcBorders>
              <w:top w:val="single" w:sz="4" w:space="0" w:color="auto"/>
              <w:left w:val="nil"/>
              <w:bottom w:val="nil"/>
              <w:right w:val="nil"/>
            </w:tcBorders>
            <w:shd w:val="clear" w:color="auto" w:fill="auto"/>
            <w:noWrap/>
            <w:vAlign w:val="bottom"/>
            <w:hideMark/>
          </w:tcPr>
          <w:p w14:paraId="18EABFD1"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TGAACCTT</w:t>
            </w:r>
          </w:p>
        </w:tc>
        <w:tc>
          <w:tcPr>
            <w:tcW w:w="4735" w:type="dxa"/>
            <w:tcBorders>
              <w:top w:val="single" w:sz="4" w:space="0" w:color="auto"/>
              <w:left w:val="nil"/>
              <w:bottom w:val="nil"/>
              <w:right w:val="nil"/>
            </w:tcBorders>
            <w:shd w:val="clear" w:color="auto" w:fill="auto"/>
            <w:noWrap/>
            <w:vAlign w:val="bottom"/>
            <w:hideMark/>
          </w:tcPr>
          <w:p w14:paraId="00CD7D0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ACACTCTTTCCCTACACGACGCTCTTCCGATCT</w:t>
            </w:r>
          </w:p>
        </w:tc>
      </w:tr>
      <w:tr w:rsidR="00EB50F4" w:rsidRPr="00EB50F4" w14:paraId="261F43F4" w14:textId="77777777" w:rsidTr="007412FF">
        <w:trPr>
          <w:trHeight w:val="302"/>
        </w:trPr>
        <w:tc>
          <w:tcPr>
            <w:tcW w:w="1984" w:type="dxa"/>
            <w:tcBorders>
              <w:top w:val="nil"/>
              <w:left w:val="nil"/>
              <w:bottom w:val="nil"/>
              <w:right w:val="nil"/>
            </w:tcBorders>
            <w:shd w:val="clear" w:color="auto" w:fill="auto"/>
            <w:noWrap/>
            <w:vAlign w:val="bottom"/>
            <w:hideMark/>
          </w:tcPr>
          <w:p w14:paraId="7AAC50AD"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2nd_PCR_F_A502</w:t>
            </w:r>
          </w:p>
        </w:tc>
        <w:tc>
          <w:tcPr>
            <w:tcW w:w="4735" w:type="dxa"/>
            <w:tcBorders>
              <w:top w:val="nil"/>
              <w:left w:val="nil"/>
              <w:bottom w:val="nil"/>
              <w:right w:val="nil"/>
            </w:tcBorders>
            <w:shd w:val="clear" w:color="auto" w:fill="auto"/>
            <w:noWrap/>
            <w:vAlign w:val="bottom"/>
            <w:hideMark/>
          </w:tcPr>
          <w:p w14:paraId="3F9FF0D6"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AATGATACGGCGACCACCGAGATCTACAC</w:t>
            </w:r>
          </w:p>
        </w:tc>
        <w:tc>
          <w:tcPr>
            <w:tcW w:w="1346" w:type="dxa"/>
            <w:tcBorders>
              <w:top w:val="nil"/>
              <w:left w:val="nil"/>
              <w:bottom w:val="nil"/>
              <w:right w:val="nil"/>
            </w:tcBorders>
            <w:shd w:val="clear" w:color="auto" w:fill="auto"/>
            <w:noWrap/>
            <w:vAlign w:val="bottom"/>
            <w:hideMark/>
          </w:tcPr>
          <w:p w14:paraId="75E7227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TGCTAAGT</w:t>
            </w:r>
          </w:p>
        </w:tc>
        <w:tc>
          <w:tcPr>
            <w:tcW w:w="4735" w:type="dxa"/>
            <w:tcBorders>
              <w:top w:val="nil"/>
              <w:left w:val="nil"/>
              <w:bottom w:val="nil"/>
              <w:right w:val="nil"/>
            </w:tcBorders>
            <w:shd w:val="clear" w:color="auto" w:fill="auto"/>
            <w:noWrap/>
            <w:vAlign w:val="bottom"/>
            <w:hideMark/>
          </w:tcPr>
          <w:p w14:paraId="3F2268E7"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ACACTCTTTCCCTACACGACGCTCTTCCGATCT</w:t>
            </w:r>
          </w:p>
        </w:tc>
      </w:tr>
      <w:tr w:rsidR="00EB50F4" w:rsidRPr="00EB50F4" w14:paraId="0957165F" w14:textId="77777777" w:rsidTr="007412FF">
        <w:trPr>
          <w:trHeight w:val="302"/>
        </w:trPr>
        <w:tc>
          <w:tcPr>
            <w:tcW w:w="1984" w:type="dxa"/>
            <w:tcBorders>
              <w:top w:val="nil"/>
              <w:left w:val="nil"/>
              <w:bottom w:val="nil"/>
              <w:right w:val="nil"/>
            </w:tcBorders>
            <w:shd w:val="clear" w:color="auto" w:fill="auto"/>
            <w:noWrap/>
            <w:vAlign w:val="bottom"/>
            <w:hideMark/>
          </w:tcPr>
          <w:p w14:paraId="187EBFE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2nd_PCR_F_A503</w:t>
            </w:r>
          </w:p>
        </w:tc>
        <w:tc>
          <w:tcPr>
            <w:tcW w:w="4735" w:type="dxa"/>
            <w:tcBorders>
              <w:top w:val="nil"/>
              <w:left w:val="nil"/>
              <w:bottom w:val="nil"/>
              <w:right w:val="nil"/>
            </w:tcBorders>
            <w:shd w:val="clear" w:color="auto" w:fill="auto"/>
            <w:noWrap/>
            <w:vAlign w:val="bottom"/>
            <w:hideMark/>
          </w:tcPr>
          <w:p w14:paraId="51950012"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AATGATACGGCGACCACCGAGATCTACAC</w:t>
            </w:r>
          </w:p>
        </w:tc>
        <w:tc>
          <w:tcPr>
            <w:tcW w:w="1346" w:type="dxa"/>
            <w:tcBorders>
              <w:top w:val="nil"/>
              <w:left w:val="nil"/>
              <w:bottom w:val="nil"/>
              <w:right w:val="nil"/>
            </w:tcBorders>
            <w:shd w:val="clear" w:color="auto" w:fill="auto"/>
            <w:noWrap/>
            <w:vAlign w:val="bottom"/>
            <w:hideMark/>
          </w:tcPr>
          <w:p w14:paraId="5C3095BE"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TGTTCTCT</w:t>
            </w:r>
          </w:p>
        </w:tc>
        <w:tc>
          <w:tcPr>
            <w:tcW w:w="4735" w:type="dxa"/>
            <w:tcBorders>
              <w:top w:val="nil"/>
              <w:left w:val="nil"/>
              <w:bottom w:val="nil"/>
              <w:right w:val="nil"/>
            </w:tcBorders>
            <w:shd w:val="clear" w:color="auto" w:fill="auto"/>
            <w:noWrap/>
            <w:vAlign w:val="bottom"/>
            <w:hideMark/>
          </w:tcPr>
          <w:p w14:paraId="4EED86BE"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ACACTCTTTCCCTACACGACGCTCTTCCGATCT</w:t>
            </w:r>
          </w:p>
        </w:tc>
      </w:tr>
      <w:tr w:rsidR="00EB50F4" w:rsidRPr="00EB50F4" w14:paraId="4567EF9F" w14:textId="77777777" w:rsidTr="007412FF">
        <w:trPr>
          <w:trHeight w:val="302"/>
        </w:trPr>
        <w:tc>
          <w:tcPr>
            <w:tcW w:w="1984" w:type="dxa"/>
            <w:tcBorders>
              <w:top w:val="nil"/>
              <w:left w:val="nil"/>
              <w:bottom w:val="nil"/>
              <w:right w:val="nil"/>
            </w:tcBorders>
            <w:shd w:val="clear" w:color="auto" w:fill="auto"/>
            <w:noWrap/>
            <w:vAlign w:val="bottom"/>
            <w:hideMark/>
          </w:tcPr>
          <w:p w14:paraId="6D01EAD7"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2nd_PCR_F_A504</w:t>
            </w:r>
          </w:p>
        </w:tc>
        <w:tc>
          <w:tcPr>
            <w:tcW w:w="4735" w:type="dxa"/>
            <w:tcBorders>
              <w:top w:val="nil"/>
              <w:left w:val="nil"/>
              <w:bottom w:val="nil"/>
              <w:right w:val="nil"/>
            </w:tcBorders>
            <w:shd w:val="clear" w:color="auto" w:fill="auto"/>
            <w:noWrap/>
            <w:vAlign w:val="bottom"/>
            <w:hideMark/>
          </w:tcPr>
          <w:p w14:paraId="7D9B1A0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AATGATACGGCGACCACCGAGATCTACAC</w:t>
            </w:r>
          </w:p>
        </w:tc>
        <w:tc>
          <w:tcPr>
            <w:tcW w:w="1346" w:type="dxa"/>
            <w:tcBorders>
              <w:top w:val="nil"/>
              <w:left w:val="nil"/>
              <w:bottom w:val="nil"/>
              <w:right w:val="nil"/>
            </w:tcBorders>
            <w:shd w:val="clear" w:color="auto" w:fill="auto"/>
            <w:noWrap/>
            <w:vAlign w:val="bottom"/>
            <w:hideMark/>
          </w:tcPr>
          <w:p w14:paraId="4241D21C"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TAAGACAC</w:t>
            </w:r>
          </w:p>
        </w:tc>
        <w:tc>
          <w:tcPr>
            <w:tcW w:w="4735" w:type="dxa"/>
            <w:tcBorders>
              <w:top w:val="nil"/>
              <w:left w:val="nil"/>
              <w:bottom w:val="nil"/>
              <w:right w:val="nil"/>
            </w:tcBorders>
            <w:shd w:val="clear" w:color="auto" w:fill="auto"/>
            <w:noWrap/>
            <w:vAlign w:val="bottom"/>
            <w:hideMark/>
          </w:tcPr>
          <w:p w14:paraId="7226611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ACACTCTTTCCCTACACGACGCTCTTCCGATCT</w:t>
            </w:r>
          </w:p>
        </w:tc>
      </w:tr>
      <w:tr w:rsidR="00EB50F4" w:rsidRPr="00EB50F4" w14:paraId="40468415" w14:textId="77777777" w:rsidTr="007412FF">
        <w:trPr>
          <w:trHeight w:val="302"/>
        </w:trPr>
        <w:tc>
          <w:tcPr>
            <w:tcW w:w="1984" w:type="dxa"/>
            <w:tcBorders>
              <w:top w:val="nil"/>
              <w:left w:val="nil"/>
              <w:bottom w:val="single" w:sz="4" w:space="0" w:color="auto"/>
              <w:right w:val="nil"/>
            </w:tcBorders>
            <w:shd w:val="clear" w:color="auto" w:fill="auto"/>
            <w:noWrap/>
            <w:vAlign w:val="bottom"/>
            <w:hideMark/>
          </w:tcPr>
          <w:p w14:paraId="3F60843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2nd_PCR_F_A505</w:t>
            </w:r>
          </w:p>
        </w:tc>
        <w:tc>
          <w:tcPr>
            <w:tcW w:w="4735" w:type="dxa"/>
            <w:tcBorders>
              <w:top w:val="nil"/>
              <w:left w:val="nil"/>
              <w:bottom w:val="single" w:sz="4" w:space="0" w:color="auto"/>
              <w:right w:val="nil"/>
            </w:tcBorders>
            <w:shd w:val="clear" w:color="auto" w:fill="auto"/>
            <w:noWrap/>
            <w:vAlign w:val="bottom"/>
            <w:hideMark/>
          </w:tcPr>
          <w:p w14:paraId="74BC5F68"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AATGATACGGCGACCACCGAGATCTACAC</w:t>
            </w:r>
          </w:p>
        </w:tc>
        <w:tc>
          <w:tcPr>
            <w:tcW w:w="1346" w:type="dxa"/>
            <w:tcBorders>
              <w:top w:val="nil"/>
              <w:left w:val="nil"/>
              <w:bottom w:val="single" w:sz="4" w:space="0" w:color="auto"/>
              <w:right w:val="nil"/>
            </w:tcBorders>
            <w:shd w:val="clear" w:color="auto" w:fill="auto"/>
            <w:noWrap/>
            <w:vAlign w:val="bottom"/>
            <w:hideMark/>
          </w:tcPr>
          <w:p w14:paraId="79A5128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CTAATCGA</w:t>
            </w:r>
          </w:p>
        </w:tc>
        <w:tc>
          <w:tcPr>
            <w:tcW w:w="4735" w:type="dxa"/>
            <w:tcBorders>
              <w:top w:val="nil"/>
              <w:left w:val="nil"/>
              <w:bottom w:val="single" w:sz="4" w:space="0" w:color="auto"/>
              <w:right w:val="nil"/>
            </w:tcBorders>
            <w:shd w:val="clear" w:color="auto" w:fill="auto"/>
            <w:noWrap/>
            <w:vAlign w:val="bottom"/>
            <w:hideMark/>
          </w:tcPr>
          <w:p w14:paraId="4CC5186A"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ACACTCTTTCCCTACACGACGCTCTTCCGATCT</w:t>
            </w:r>
          </w:p>
        </w:tc>
      </w:tr>
      <w:tr w:rsidR="00EB50F4" w:rsidRPr="00EB50F4" w14:paraId="1BAE53A5" w14:textId="77777777" w:rsidTr="007412FF">
        <w:trPr>
          <w:trHeight w:val="302"/>
        </w:trPr>
        <w:tc>
          <w:tcPr>
            <w:tcW w:w="1984" w:type="dxa"/>
            <w:tcBorders>
              <w:top w:val="single" w:sz="4" w:space="0" w:color="auto"/>
              <w:left w:val="nil"/>
              <w:bottom w:val="single" w:sz="4" w:space="0" w:color="auto"/>
              <w:right w:val="nil"/>
            </w:tcBorders>
            <w:shd w:val="clear" w:color="auto" w:fill="auto"/>
            <w:noWrap/>
            <w:vAlign w:val="bottom"/>
            <w:hideMark/>
          </w:tcPr>
          <w:p w14:paraId="6C45F0D8" w14:textId="77777777" w:rsidR="00EB50F4" w:rsidRPr="00EB50F4" w:rsidRDefault="00EB50F4" w:rsidP="007412FF">
            <w:pPr>
              <w:spacing w:line="480" w:lineRule="auto"/>
              <w:rPr>
                <w:rFonts w:asciiTheme="minorHAnsi" w:hAnsiTheme="minorHAnsi" w:cstheme="minorHAnsi"/>
                <w:b/>
                <w:bCs/>
                <w:color w:val="000000" w:themeColor="text1"/>
                <w:lang w:val="en-GB"/>
              </w:rPr>
            </w:pPr>
            <w:r w:rsidRPr="00EB50F4">
              <w:rPr>
                <w:rFonts w:asciiTheme="minorHAnsi" w:hAnsiTheme="minorHAnsi" w:cstheme="minorHAnsi"/>
                <w:b/>
                <w:bCs/>
                <w:color w:val="000000" w:themeColor="text1"/>
                <w:lang w:val="en-GB"/>
              </w:rPr>
              <w:lastRenderedPageBreak/>
              <w:t>Reverse</w:t>
            </w:r>
          </w:p>
        </w:tc>
        <w:tc>
          <w:tcPr>
            <w:tcW w:w="4735" w:type="dxa"/>
            <w:tcBorders>
              <w:top w:val="single" w:sz="4" w:space="0" w:color="auto"/>
              <w:left w:val="nil"/>
              <w:bottom w:val="single" w:sz="4" w:space="0" w:color="auto"/>
              <w:right w:val="nil"/>
            </w:tcBorders>
            <w:shd w:val="clear" w:color="auto" w:fill="auto"/>
            <w:noWrap/>
            <w:vAlign w:val="bottom"/>
            <w:hideMark/>
          </w:tcPr>
          <w:p w14:paraId="523578CB" w14:textId="77777777" w:rsidR="00EB50F4" w:rsidRPr="00EB50F4" w:rsidRDefault="00EB50F4" w:rsidP="007412FF">
            <w:pPr>
              <w:spacing w:line="480" w:lineRule="auto"/>
              <w:rPr>
                <w:rFonts w:asciiTheme="minorHAnsi" w:hAnsiTheme="minorHAnsi" w:cstheme="minorHAnsi"/>
                <w:b/>
                <w:bCs/>
                <w:color w:val="000000" w:themeColor="text1"/>
                <w:lang w:val="en-GB"/>
              </w:rPr>
            </w:pPr>
          </w:p>
        </w:tc>
        <w:tc>
          <w:tcPr>
            <w:tcW w:w="1346" w:type="dxa"/>
            <w:tcBorders>
              <w:top w:val="single" w:sz="4" w:space="0" w:color="auto"/>
              <w:left w:val="nil"/>
              <w:bottom w:val="single" w:sz="4" w:space="0" w:color="auto"/>
              <w:right w:val="nil"/>
            </w:tcBorders>
            <w:shd w:val="clear" w:color="auto" w:fill="auto"/>
            <w:noWrap/>
            <w:vAlign w:val="bottom"/>
            <w:hideMark/>
          </w:tcPr>
          <w:p w14:paraId="6867D3FE"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b/>
                <w:bCs/>
                <w:color w:val="000000" w:themeColor="text1"/>
                <w:lang w:val="en-GB"/>
              </w:rPr>
              <w:t>i7 indices</w:t>
            </w:r>
          </w:p>
        </w:tc>
        <w:tc>
          <w:tcPr>
            <w:tcW w:w="4735" w:type="dxa"/>
            <w:tcBorders>
              <w:top w:val="single" w:sz="4" w:space="0" w:color="auto"/>
              <w:left w:val="nil"/>
              <w:bottom w:val="single" w:sz="4" w:space="0" w:color="auto"/>
              <w:right w:val="nil"/>
            </w:tcBorders>
            <w:shd w:val="clear" w:color="auto" w:fill="auto"/>
            <w:noWrap/>
            <w:vAlign w:val="bottom"/>
            <w:hideMark/>
          </w:tcPr>
          <w:p w14:paraId="723CA5B7" w14:textId="77777777" w:rsidR="00EB50F4" w:rsidRPr="00EB50F4" w:rsidRDefault="00EB50F4" w:rsidP="007412FF">
            <w:pPr>
              <w:spacing w:line="480" w:lineRule="auto"/>
              <w:rPr>
                <w:rFonts w:asciiTheme="minorHAnsi" w:hAnsiTheme="minorHAnsi" w:cstheme="minorHAnsi"/>
                <w:color w:val="000000" w:themeColor="text1"/>
                <w:lang w:val="en-GB"/>
              </w:rPr>
            </w:pPr>
          </w:p>
        </w:tc>
      </w:tr>
      <w:tr w:rsidR="00EB50F4" w:rsidRPr="00EB50F4" w14:paraId="47A105EC" w14:textId="77777777" w:rsidTr="007412FF">
        <w:trPr>
          <w:trHeight w:val="302"/>
        </w:trPr>
        <w:tc>
          <w:tcPr>
            <w:tcW w:w="1984" w:type="dxa"/>
            <w:tcBorders>
              <w:top w:val="single" w:sz="4" w:space="0" w:color="auto"/>
              <w:left w:val="nil"/>
              <w:bottom w:val="nil"/>
              <w:right w:val="nil"/>
            </w:tcBorders>
            <w:shd w:val="clear" w:color="auto" w:fill="auto"/>
            <w:noWrap/>
            <w:vAlign w:val="bottom"/>
            <w:hideMark/>
          </w:tcPr>
          <w:p w14:paraId="09CBA5A7"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2nd_PCR_R_A701</w:t>
            </w:r>
          </w:p>
        </w:tc>
        <w:tc>
          <w:tcPr>
            <w:tcW w:w="4735" w:type="dxa"/>
            <w:tcBorders>
              <w:top w:val="single" w:sz="4" w:space="0" w:color="auto"/>
              <w:left w:val="nil"/>
              <w:bottom w:val="nil"/>
              <w:right w:val="nil"/>
            </w:tcBorders>
            <w:shd w:val="clear" w:color="auto" w:fill="auto"/>
            <w:noWrap/>
            <w:vAlign w:val="center"/>
            <w:hideMark/>
          </w:tcPr>
          <w:p w14:paraId="649EC0CC"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single" w:sz="4" w:space="0" w:color="auto"/>
              <w:left w:val="nil"/>
              <w:bottom w:val="nil"/>
              <w:right w:val="nil"/>
            </w:tcBorders>
            <w:shd w:val="clear" w:color="auto" w:fill="auto"/>
            <w:noWrap/>
            <w:vAlign w:val="bottom"/>
            <w:hideMark/>
          </w:tcPr>
          <w:p w14:paraId="395736BD"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GTCGTGAT</w:t>
            </w:r>
          </w:p>
        </w:tc>
        <w:tc>
          <w:tcPr>
            <w:tcW w:w="4735" w:type="dxa"/>
            <w:tcBorders>
              <w:top w:val="single" w:sz="4" w:space="0" w:color="auto"/>
              <w:left w:val="nil"/>
              <w:bottom w:val="nil"/>
              <w:right w:val="nil"/>
            </w:tcBorders>
            <w:shd w:val="clear" w:color="auto" w:fill="auto"/>
            <w:noWrap/>
            <w:vAlign w:val="bottom"/>
            <w:hideMark/>
          </w:tcPr>
          <w:p w14:paraId="61DBC85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11FDCA03" w14:textId="77777777" w:rsidTr="007412FF">
        <w:trPr>
          <w:trHeight w:val="302"/>
        </w:trPr>
        <w:tc>
          <w:tcPr>
            <w:tcW w:w="1984" w:type="dxa"/>
            <w:tcBorders>
              <w:top w:val="nil"/>
              <w:left w:val="nil"/>
              <w:bottom w:val="nil"/>
              <w:right w:val="nil"/>
            </w:tcBorders>
            <w:shd w:val="clear" w:color="auto" w:fill="auto"/>
            <w:noWrap/>
            <w:vAlign w:val="bottom"/>
            <w:hideMark/>
          </w:tcPr>
          <w:p w14:paraId="076D0C8C"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2nd_PCR_R_A702</w:t>
            </w:r>
          </w:p>
        </w:tc>
        <w:tc>
          <w:tcPr>
            <w:tcW w:w="4735" w:type="dxa"/>
            <w:tcBorders>
              <w:top w:val="nil"/>
              <w:left w:val="nil"/>
              <w:bottom w:val="nil"/>
              <w:right w:val="nil"/>
            </w:tcBorders>
            <w:shd w:val="clear" w:color="auto" w:fill="auto"/>
            <w:noWrap/>
            <w:vAlign w:val="center"/>
            <w:hideMark/>
          </w:tcPr>
          <w:p w14:paraId="7D871A37"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4305BB7F"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ACCACTGT</w:t>
            </w:r>
          </w:p>
        </w:tc>
        <w:tc>
          <w:tcPr>
            <w:tcW w:w="4735" w:type="dxa"/>
            <w:tcBorders>
              <w:top w:val="nil"/>
              <w:left w:val="nil"/>
              <w:bottom w:val="nil"/>
              <w:right w:val="nil"/>
            </w:tcBorders>
            <w:shd w:val="clear" w:color="auto" w:fill="auto"/>
            <w:noWrap/>
            <w:vAlign w:val="bottom"/>
            <w:hideMark/>
          </w:tcPr>
          <w:p w14:paraId="4DF6D95E"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75AEA1F5" w14:textId="77777777" w:rsidTr="007412FF">
        <w:trPr>
          <w:trHeight w:val="302"/>
        </w:trPr>
        <w:tc>
          <w:tcPr>
            <w:tcW w:w="1984" w:type="dxa"/>
            <w:tcBorders>
              <w:top w:val="nil"/>
              <w:left w:val="nil"/>
              <w:bottom w:val="nil"/>
              <w:right w:val="nil"/>
            </w:tcBorders>
            <w:shd w:val="clear" w:color="auto" w:fill="auto"/>
            <w:noWrap/>
            <w:vAlign w:val="bottom"/>
            <w:hideMark/>
          </w:tcPr>
          <w:p w14:paraId="503B86EB"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2nd_PCR_R_A703</w:t>
            </w:r>
          </w:p>
        </w:tc>
        <w:tc>
          <w:tcPr>
            <w:tcW w:w="4735" w:type="dxa"/>
            <w:tcBorders>
              <w:top w:val="nil"/>
              <w:left w:val="nil"/>
              <w:bottom w:val="nil"/>
              <w:right w:val="nil"/>
            </w:tcBorders>
            <w:shd w:val="clear" w:color="auto" w:fill="auto"/>
            <w:noWrap/>
            <w:vAlign w:val="center"/>
            <w:hideMark/>
          </w:tcPr>
          <w:p w14:paraId="16B3B732"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0787BA21"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TGGATCTG</w:t>
            </w:r>
          </w:p>
        </w:tc>
        <w:tc>
          <w:tcPr>
            <w:tcW w:w="4735" w:type="dxa"/>
            <w:tcBorders>
              <w:top w:val="nil"/>
              <w:left w:val="nil"/>
              <w:bottom w:val="nil"/>
              <w:right w:val="nil"/>
            </w:tcBorders>
            <w:shd w:val="clear" w:color="auto" w:fill="auto"/>
            <w:noWrap/>
            <w:vAlign w:val="bottom"/>
            <w:hideMark/>
          </w:tcPr>
          <w:p w14:paraId="7CFC49F8"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3D4AB097" w14:textId="77777777" w:rsidTr="007412FF">
        <w:trPr>
          <w:trHeight w:val="302"/>
        </w:trPr>
        <w:tc>
          <w:tcPr>
            <w:tcW w:w="1984" w:type="dxa"/>
            <w:tcBorders>
              <w:top w:val="nil"/>
              <w:left w:val="nil"/>
              <w:bottom w:val="nil"/>
              <w:right w:val="nil"/>
            </w:tcBorders>
            <w:shd w:val="clear" w:color="auto" w:fill="auto"/>
            <w:noWrap/>
            <w:vAlign w:val="bottom"/>
            <w:hideMark/>
          </w:tcPr>
          <w:p w14:paraId="47881F60"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2nd_PCR_R_A704</w:t>
            </w:r>
          </w:p>
        </w:tc>
        <w:tc>
          <w:tcPr>
            <w:tcW w:w="4735" w:type="dxa"/>
            <w:tcBorders>
              <w:top w:val="nil"/>
              <w:left w:val="nil"/>
              <w:bottom w:val="nil"/>
              <w:right w:val="nil"/>
            </w:tcBorders>
            <w:shd w:val="clear" w:color="auto" w:fill="auto"/>
            <w:noWrap/>
            <w:vAlign w:val="center"/>
            <w:hideMark/>
          </w:tcPr>
          <w:p w14:paraId="4C288AF4"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4A678DC1"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CCGTTTGT</w:t>
            </w:r>
          </w:p>
        </w:tc>
        <w:tc>
          <w:tcPr>
            <w:tcW w:w="4735" w:type="dxa"/>
            <w:tcBorders>
              <w:top w:val="nil"/>
              <w:left w:val="nil"/>
              <w:bottom w:val="nil"/>
              <w:right w:val="nil"/>
            </w:tcBorders>
            <w:shd w:val="clear" w:color="auto" w:fill="auto"/>
            <w:noWrap/>
            <w:vAlign w:val="bottom"/>
            <w:hideMark/>
          </w:tcPr>
          <w:p w14:paraId="01B5FA2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381DBC54" w14:textId="77777777" w:rsidTr="007412FF">
        <w:trPr>
          <w:trHeight w:val="302"/>
        </w:trPr>
        <w:tc>
          <w:tcPr>
            <w:tcW w:w="1984" w:type="dxa"/>
            <w:tcBorders>
              <w:top w:val="nil"/>
              <w:left w:val="nil"/>
              <w:bottom w:val="nil"/>
              <w:right w:val="nil"/>
            </w:tcBorders>
            <w:shd w:val="clear" w:color="auto" w:fill="auto"/>
            <w:noWrap/>
            <w:vAlign w:val="bottom"/>
            <w:hideMark/>
          </w:tcPr>
          <w:p w14:paraId="7565657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2nd_PCR_R_A705</w:t>
            </w:r>
          </w:p>
        </w:tc>
        <w:tc>
          <w:tcPr>
            <w:tcW w:w="4735" w:type="dxa"/>
            <w:tcBorders>
              <w:top w:val="nil"/>
              <w:left w:val="nil"/>
              <w:bottom w:val="nil"/>
              <w:right w:val="nil"/>
            </w:tcBorders>
            <w:shd w:val="clear" w:color="auto" w:fill="auto"/>
            <w:noWrap/>
            <w:vAlign w:val="center"/>
            <w:hideMark/>
          </w:tcPr>
          <w:p w14:paraId="4DF1E064"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533A40A8"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TGCTGGGT</w:t>
            </w:r>
          </w:p>
        </w:tc>
        <w:tc>
          <w:tcPr>
            <w:tcW w:w="4735" w:type="dxa"/>
            <w:tcBorders>
              <w:top w:val="nil"/>
              <w:left w:val="nil"/>
              <w:bottom w:val="nil"/>
              <w:right w:val="nil"/>
            </w:tcBorders>
            <w:shd w:val="clear" w:color="auto" w:fill="auto"/>
            <w:noWrap/>
            <w:vAlign w:val="bottom"/>
            <w:hideMark/>
          </w:tcPr>
          <w:p w14:paraId="7CCF4F2F"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30215814" w14:textId="77777777" w:rsidTr="007412FF">
        <w:trPr>
          <w:trHeight w:val="302"/>
        </w:trPr>
        <w:tc>
          <w:tcPr>
            <w:tcW w:w="1984" w:type="dxa"/>
            <w:tcBorders>
              <w:top w:val="nil"/>
              <w:left w:val="nil"/>
              <w:bottom w:val="nil"/>
              <w:right w:val="nil"/>
            </w:tcBorders>
            <w:shd w:val="clear" w:color="auto" w:fill="auto"/>
            <w:noWrap/>
            <w:vAlign w:val="bottom"/>
            <w:hideMark/>
          </w:tcPr>
          <w:p w14:paraId="67CEBEE6"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2nd_PCR_R_A706</w:t>
            </w:r>
          </w:p>
        </w:tc>
        <w:tc>
          <w:tcPr>
            <w:tcW w:w="4735" w:type="dxa"/>
            <w:tcBorders>
              <w:top w:val="nil"/>
              <w:left w:val="nil"/>
              <w:bottom w:val="nil"/>
              <w:right w:val="nil"/>
            </w:tcBorders>
            <w:shd w:val="clear" w:color="auto" w:fill="auto"/>
            <w:noWrap/>
            <w:vAlign w:val="center"/>
            <w:hideMark/>
          </w:tcPr>
          <w:p w14:paraId="017E7C56"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6C74AF9A"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GAGGGGTT</w:t>
            </w:r>
          </w:p>
        </w:tc>
        <w:tc>
          <w:tcPr>
            <w:tcW w:w="4735" w:type="dxa"/>
            <w:tcBorders>
              <w:top w:val="nil"/>
              <w:left w:val="nil"/>
              <w:bottom w:val="nil"/>
              <w:right w:val="nil"/>
            </w:tcBorders>
            <w:shd w:val="clear" w:color="auto" w:fill="auto"/>
            <w:noWrap/>
            <w:vAlign w:val="bottom"/>
            <w:hideMark/>
          </w:tcPr>
          <w:p w14:paraId="5381A846"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0DC4BCDE" w14:textId="77777777" w:rsidTr="007412FF">
        <w:trPr>
          <w:trHeight w:val="302"/>
        </w:trPr>
        <w:tc>
          <w:tcPr>
            <w:tcW w:w="1984" w:type="dxa"/>
            <w:tcBorders>
              <w:top w:val="nil"/>
              <w:left w:val="nil"/>
              <w:bottom w:val="nil"/>
              <w:right w:val="nil"/>
            </w:tcBorders>
            <w:shd w:val="clear" w:color="auto" w:fill="auto"/>
            <w:noWrap/>
            <w:vAlign w:val="bottom"/>
            <w:hideMark/>
          </w:tcPr>
          <w:p w14:paraId="0A3CB828"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2nd_PCR_R_A707</w:t>
            </w:r>
          </w:p>
        </w:tc>
        <w:tc>
          <w:tcPr>
            <w:tcW w:w="4735" w:type="dxa"/>
            <w:tcBorders>
              <w:top w:val="nil"/>
              <w:left w:val="nil"/>
              <w:bottom w:val="nil"/>
              <w:right w:val="nil"/>
            </w:tcBorders>
            <w:shd w:val="clear" w:color="auto" w:fill="auto"/>
            <w:noWrap/>
            <w:vAlign w:val="center"/>
            <w:hideMark/>
          </w:tcPr>
          <w:p w14:paraId="5671958B"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5E82EC7B"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AGGTTGGG</w:t>
            </w:r>
          </w:p>
        </w:tc>
        <w:tc>
          <w:tcPr>
            <w:tcW w:w="4735" w:type="dxa"/>
            <w:tcBorders>
              <w:top w:val="nil"/>
              <w:left w:val="nil"/>
              <w:bottom w:val="nil"/>
              <w:right w:val="nil"/>
            </w:tcBorders>
            <w:shd w:val="clear" w:color="auto" w:fill="auto"/>
            <w:noWrap/>
            <w:vAlign w:val="bottom"/>
            <w:hideMark/>
          </w:tcPr>
          <w:p w14:paraId="5FB7159B"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78787C8B" w14:textId="77777777" w:rsidTr="007412FF">
        <w:trPr>
          <w:trHeight w:val="302"/>
        </w:trPr>
        <w:tc>
          <w:tcPr>
            <w:tcW w:w="1984" w:type="dxa"/>
            <w:tcBorders>
              <w:top w:val="nil"/>
              <w:left w:val="nil"/>
              <w:bottom w:val="nil"/>
              <w:right w:val="nil"/>
            </w:tcBorders>
            <w:shd w:val="clear" w:color="auto" w:fill="auto"/>
            <w:noWrap/>
            <w:vAlign w:val="bottom"/>
            <w:hideMark/>
          </w:tcPr>
          <w:p w14:paraId="4F8E5728"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2nd_PCR_R_A708</w:t>
            </w:r>
          </w:p>
        </w:tc>
        <w:tc>
          <w:tcPr>
            <w:tcW w:w="4735" w:type="dxa"/>
            <w:tcBorders>
              <w:top w:val="nil"/>
              <w:left w:val="nil"/>
              <w:bottom w:val="nil"/>
              <w:right w:val="nil"/>
            </w:tcBorders>
            <w:shd w:val="clear" w:color="auto" w:fill="auto"/>
            <w:noWrap/>
            <w:vAlign w:val="center"/>
            <w:hideMark/>
          </w:tcPr>
          <w:p w14:paraId="22B27073"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3290BA3A"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GTGTGGTG</w:t>
            </w:r>
          </w:p>
        </w:tc>
        <w:tc>
          <w:tcPr>
            <w:tcW w:w="4735" w:type="dxa"/>
            <w:tcBorders>
              <w:top w:val="nil"/>
              <w:left w:val="nil"/>
              <w:bottom w:val="nil"/>
              <w:right w:val="nil"/>
            </w:tcBorders>
            <w:shd w:val="clear" w:color="auto" w:fill="auto"/>
            <w:noWrap/>
            <w:vAlign w:val="bottom"/>
            <w:hideMark/>
          </w:tcPr>
          <w:p w14:paraId="754523BA"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426AA0A1" w14:textId="77777777" w:rsidTr="007412FF">
        <w:trPr>
          <w:trHeight w:val="302"/>
        </w:trPr>
        <w:tc>
          <w:tcPr>
            <w:tcW w:w="1984" w:type="dxa"/>
            <w:tcBorders>
              <w:top w:val="nil"/>
              <w:left w:val="nil"/>
              <w:bottom w:val="nil"/>
              <w:right w:val="nil"/>
            </w:tcBorders>
            <w:shd w:val="clear" w:color="auto" w:fill="auto"/>
            <w:noWrap/>
            <w:vAlign w:val="bottom"/>
            <w:hideMark/>
          </w:tcPr>
          <w:p w14:paraId="414EE8F1"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2nd_PCR_R_A709</w:t>
            </w:r>
          </w:p>
        </w:tc>
        <w:tc>
          <w:tcPr>
            <w:tcW w:w="4735" w:type="dxa"/>
            <w:tcBorders>
              <w:top w:val="nil"/>
              <w:left w:val="nil"/>
              <w:bottom w:val="nil"/>
              <w:right w:val="nil"/>
            </w:tcBorders>
            <w:shd w:val="clear" w:color="auto" w:fill="auto"/>
            <w:noWrap/>
            <w:vAlign w:val="center"/>
            <w:hideMark/>
          </w:tcPr>
          <w:p w14:paraId="0B4B368D"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nil"/>
              <w:right w:val="nil"/>
            </w:tcBorders>
            <w:shd w:val="clear" w:color="auto" w:fill="auto"/>
            <w:noWrap/>
            <w:vAlign w:val="bottom"/>
            <w:hideMark/>
          </w:tcPr>
          <w:p w14:paraId="5F788042"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TGGGTTTC</w:t>
            </w:r>
          </w:p>
        </w:tc>
        <w:tc>
          <w:tcPr>
            <w:tcW w:w="4735" w:type="dxa"/>
            <w:tcBorders>
              <w:top w:val="nil"/>
              <w:left w:val="nil"/>
              <w:bottom w:val="nil"/>
              <w:right w:val="nil"/>
            </w:tcBorders>
            <w:shd w:val="clear" w:color="auto" w:fill="auto"/>
            <w:noWrap/>
            <w:vAlign w:val="bottom"/>
            <w:hideMark/>
          </w:tcPr>
          <w:p w14:paraId="2CDD574B"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r w:rsidR="00EB50F4" w:rsidRPr="00EB50F4" w14:paraId="70CC162B" w14:textId="77777777" w:rsidTr="007412FF">
        <w:trPr>
          <w:trHeight w:val="302"/>
        </w:trPr>
        <w:tc>
          <w:tcPr>
            <w:tcW w:w="1984" w:type="dxa"/>
            <w:tcBorders>
              <w:top w:val="nil"/>
              <w:left w:val="nil"/>
              <w:bottom w:val="single" w:sz="4" w:space="0" w:color="auto"/>
              <w:right w:val="nil"/>
            </w:tcBorders>
            <w:shd w:val="clear" w:color="auto" w:fill="auto"/>
            <w:noWrap/>
            <w:vAlign w:val="bottom"/>
            <w:hideMark/>
          </w:tcPr>
          <w:p w14:paraId="0FA105CD"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2nd_PCR_R_A710</w:t>
            </w:r>
          </w:p>
        </w:tc>
        <w:tc>
          <w:tcPr>
            <w:tcW w:w="4735" w:type="dxa"/>
            <w:tcBorders>
              <w:top w:val="nil"/>
              <w:left w:val="nil"/>
              <w:bottom w:val="single" w:sz="4" w:space="0" w:color="auto"/>
              <w:right w:val="nil"/>
            </w:tcBorders>
            <w:shd w:val="clear" w:color="auto" w:fill="auto"/>
            <w:noWrap/>
            <w:vAlign w:val="center"/>
            <w:hideMark/>
          </w:tcPr>
          <w:p w14:paraId="2F683DA0"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CAAGCAGAAGACGGCATACGAGAT</w:t>
            </w:r>
          </w:p>
        </w:tc>
        <w:tc>
          <w:tcPr>
            <w:tcW w:w="1346" w:type="dxa"/>
            <w:tcBorders>
              <w:top w:val="nil"/>
              <w:left w:val="nil"/>
              <w:bottom w:val="single" w:sz="4" w:space="0" w:color="auto"/>
              <w:right w:val="nil"/>
            </w:tcBorders>
            <w:shd w:val="clear" w:color="auto" w:fill="auto"/>
            <w:noWrap/>
            <w:vAlign w:val="bottom"/>
            <w:hideMark/>
          </w:tcPr>
          <w:p w14:paraId="4D10E6C9"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TGGTCACA</w:t>
            </w:r>
          </w:p>
        </w:tc>
        <w:tc>
          <w:tcPr>
            <w:tcW w:w="4735" w:type="dxa"/>
            <w:tcBorders>
              <w:top w:val="nil"/>
              <w:left w:val="nil"/>
              <w:bottom w:val="single" w:sz="4" w:space="0" w:color="auto"/>
              <w:right w:val="nil"/>
            </w:tcBorders>
            <w:shd w:val="clear" w:color="auto" w:fill="auto"/>
            <w:noWrap/>
            <w:vAlign w:val="bottom"/>
            <w:hideMark/>
          </w:tcPr>
          <w:p w14:paraId="1C7287AF" w14:textId="77777777" w:rsidR="00EB50F4" w:rsidRPr="00EB50F4" w:rsidRDefault="00EB50F4" w:rsidP="007412FF">
            <w:pPr>
              <w:spacing w:line="480" w:lineRule="auto"/>
              <w:rPr>
                <w:rFonts w:asciiTheme="minorHAnsi" w:hAnsiTheme="minorHAnsi" w:cstheme="minorHAnsi"/>
                <w:color w:val="000000" w:themeColor="text1"/>
                <w:lang w:val="en-GB"/>
              </w:rPr>
            </w:pPr>
            <w:r w:rsidRPr="00EB50F4">
              <w:rPr>
                <w:rFonts w:asciiTheme="minorHAnsi" w:hAnsiTheme="minorHAnsi" w:cstheme="minorHAnsi"/>
                <w:color w:val="000000" w:themeColor="text1"/>
                <w:lang w:val="en-GB"/>
              </w:rPr>
              <w:t>GTGACTGGAGTTCAGACGTGTGCTCTTCCGATCT</w:t>
            </w:r>
          </w:p>
        </w:tc>
      </w:tr>
    </w:tbl>
    <w:p w14:paraId="607B6867" w14:textId="77777777" w:rsidR="00EB50F4" w:rsidRPr="00EB50F4" w:rsidRDefault="00EB50F4" w:rsidP="00EB50F4">
      <w:pPr>
        <w:spacing w:line="480" w:lineRule="auto"/>
        <w:rPr>
          <w:rFonts w:asciiTheme="minorHAnsi" w:hAnsiTheme="minorHAnsi" w:cstheme="minorHAnsi"/>
          <w:b/>
          <w:bCs/>
          <w:lang w:val="en-GB"/>
        </w:rPr>
      </w:pPr>
    </w:p>
    <w:p w14:paraId="6618E97A" w14:textId="77777777" w:rsidR="00EB50F4" w:rsidRDefault="00EB50F4" w:rsidP="00EB50F4">
      <w:pPr>
        <w:spacing w:line="480" w:lineRule="auto"/>
        <w:rPr>
          <w:rFonts w:asciiTheme="minorHAnsi" w:hAnsiTheme="minorHAnsi" w:cstheme="minorHAnsi"/>
          <w:b/>
          <w:bCs/>
          <w:lang w:val="en-GB"/>
        </w:rPr>
      </w:pPr>
    </w:p>
    <w:p w14:paraId="7E66037D" w14:textId="77777777" w:rsidR="00EB50F4" w:rsidRDefault="00EB50F4" w:rsidP="00EB50F4">
      <w:pPr>
        <w:spacing w:line="480" w:lineRule="auto"/>
        <w:rPr>
          <w:rFonts w:asciiTheme="minorHAnsi" w:hAnsiTheme="minorHAnsi" w:cstheme="minorHAnsi"/>
          <w:b/>
          <w:bCs/>
          <w:lang w:val="en-GB"/>
        </w:rPr>
      </w:pPr>
    </w:p>
    <w:p w14:paraId="736F88CD" w14:textId="77777777" w:rsidR="00EB50F4" w:rsidRDefault="00EB50F4" w:rsidP="00EB50F4">
      <w:pPr>
        <w:spacing w:line="480" w:lineRule="auto"/>
        <w:rPr>
          <w:rFonts w:asciiTheme="minorHAnsi" w:hAnsiTheme="minorHAnsi" w:cstheme="minorHAnsi"/>
          <w:b/>
          <w:bCs/>
          <w:lang w:val="en-GB"/>
        </w:rPr>
      </w:pPr>
    </w:p>
    <w:p w14:paraId="67E54EF1" w14:textId="77777777" w:rsidR="00EB50F4" w:rsidRDefault="00EB50F4" w:rsidP="00EB50F4">
      <w:pPr>
        <w:spacing w:line="480" w:lineRule="auto"/>
        <w:rPr>
          <w:rFonts w:asciiTheme="minorHAnsi" w:hAnsiTheme="minorHAnsi" w:cstheme="minorHAnsi"/>
          <w:b/>
          <w:bCs/>
          <w:lang w:val="en-GB"/>
        </w:rPr>
        <w:sectPr w:rsidR="00EB50F4" w:rsidSect="003C48BC">
          <w:pgSz w:w="16840" w:h="11900" w:orient="landscape"/>
          <w:pgMar w:top="1418" w:right="1701" w:bottom="1418" w:left="1701" w:header="708" w:footer="708" w:gutter="0"/>
          <w:cols w:space="708"/>
          <w:docGrid w:linePitch="360"/>
        </w:sectPr>
      </w:pPr>
    </w:p>
    <w:p w14:paraId="79613020" w14:textId="6652D915" w:rsidR="00EB50F4" w:rsidRPr="00EB50F4" w:rsidRDefault="00EB50F4" w:rsidP="00EB50F4">
      <w:pPr>
        <w:spacing w:line="480" w:lineRule="auto"/>
        <w:rPr>
          <w:rFonts w:asciiTheme="minorHAnsi" w:hAnsiTheme="minorHAnsi" w:cstheme="minorHAnsi"/>
          <w:lang w:val="en-GB"/>
        </w:rPr>
      </w:pPr>
      <w:r w:rsidRPr="00EB50F4">
        <w:rPr>
          <w:rFonts w:asciiTheme="minorHAnsi" w:hAnsiTheme="minorHAnsi" w:cstheme="minorHAnsi"/>
          <w:b/>
          <w:bCs/>
          <w:lang w:val="en-GB"/>
        </w:rPr>
        <w:lastRenderedPageBreak/>
        <w:t xml:space="preserve">Table </w:t>
      </w:r>
      <w:r w:rsidR="00E83413">
        <w:rPr>
          <w:rFonts w:asciiTheme="minorHAnsi" w:hAnsiTheme="minorHAnsi" w:cstheme="minorHAnsi"/>
          <w:b/>
          <w:bCs/>
          <w:lang w:val="en-GB"/>
        </w:rPr>
        <w:t>S</w:t>
      </w:r>
      <w:r w:rsidRPr="00EB50F4">
        <w:rPr>
          <w:rFonts w:asciiTheme="minorHAnsi" w:hAnsiTheme="minorHAnsi" w:cstheme="minorHAnsi"/>
          <w:b/>
          <w:bCs/>
          <w:lang w:val="en-GB"/>
        </w:rPr>
        <w:t>4.</w:t>
      </w:r>
      <w:r w:rsidRPr="00EB50F4">
        <w:rPr>
          <w:rFonts w:asciiTheme="minorHAnsi" w:hAnsiTheme="minorHAnsi" w:cstheme="minorHAnsi"/>
          <w:lang w:val="en-GB"/>
        </w:rPr>
        <w:t xml:space="preserve"> For the two-step qPCR approach, index sequences list for ordering primers as well as sample sheet. </w:t>
      </w:r>
    </w:p>
    <w:p w14:paraId="20802D5E" w14:textId="77777777" w:rsidR="00EB50F4" w:rsidRPr="00EB50F4" w:rsidRDefault="00EB50F4" w:rsidP="00EB50F4">
      <w:pPr>
        <w:spacing w:line="480" w:lineRule="auto"/>
        <w:rPr>
          <w:rFonts w:asciiTheme="minorHAnsi" w:hAnsiTheme="minorHAnsi" w:cstheme="minorHAnsi"/>
          <w:lang w:val="en-GB"/>
        </w:rPr>
      </w:pPr>
    </w:p>
    <w:tbl>
      <w:tblPr>
        <w:tblW w:w="0" w:type="auto"/>
        <w:tblLook w:val="0480" w:firstRow="0" w:lastRow="0" w:firstColumn="1" w:lastColumn="0" w:noHBand="0" w:noVBand="1"/>
      </w:tblPr>
      <w:tblGrid>
        <w:gridCol w:w="1701"/>
        <w:gridCol w:w="3003"/>
        <w:gridCol w:w="3004"/>
      </w:tblGrid>
      <w:tr w:rsidR="00EB50F4" w:rsidRPr="00EB50F4" w14:paraId="0CF374B6" w14:textId="77777777" w:rsidTr="007412FF">
        <w:tc>
          <w:tcPr>
            <w:tcW w:w="1701" w:type="dxa"/>
            <w:tcBorders>
              <w:top w:val="single" w:sz="4" w:space="0" w:color="000000"/>
              <w:bottom w:val="single" w:sz="18" w:space="0" w:color="000000"/>
            </w:tcBorders>
          </w:tcPr>
          <w:p w14:paraId="70593ECB" w14:textId="77777777" w:rsidR="00EB50F4" w:rsidRPr="00EB50F4" w:rsidRDefault="00EB50F4" w:rsidP="007412FF">
            <w:pPr>
              <w:rPr>
                <w:rFonts w:asciiTheme="minorHAnsi" w:hAnsiTheme="minorHAnsi" w:cstheme="minorHAnsi"/>
                <w:b/>
                <w:bCs/>
                <w:lang w:val="en-GB"/>
              </w:rPr>
            </w:pPr>
            <w:r w:rsidRPr="00EB50F4">
              <w:rPr>
                <w:rFonts w:asciiTheme="minorHAnsi" w:hAnsiTheme="minorHAnsi" w:cstheme="minorHAnsi"/>
                <w:b/>
                <w:bCs/>
                <w:lang w:val="en-GB"/>
              </w:rPr>
              <w:t>Index name</w:t>
            </w:r>
          </w:p>
        </w:tc>
        <w:tc>
          <w:tcPr>
            <w:tcW w:w="3003" w:type="dxa"/>
            <w:tcBorders>
              <w:top w:val="single" w:sz="4" w:space="0" w:color="000000"/>
              <w:bottom w:val="single" w:sz="18" w:space="0" w:color="000000"/>
            </w:tcBorders>
          </w:tcPr>
          <w:p w14:paraId="2ACAF52C"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b/>
                <w:bCs/>
                <w:lang w:val="en-GB"/>
              </w:rPr>
              <w:t>Index sequence – for ordering primers</w:t>
            </w:r>
          </w:p>
        </w:tc>
        <w:tc>
          <w:tcPr>
            <w:tcW w:w="3004" w:type="dxa"/>
            <w:tcBorders>
              <w:top w:val="single" w:sz="4" w:space="0" w:color="000000"/>
              <w:bottom w:val="single" w:sz="18" w:space="0" w:color="000000"/>
            </w:tcBorders>
          </w:tcPr>
          <w:p w14:paraId="472C638A"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b/>
                <w:bCs/>
                <w:lang w:val="en-GB"/>
              </w:rPr>
              <w:t>Reverse complement – for sample sheet</w:t>
            </w:r>
          </w:p>
        </w:tc>
      </w:tr>
      <w:tr w:rsidR="00EB50F4" w:rsidRPr="00EB50F4" w14:paraId="52C1E56E" w14:textId="77777777" w:rsidTr="007412FF">
        <w:tc>
          <w:tcPr>
            <w:tcW w:w="1701" w:type="dxa"/>
            <w:tcBorders>
              <w:top w:val="single" w:sz="18" w:space="0" w:color="000000"/>
              <w:bottom w:val="single" w:sz="6" w:space="0" w:color="000000"/>
            </w:tcBorders>
          </w:tcPr>
          <w:p w14:paraId="72D119D8"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i5</w:t>
            </w:r>
          </w:p>
        </w:tc>
        <w:tc>
          <w:tcPr>
            <w:tcW w:w="3003" w:type="dxa"/>
            <w:tcBorders>
              <w:top w:val="single" w:sz="18" w:space="0" w:color="000000"/>
              <w:bottom w:val="single" w:sz="6" w:space="0" w:color="000000"/>
            </w:tcBorders>
          </w:tcPr>
          <w:p w14:paraId="5AD9685B" w14:textId="77777777" w:rsidR="00EB50F4" w:rsidRPr="00EB50F4" w:rsidRDefault="00EB50F4" w:rsidP="007412FF">
            <w:pPr>
              <w:rPr>
                <w:rFonts w:asciiTheme="minorHAnsi" w:hAnsiTheme="minorHAnsi" w:cstheme="minorHAnsi"/>
                <w:lang w:val="en-GB"/>
              </w:rPr>
            </w:pPr>
          </w:p>
        </w:tc>
        <w:tc>
          <w:tcPr>
            <w:tcW w:w="3004" w:type="dxa"/>
            <w:tcBorders>
              <w:top w:val="single" w:sz="18" w:space="0" w:color="000000"/>
              <w:bottom w:val="single" w:sz="6" w:space="0" w:color="000000"/>
            </w:tcBorders>
          </w:tcPr>
          <w:p w14:paraId="618552AF" w14:textId="77777777" w:rsidR="00EB50F4" w:rsidRPr="00EB50F4" w:rsidRDefault="00EB50F4" w:rsidP="007412FF">
            <w:pPr>
              <w:rPr>
                <w:rFonts w:asciiTheme="minorHAnsi" w:hAnsiTheme="minorHAnsi" w:cstheme="minorHAnsi"/>
                <w:lang w:val="en-GB"/>
              </w:rPr>
            </w:pPr>
          </w:p>
        </w:tc>
      </w:tr>
      <w:tr w:rsidR="00EB50F4" w:rsidRPr="00EB50F4" w14:paraId="4829BCB8" w14:textId="77777777" w:rsidTr="007412FF">
        <w:tc>
          <w:tcPr>
            <w:tcW w:w="1701" w:type="dxa"/>
            <w:tcBorders>
              <w:top w:val="single" w:sz="4" w:space="0" w:color="000000"/>
            </w:tcBorders>
          </w:tcPr>
          <w:p w14:paraId="738B8F5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A501</w:t>
            </w:r>
          </w:p>
        </w:tc>
        <w:tc>
          <w:tcPr>
            <w:tcW w:w="3003" w:type="dxa"/>
            <w:tcBorders>
              <w:top w:val="single" w:sz="4" w:space="0" w:color="000000"/>
            </w:tcBorders>
          </w:tcPr>
          <w:p w14:paraId="4C06E96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TGAACCTT</w:t>
            </w:r>
          </w:p>
        </w:tc>
        <w:tc>
          <w:tcPr>
            <w:tcW w:w="3004" w:type="dxa"/>
            <w:tcBorders>
              <w:top w:val="single" w:sz="4" w:space="0" w:color="000000"/>
            </w:tcBorders>
          </w:tcPr>
          <w:p w14:paraId="4034E45E"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TGAACCTT</w:t>
            </w:r>
          </w:p>
        </w:tc>
      </w:tr>
      <w:tr w:rsidR="00EB50F4" w:rsidRPr="00EB50F4" w14:paraId="0B768076" w14:textId="77777777" w:rsidTr="007412FF">
        <w:tc>
          <w:tcPr>
            <w:tcW w:w="1701" w:type="dxa"/>
          </w:tcPr>
          <w:p w14:paraId="0439BF21"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A502</w:t>
            </w:r>
          </w:p>
        </w:tc>
        <w:tc>
          <w:tcPr>
            <w:tcW w:w="3003" w:type="dxa"/>
          </w:tcPr>
          <w:p w14:paraId="36661820"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TGCTAAGT</w:t>
            </w:r>
          </w:p>
        </w:tc>
        <w:tc>
          <w:tcPr>
            <w:tcW w:w="3004" w:type="dxa"/>
          </w:tcPr>
          <w:p w14:paraId="05B853E1"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TGCTAAGT</w:t>
            </w:r>
          </w:p>
        </w:tc>
      </w:tr>
      <w:tr w:rsidR="00EB50F4" w:rsidRPr="00EB50F4" w14:paraId="186E6C3A" w14:textId="77777777" w:rsidTr="007412FF">
        <w:tc>
          <w:tcPr>
            <w:tcW w:w="1701" w:type="dxa"/>
          </w:tcPr>
          <w:p w14:paraId="5C2AD84D"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A503</w:t>
            </w:r>
          </w:p>
        </w:tc>
        <w:tc>
          <w:tcPr>
            <w:tcW w:w="3003" w:type="dxa"/>
          </w:tcPr>
          <w:p w14:paraId="72B8ECF8"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TGTTCTCT</w:t>
            </w:r>
          </w:p>
        </w:tc>
        <w:tc>
          <w:tcPr>
            <w:tcW w:w="3004" w:type="dxa"/>
          </w:tcPr>
          <w:p w14:paraId="3B67CE9F"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TGTTCTCT</w:t>
            </w:r>
          </w:p>
        </w:tc>
      </w:tr>
      <w:tr w:rsidR="00EB50F4" w:rsidRPr="00EB50F4" w14:paraId="25BA3A4D" w14:textId="77777777" w:rsidTr="007412FF">
        <w:tc>
          <w:tcPr>
            <w:tcW w:w="1701" w:type="dxa"/>
          </w:tcPr>
          <w:p w14:paraId="5F3AA4F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A504</w:t>
            </w:r>
          </w:p>
        </w:tc>
        <w:tc>
          <w:tcPr>
            <w:tcW w:w="3003" w:type="dxa"/>
          </w:tcPr>
          <w:p w14:paraId="67D784E6"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TAAGACAC</w:t>
            </w:r>
          </w:p>
        </w:tc>
        <w:tc>
          <w:tcPr>
            <w:tcW w:w="3004" w:type="dxa"/>
          </w:tcPr>
          <w:p w14:paraId="52125E58"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TAAGACAC</w:t>
            </w:r>
          </w:p>
        </w:tc>
      </w:tr>
      <w:tr w:rsidR="00EB50F4" w:rsidRPr="00EB50F4" w14:paraId="3FEA474D" w14:textId="77777777" w:rsidTr="007412FF">
        <w:tc>
          <w:tcPr>
            <w:tcW w:w="1701" w:type="dxa"/>
            <w:tcBorders>
              <w:bottom w:val="single" w:sz="4" w:space="0" w:color="000000"/>
            </w:tcBorders>
          </w:tcPr>
          <w:p w14:paraId="745B57C3"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A505</w:t>
            </w:r>
          </w:p>
        </w:tc>
        <w:tc>
          <w:tcPr>
            <w:tcW w:w="3003" w:type="dxa"/>
            <w:tcBorders>
              <w:bottom w:val="single" w:sz="4" w:space="0" w:color="000000"/>
            </w:tcBorders>
          </w:tcPr>
          <w:p w14:paraId="6F42D21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CTAATCGA</w:t>
            </w:r>
          </w:p>
        </w:tc>
        <w:tc>
          <w:tcPr>
            <w:tcW w:w="3004" w:type="dxa"/>
            <w:tcBorders>
              <w:bottom w:val="single" w:sz="4" w:space="0" w:color="000000"/>
            </w:tcBorders>
          </w:tcPr>
          <w:p w14:paraId="7182BF1A"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CTAATCGA</w:t>
            </w:r>
          </w:p>
        </w:tc>
      </w:tr>
      <w:tr w:rsidR="00EB50F4" w:rsidRPr="00EB50F4" w14:paraId="159193C9" w14:textId="77777777" w:rsidTr="007412FF">
        <w:tc>
          <w:tcPr>
            <w:tcW w:w="1701" w:type="dxa"/>
            <w:tcBorders>
              <w:top w:val="single" w:sz="4" w:space="0" w:color="000000"/>
              <w:bottom w:val="single" w:sz="6" w:space="0" w:color="000000"/>
            </w:tcBorders>
          </w:tcPr>
          <w:p w14:paraId="19BE1C62"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i7</w:t>
            </w:r>
          </w:p>
        </w:tc>
        <w:tc>
          <w:tcPr>
            <w:tcW w:w="3003" w:type="dxa"/>
            <w:tcBorders>
              <w:top w:val="single" w:sz="4" w:space="0" w:color="000000"/>
              <w:bottom w:val="single" w:sz="6" w:space="0" w:color="000000"/>
            </w:tcBorders>
          </w:tcPr>
          <w:p w14:paraId="2D53930D" w14:textId="77777777" w:rsidR="00EB50F4" w:rsidRPr="00EB50F4" w:rsidRDefault="00EB50F4" w:rsidP="007412FF">
            <w:pPr>
              <w:rPr>
                <w:rFonts w:asciiTheme="minorHAnsi" w:hAnsiTheme="minorHAnsi" w:cstheme="minorHAnsi"/>
                <w:lang w:val="en-GB"/>
              </w:rPr>
            </w:pPr>
          </w:p>
        </w:tc>
        <w:tc>
          <w:tcPr>
            <w:tcW w:w="3004" w:type="dxa"/>
            <w:tcBorders>
              <w:top w:val="single" w:sz="4" w:space="0" w:color="000000"/>
              <w:bottom w:val="single" w:sz="6" w:space="0" w:color="000000"/>
            </w:tcBorders>
          </w:tcPr>
          <w:p w14:paraId="7A3D1D14" w14:textId="77777777" w:rsidR="00EB50F4" w:rsidRPr="00EB50F4" w:rsidRDefault="00EB50F4" w:rsidP="007412FF">
            <w:pPr>
              <w:rPr>
                <w:rFonts w:asciiTheme="minorHAnsi" w:hAnsiTheme="minorHAnsi" w:cstheme="minorHAnsi"/>
                <w:lang w:val="en-GB"/>
              </w:rPr>
            </w:pPr>
          </w:p>
        </w:tc>
      </w:tr>
      <w:tr w:rsidR="00EB50F4" w:rsidRPr="00EB50F4" w14:paraId="4484A9DE" w14:textId="77777777" w:rsidTr="007412FF">
        <w:tc>
          <w:tcPr>
            <w:tcW w:w="1701" w:type="dxa"/>
            <w:tcBorders>
              <w:top w:val="single" w:sz="6" w:space="0" w:color="000000"/>
            </w:tcBorders>
          </w:tcPr>
          <w:p w14:paraId="0CDF41E4"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A701</w:t>
            </w:r>
          </w:p>
        </w:tc>
        <w:tc>
          <w:tcPr>
            <w:tcW w:w="3003" w:type="dxa"/>
            <w:tcBorders>
              <w:top w:val="single" w:sz="6" w:space="0" w:color="000000"/>
            </w:tcBorders>
            <w:vAlign w:val="bottom"/>
          </w:tcPr>
          <w:p w14:paraId="6BEF8052"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GTCGTGAT</w:t>
            </w:r>
          </w:p>
        </w:tc>
        <w:tc>
          <w:tcPr>
            <w:tcW w:w="3004" w:type="dxa"/>
            <w:tcBorders>
              <w:top w:val="single" w:sz="6" w:space="0" w:color="000000"/>
            </w:tcBorders>
          </w:tcPr>
          <w:p w14:paraId="5E1AC85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ATCACGAC</w:t>
            </w:r>
          </w:p>
        </w:tc>
      </w:tr>
      <w:tr w:rsidR="00EB50F4" w:rsidRPr="00EB50F4" w14:paraId="3EFA9495" w14:textId="77777777" w:rsidTr="007412FF">
        <w:tc>
          <w:tcPr>
            <w:tcW w:w="1701" w:type="dxa"/>
          </w:tcPr>
          <w:p w14:paraId="30757195"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A702</w:t>
            </w:r>
          </w:p>
        </w:tc>
        <w:tc>
          <w:tcPr>
            <w:tcW w:w="3003" w:type="dxa"/>
            <w:vAlign w:val="bottom"/>
          </w:tcPr>
          <w:p w14:paraId="249322FE"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ACCACTGT</w:t>
            </w:r>
          </w:p>
        </w:tc>
        <w:tc>
          <w:tcPr>
            <w:tcW w:w="3004" w:type="dxa"/>
          </w:tcPr>
          <w:p w14:paraId="3BB2372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ACAGTGGT</w:t>
            </w:r>
          </w:p>
        </w:tc>
      </w:tr>
      <w:tr w:rsidR="00EB50F4" w:rsidRPr="00EB50F4" w14:paraId="4705190A" w14:textId="77777777" w:rsidTr="007412FF">
        <w:tc>
          <w:tcPr>
            <w:tcW w:w="1701" w:type="dxa"/>
          </w:tcPr>
          <w:p w14:paraId="2E22E18F"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A703</w:t>
            </w:r>
          </w:p>
        </w:tc>
        <w:tc>
          <w:tcPr>
            <w:tcW w:w="3003" w:type="dxa"/>
            <w:vAlign w:val="bottom"/>
          </w:tcPr>
          <w:p w14:paraId="0B34051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TGGATCTG</w:t>
            </w:r>
          </w:p>
        </w:tc>
        <w:tc>
          <w:tcPr>
            <w:tcW w:w="3004" w:type="dxa"/>
          </w:tcPr>
          <w:p w14:paraId="65B40A89"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CAGATCCA</w:t>
            </w:r>
          </w:p>
        </w:tc>
      </w:tr>
      <w:tr w:rsidR="00EB50F4" w:rsidRPr="00EB50F4" w14:paraId="6910A096" w14:textId="77777777" w:rsidTr="007412FF">
        <w:tc>
          <w:tcPr>
            <w:tcW w:w="1701" w:type="dxa"/>
          </w:tcPr>
          <w:p w14:paraId="299E645C"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A704</w:t>
            </w:r>
          </w:p>
        </w:tc>
        <w:tc>
          <w:tcPr>
            <w:tcW w:w="3003" w:type="dxa"/>
            <w:vAlign w:val="bottom"/>
          </w:tcPr>
          <w:p w14:paraId="3C7CDB1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CCGTTTGT</w:t>
            </w:r>
          </w:p>
        </w:tc>
        <w:tc>
          <w:tcPr>
            <w:tcW w:w="3004" w:type="dxa"/>
          </w:tcPr>
          <w:p w14:paraId="1CEDC7A4"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ACAAACGG</w:t>
            </w:r>
          </w:p>
        </w:tc>
      </w:tr>
      <w:tr w:rsidR="00EB50F4" w:rsidRPr="00EB50F4" w14:paraId="304263B7" w14:textId="77777777" w:rsidTr="007412FF">
        <w:tc>
          <w:tcPr>
            <w:tcW w:w="1701" w:type="dxa"/>
          </w:tcPr>
          <w:p w14:paraId="3DED9BAB"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A705</w:t>
            </w:r>
          </w:p>
        </w:tc>
        <w:tc>
          <w:tcPr>
            <w:tcW w:w="3003" w:type="dxa"/>
            <w:vAlign w:val="bottom"/>
          </w:tcPr>
          <w:p w14:paraId="5F79CEA7"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TGCTGGGT</w:t>
            </w:r>
          </w:p>
        </w:tc>
        <w:tc>
          <w:tcPr>
            <w:tcW w:w="3004" w:type="dxa"/>
          </w:tcPr>
          <w:p w14:paraId="5EF9CD35"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ACCCAGCA</w:t>
            </w:r>
          </w:p>
        </w:tc>
      </w:tr>
      <w:tr w:rsidR="00EB50F4" w:rsidRPr="00EB50F4" w14:paraId="6BF973E0" w14:textId="77777777" w:rsidTr="007412FF">
        <w:tc>
          <w:tcPr>
            <w:tcW w:w="1701" w:type="dxa"/>
          </w:tcPr>
          <w:p w14:paraId="7DF827D0"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A706</w:t>
            </w:r>
          </w:p>
        </w:tc>
        <w:tc>
          <w:tcPr>
            <w:tcW w:w="3003" w:type="dxa"/>
            <w:vAlign w:val="bottom"/>
          </w:tcPr>
          <w:p w14:paraId="341C4994"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GAGGGGTT</w:t>
            </w:r>
          </w:p>
        </w:tc>
        <w:tc>
          <w:tcPr>
            <w:tcW w:w="3004" w:type="dxa"/>
          </w:tcPr>
          <w:p w14:paraId="3C3F85B6"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AACCCCTC</w:t>
            </w:r>
          </w:p>
        </w:tc>
      </w:tr>
      <w:tr w:rsidR="00EB50F4" w:rsidRPr="00EB50F4" w14:paraId="25535300" w14:textId="77777777" w:rsidTr="007412FF">
        <w:tc>
          <w:tcPr>
            <w:tcW w:w="1701" w:type="dxa"/>
          </w:tcPr>
          <w:p w14:paraId="5BDF53A1"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A707</w:t>
            </w:r>
          </w:p>
        </w:tc>
        <w:tc>
          <w:tcPr>
            <w:tcW w:w="3003" w:type="dxa"/>
            <w:vAlign w:val="bottom"/>
          </w:tcPr>
          <w:p w14:paraId="2198400D"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AGGTTGGG</w:t>
            </w:r>
          </w:p>
        </w:tc>
        <w:tc>
          <w:tcPr>
            <w:tcW w:w="3004" w:type="dxa"/>
          </w:tcPr>
          <w:p w14:paraId="68DDF029"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CCCAACCT</w:t>
            </w:r>
          </w:p>
        </w:tc>
      </w:tr>
      <w:tr w:rsidR="00EB50F4" w:rsidRPr="00EB50F4" w14:paraId="6EA248C6" w14:textId="77777777" w:rsidTr="007412FF">
        <w:tc>
          <w:tcPr>
            <w:tcW w:w="1701" w:type="dxa"/>
          </w:tcPr>
          <w:p w14:paraId="08A3F561"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A708</w:t>
            </w:r>
          </w:p>
        </w:tc>
        <w:tc>
          <w:tcPr>
            <w:tcW w:w="3003" w:type="dxa"/>
            <w:vAlign w:val="bottom"/>
          </w:tcPr>
          <w:p w14:paraId="15093D91"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GTGTGGTG</w:t>
            </w:r>
          </w:p>
        </w:tc>
        <w:tc>
          <w:tcPr>
            <w:tcW w:w="3004" w:type="dxa"/>
          </w:tcPr>
          <w:p w14:paraId="1E8BA76A"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CACCACAC</w:t>
            </w:r>
          </w:p>
        </w:tc>
      </w:tr>
      <w:tr w:rsidR="00EB50F4" w:rsidRPr="00EB50F4" w14:paraId="06551298" w14:textId="77777777" w:rsidTr="007412FF">
        <w:tc>
          <w:tcPr>
            <w:tcW w:w="1701" w:type="dxa"/>
          </w:tcPr>
          <w:p w14:paraId="62CEC7C4"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A709</w:t>
            </w:r>
          </w:p>
        </w:tc>
        <w:tc>
          <w:tcPr>
            <w:tcW w:w="3003" w:type="dxa"/>
            <w:vAlign w:val="bottom"/>
          </w:tcPr>
          <w:p w14:paraId="31D2A383"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TGGGTTTC</w:t>
            </w:r>
          </w:p>
        </w:tc>
        <w:tc>
          <w:tcPr>
            <w:tcW w:w="3004" w:type="dxa"/>
          </w:tcPr>
          <w:p w14:paraId="78D7B559"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GAAACCCA</w:t>
            </w:r>
          </w:p>
        </w:tc>
      </w:tr>
      <w:tr w:rsidR="00EB50F4" w:rsidRPr="00EB50F4" w14:paraId="63B96E78" w14:textId="77777777" w:rsidTr="007412FF">
        <w:tc>
          <w:tcPr>
            <w:tcW w:w="1701" w:type="dxa"/>
            <w:tcBorders>
              <w:bottom w:val="single" w:sz="4" w:space="0" w:color="000000"/>
            </w:tcBorders>
          </w:tcPr>
          <w:p w14:paraId="08B6FD0E"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lang w:val="en-GB"/>
              </w:rPr>
              <w:t>A710</w:t>
            </w:r>
          </w:p>
        </w:tc>
        <w:tc>
          <w:tcPr>
            <w:tcW w:w="3003" w:type="dxa"/>
            <w:tcBorders>
              <w:bottom w:val="single" w:sz="4" w:space="0" w:color="000000"/>
            </w:tcBorders>
            <w:vAlign w:val="bottom"/>
          </w:tcPr>
          <w:p w14:paraId="6F16BF86"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themeColor="text1"/>
                <w:lang w:val="en-GB"/>
              </w:rPr>
              <w:t>TGGTCACA</w:t>
            </w:r>
          </w:p>
        </w:tc>
        <w:tc>
          <w:tcPr>
            <w:tcW w:w="3004" w:type="dxa"/>
            <w:tcBorders>
              <w:bottom w:val="single" w:sz="4" w:space="0" w:color="000000"/>
            </w:tcBorders>
          </w:tcPr>
          <w:p w14:paraId="56BE75C8" w14:textId="77777777" w:rsidR="00EB50F4" w:rsidRPr="00EB50F4" w:rsidRDefault="00EB50F4" w:rsidP="007412FF">
            <w:pPr>
              <w:rPr>
                <w:rFonts w:asciiTheme="minorHAnsi" w:hAnsiTheme="minorHAnsi" w:cstheme="minorHAnsi"/>
                <w:lang w:val="en-GB"/>
              </w:rPr>
            </w:pPr>
            <w:r w:rsidRPr="00EB50F4">
              <w:rPr>
                <w:rFonts w:asciiTheme="minorHAnsi" w:hAnsiTheme="minorHAnsi" w:cstheme="minorHAnsi"/>
                <w:color w:val="000000"/>
                <w:lang w:val="en-GB"/>
              </w:rPr>
              <w:t>TGTGACCA</w:t>
            </w:r>
          </w:p>
        </w:tc>
      </w:tr>
    </w:tbl>
    <w:p w14:paraId="7791B4F2" w14:textId="77777777" w:rsidR="00054A8A" w:rsidRDefault="00054A8A" w:rsidP="00054A8A">
      <w:pPr>
        <w:spacing w:line="480" w:lineRule="auto"/>
        <w:rPr>
          <w:rFonts w:asciiTheme="minorHAnsi" w:hAnsiTheme="minorHAnsi" w:cstheme="minorHAnsi"/>
          <w:color w:val="000000" w:themeColor="text1"/>
          <w:shd w:val="clear" w:color="auto" w:fill="FFFFFF"/>
          <w:lang w:val="en-GB"/>
        </w:rPr>
      </w:pPr>
    </w:p>
    <w:p w14:paraId="4AF7978A" w14:textId="77777777" w:rsidR="003C48BC" w:rsidRDefault="003C48BC" w:rsidP="00054A8A">
      <w:pPr>
        <w:spacing w:line="480" w:lineRule="auto"/>
        <w:rPr>
          <w:rFonts w:asciiTheme="minorHAnsi" w:hAnsiTheme="minorHAnsi" w:cstheme="minorHAnsi"/>
          <w:color w:val="000000" w:themeColor="text1"/>
          <w:shd w:val="clear" w:color="auto" w:fill="FFFFFF"/>
          <w:lang w:val="en-GB"/>
        </w:rPr>
        <w:sectPr w:rsidR="003C48BC" w:rsidSect="007646E3">
          <w:pgSz w:w="11900" w:h="16840"/>
          <w:pgMar w:top="1701" w:right="1418" w:bottom="1701" w:left="1418" w:header="709" w:footer="709" w:gutter="0"/>
          <w:cols w:space="708"/>
          <w:docGrid w:linePitch="360"/>
        </w:sectPr>
      </w:pPr>
    </w:p>
    <w:p w14:paraId="17896E2F" w14:textId="7CE07BBA" w:rsidR="00054A8A" w:rsidRPr="00EB50F4" w:rsidRDefault="00054A8A" w:rsidP="00054A8A">
      <w:pPr>
        <w:spacing w:line="480" w:lineRule="auto"/>
        <w:rPr>
          <w:rFonts w:asciiTheme="minorHAnsi" w:hAnsiTheme="minorHAnsi" w:cstheme="minorHAnsi"/>
          <w:color w:val="000000" w:themeColor="text1"/>
          <w:shd w:val="clear" w:color="auto" w:fill="FFFFFF"/>
          <w:lang w:val="en-GB"/>
        </w:rPr>
      </w:pPr>
      <w:r w:rsidRPr="00EB50F4">
        <w:rPr>
          <w:rFonts w:asciiTheme="minorHAnsi" w:hAnsiTheme="minorHAnsi" w:cstheme="minorHAnsi"/>
          <w:noProof/>
          <w:color w:val="000000" w:themeColor="text1"/>
          <w:shd w:val="clear" w:color="auto" w:fill="FFFFFF"/>
          <w:lang w:val="en-GB" w:eastAsia="en-NZ"/>
        </w:rPr>
        <w:lastRenderedPageBreak/>
        <w:drawing>
          <wp:inline distT="0" distB="0" distL="0" distR="0" wp14:anchorId="1B4BC041" wp14:editId="441B4CAA">
            <wp:extent cx="5400000" cy="313209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20-04-14 at 10.46.19 PM.png"/>
                    <pic:cNvPicPr/>
                  </pic:nvPicPr>
                  <pic:blipFill rotWithShape="1">
                    <a:blip r:embed="rId11" cstate="print">
                      <a:extLst>
                        <a:ext uri="{28A0092B-C50C-407E-A947-70E740481C1C}">
                          <a14:useLocalDpi xmlns:a14="http://schemas.microsoft.com/office/drawing/2010/main" val="0"/>
                        </a:ext>
                      </a:extLst>
                    </a:blip>
                    <a:srcRect l="12843" t="19251" r="24974" b="16634"/>
                    <a:stretch/>
                  </pic:blipFill>
                  <pic:spPr bwMode="auto">
                    <a:xfrm>
                      <a:off x="0" y="0"/>
                      <a:ext cx="5400000" cy="3132090"/>
                    </a:xfrm>
                    <a:prstGeom prst="rect">
                      <a:avLst/>
                    </a:prstGeom>
                    <a:ln>
                      <a:noFill/>
                    </a:ln>
                    <a:extLst>
                      <a:ext uri="{53640926-AAD7-44D8-BBD7-CCE9431645EC}">
                        <a14:shadowObscured xmlns:a14="http://schemas.microsoft.com/office/drawing/2010/main"/>
                      </a:ext>
                    </a:extLst>
                  </pic:spPr>
                </pic:pic>
              </a:graphicData>
            </a:graphic>
          </wp:inline>
        </w:drawing>
      </w:r>
    </w:p>
    <w:p w14:paraId="0E54BCA5" w14:textId="2A729882" w:rsidR="00054A8A" w:rsidRPr="00EB50F4" w:rsidRDefault="00054A8A" w:rsidP="00054A8A">
      <w:pPr>
        <w:spacing w:line="480" w:lineRule="auto"/>
        <w:rPr>
          <w:rFonts w:asciiTheme="minorHAnsi" w:hAnsiTheme="minorHAnsi" w:cstheme="minorHAnsi"/>
          <w:color w:val="000000" w:themeColor="text1"/>
          <w:shd w:val="clear" w:color="auto" w:fill="FFFFFF"/>
          <w:lang w:val="en-GB"/>
        </w:rPr>
      </w:pPr>
      <w:r w:rsidRPr="00EB50F4">
        <w:rPr>
          <w:rFonts w:asciiTheme="minorHAnsi" w:hAnsiTheme="minorHAnsi" w:cstheme="minorHAnsi"/>
          <w:b/>
          <w:bCs/>
          <w:color w:val="000000" w:themeColor="text1"/>
          <w:shd w:val="clear" w:color="auto" w:fill="FFFFFF"/>
          <w:lang w:val="en-GB"/>
        </w:rPr>
        <w:t xml:space="preserve">Figure </w:t>
      </w:r>
      <w:r>
        <w:rPr>
          <w:rFonts w:asciiTheme="minorHAnsi" w:hAnsiTheme="minorHAnsi" w:cstheme="minorHAnsi"/>
          <w:b/>
          <w:bCs/>
          <w:color w:val="000000" w:themeColor="text1"/>
          <w:shd w:val="clear" w:color="auto" w:fill="FFFFFF"/>
          <w:lang w:val="en-GB"/>
        </w:rPr>
        <w:t>S</w:t>
      </w:r>
      <w:r w:rsidR="00787A4E">
        <w:rPr>
          <w:rFonts w:asciiTheme="minorHAnsi" w:hAnsiTheme="minorHAnsi" w:cstheme="minorHAnsi"/>
          <w:b/>
          <w:bCs/>
          <w:color w:val="000000" w:themeColor="text1"/>
          <w:shd w:val="clear" w:color="auto" w:fill="FFFFFF"/>
          <w:lang w:val="en-GB"/>
        </w:rPr>
        <w:t>5</w:t>
      </w:r>
      <w:r w:rsidRPr="00EB50F4">
        <w:rPr>
          <w:rFonts w:asciiTheme="minorHAnsi" w:hAnsiTheme="minorHAnsi" w:cstheme="minorHAnsi"/>
          <w:b/>
          <w:bCs/>
          <w:color w:val="000000" w:themeColor="text1"/>
          <w:shd w:val="clear" w:color="auto" w:fill="FFFFFF"/>
          <w:lang w:val="en-GB"/>
        </w:rPr>
        <w:t>.</w:t>
      </w:r>
      <w:r w:rsidRPr="00EB50F4">
        <w:rPr>
          <w:rFonts w:asciiTheme="minorHAnsi" w:hAnsiTheme="minorHAnsi" w:cstheme="minorHAnsi"/>
          <w:color w:val="000000" w:themeColor="text1"/>
          <w:shd w:val="clear" w:color="auto" w:fill="FFFFFF"/>
          <w:lang w:val="en-GB"/>
        </w:rPr>
        <w:t xml:space="preserve"> Structure of forward and reverse primers used on the one-step qPCR approach (A) and, single-read sequencing workflow (B)</w:t>
      </w:r>
      <w:r w:rsidR="00704FBD">
        <w:rPr>
          <w:rFonts w:asciiTheme="minorHAnsi" w:hAnsiTheme="minorHAnsi" w:cstheme="minorHAnsi"/>
          <w:color w:val="000000" w:themeColor="text1"/>
          <w:shd w:val="clear" w:color="auto" w:fill="FFFFFF"/>
          <w:lang w:val="en-GB"/>
        </w:rPr>
        <w:t xml:space="preserve">, </w:t>
      </w:r>
      <w:r w:rsidR="00704FBD">
        <w:rPr>
          <w:rFonts w:asciiTheme="minorHAnsi" w:hAnsiTheme="minorHAnsi" w:cstheme="minorHAnsi"/>
          <w:color w:val="000000" w:themeColor="text1"/>
          <w:shd w:val="clear" w:color="auto" w:fill="FFFFFF"/>
          <w:lang w:val="en-GB"/>
        </w:rPr>
        <w:fldChar w:fldCharType="begin"/>
      </w:r>
      <w:r w:rsidR="00704FBD">
        <w:rPr>
          <w:rFonts w:asciiTheme="minorHAnsi" w:hAnsiTheme="minorHAnsi" w:cstheme="minorHAnsi"/>
          <w:color w:val="000000" w:themeColor="text1"/>
          <w:shd w:val="clear" w:color="auto" w:fill="FFFFFF"/>
          <w:lang w:val="en-GB"/>
        </w:rPr>
        <w:instrText xml:space="preserve"> ADDIN ZOTERO_ITEM CSL_CITATION {"citationID":"9bl4QCIY","properties":{"formattedCitation":"(Amaral-Zettler {\\i{}et al.} 2018)","plainCitation":"(Amaral-Zettler et al. 2018)","noteIndex":0},"citationItems":[{"id":454,"uris":["http://zotero.org/users/8293222/items/GT3LW3MK"],"uri":["http://zotero.org/users/8293222/items/GT3LW3MK"],"itemData":{"id":454,"type":"article-journal","abstract":"The 18S protocol detailed here is designed to amplify eukaryotes broadly with a focus on microbial eukaryotic lineages. The primers target the 18S SSU rRNA and are based on those...","DOI":"10.17504/protocols.io.nuvdew6","language":"en","source":"www.protocols.io","title":"EMP 18S Illumina Amplicon Protocol","URL":"https://www.protocols.io/view/emp-18s-illumina-amplicon-protocol-nuvdew6","author":[{"family":"Amaral-Zettler","given":"Linda A."},{"family":"Bauer","given":"Markus"},{"family":"Berg-Lyons","given":"Donna"},{"family":"Betley","given":"Jason"},{"family":"Caporaso","given":"Greg J."},{"family":"Ducklow","given":"Hugh W."},{"family":"Fierer","given":"Noah"},{"family":"Fraser","given":"Louise"},{"family":"Gilbert","given":"Jack A."},{"family":"Gormley","given":"Niall"},{"family":"Huntley","given":"James"},{"family":"Huse","given":"Susan M."},{"family":"Jansson","given":"Janet K."},{"family":"Jarman","given":"Simon N."},{"family":"Knight","given":"Rob"},{"family":"Lauber","given":"Chris L."},{"family":"McCliment","given":"Elizabeth A."},{"family":"Owens","given":"Sarah A."},{"family":"Smith","given":"Geoff"},{"family":"Thompson","given":"Luke"},{"family":"Vestheim","given":"Hege"},{"family":"Walters","given":"William A."}],"accessed":{"date-parts":[["2021",9,5]]},"issued":{"date-parts":[["2018",4,14]]}}}],"schema":"https://github.com/citation-style-language/schema/raw/master/csl-citation.json"} </w:instrText>
      </w:r>
      <w:r w:rsidR="00704FBD">
        <w:rPr>
          <w:rFonts w:asciiTheme="minorHAnsi" w:hAnsiTheme="minorHAnsi" w:cstheme="minorHAnsi"/>
          <w:color w:val="000000" w:themeColor="text1"/>
          <w:shd w:val="clear" w:color="auto" w:fill="FFFFFF"/>
          <w:lang w:val="en-GB"/>
        </w:rPr>
        <w:fldChar w:fldCharType="separate"/>
      </w:r>
      <w:r w:rsidR="00704FBD" w:rsidRPr="00704FBD">
        <w:rPr>
          <w:rFonts w:ascii="Calibri" w:hAnsi="Calibri" w:cs="Calibri"/>
        </w:rPr>
        <w:t xml:space="preserve">(Amaral-Zettler </w:t>
      </w:r>
      <w:r w:rsidR="00704FBD" w:rsidRPr="00704FBD">
        <w:rPr>
          <w:rFonts w:ascii="Calibri" w:hAnsi="Calibri" w:cs="Calibri"/>
          <w:i/>
          <w:iCs/>
        </w:rPr>
        <w:t>et al.</w:t>
      </w:r>
      <w:r w:rsidR="00704FBD" w:rsidRPr="00704FBD">
        <w:rPr>
          <w:rFonts w:ascii="Calibri" w:hAnsi="Calibri" w:cs="Calibri"/>
        </w:rPr>
        <w:t xml:space="preserve"> 2018)</w:t>
      </w:r>
      <w:r w:rsidR="00704FBD">
        <w:rPr>
          <w:rFonts w:asciiTheme="minorHAnsi" w:hAnsiTheme="minorHAnsi" w:cstheme="minorHAnsi"/>
          <w:color w:val="000000" w:themeColor="text1"/>
          <w:shd w:val="clear" w:color="auto" w:fill="FFFFFF"/>
          <w:lang w:val="en-GB"/>
        </w:rPr>
        <w:fldChar w:fldCharType="end"/>
      </w:r>
      <w:r w:rsidRPr="00EB50F4">
        <w:rPr>
          <w:rFonts w:asciiTheme="minorHAnsi" w:hAnsiTheme="minorHAnsi" w:cstheme="minorHAnsi"/>
          <w:color w:val="000000" w:themeColor="text1"/>
          <w:shd w:val="clear" w:color="auto" w:fill="FFFFFF"/>
          <w:lang w:val="en-GB"/>
        </w:rPr>
        <w:t>.</w:t>
      </w:r>
      <w:r w:rsidRPr="00EB50F4">
        <w:rPr>
          <w:rFonts w:asciiTheme="minorHAnsi" w:hAnsiTheme="minorHAnsi" w:cstheme="minorHAnsi"/>
          <w:color w:val="000000" w:themeColor="text1"/>
          <w:lang w:val="en-GB"/>
        </w:rPr>
        <w:t xml:space="preserve"> </w:t>
      </w:r>
    </w:p>
    <w:p w14:paraId="63D5C8ED" w14:textId="77777777" w:rsidR="00054A8A" w:rsidRPr="00EB50F4" w:rsidRDefault="00054A8A" w:rsidP="00054A8A">
      <w:pPr>
        <w:spacing w:line="480" w:lineRule="auto"/>
        <w:rPr>
          <w:rFonts w:asciiTheme="minorHAnsi" w:hAnsiTheme="minorHAnsi" w:cstheme="minorHAnsi"/>
          <w:lang w:val="en-GB"/>
        </w:rPr>
      </w:pPr>
      <w:r w:rsidRPr="00EB50F4">
        <w:rPr>
          <w:rFonts w:asciiTheme="minorHAnsi" w:hAnsiTheme="minorHAnsi" w:cstheme="minorHAnsi"/>
          <w:noProof/>
          <w:lang w:val="en-GB" w:eastAsia="en-NZ"/>
        </w:rPr>
        <w:lastRenderedPageBreak/>
        <w:drawing>
          <wp:inline distT="0" distB="0" distL="0" distR="0" wp14:anchorId="6658E16F" wp14:editId="7ACD4AB1">
            <wp:extent cx="5400000" cy="68163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4 at 11.58.06 AM.png"/>
                    <pic:cNvPicPr/>
                  </pic:nvPicPr>
                  <pic:blipFill rotWithShape="1">
                    <a:blip r:embed="rId12" cstate="print">
                      <a:extLst>
                        <a:ext uri="{28A0092B-C50C-407E-A947-70E740481C1C}">
                          <a14:useLocalDpi xmlns:a14="http://schemas.microsoft.com/office/drawing/2010/main" val="0"/>
                        </a:ext>
                      </a:extLst>
                    </a:blip>
                    <a:srcRect l="29668" t="5124" r="29756" b="3824"/>
                    <a:stretch/>
                  </pic:blipFill>
                  <pic:spPr bwMode="auto">
                    <a:xfrm>
                      <a:off x="0" y="0"/>
                      <a:ext cx="5400000" cy="6816393"/>
                    </a:xfrm>
                    <a:prstGeom prst="rect">
                      <a:avLst/>
                    </a:prstGeom>
                    <a:ln>
                      <a:noFill/>
                    </a:ln>
                    <a:extLst>
                      <a:ext uri="{53640926-AAD7-44D8-BBD7-CCE9431645EC}">
                        <a14:shadowObscured xmlns:a14="http://schemas.microsoft.com/office/drawing/2010/main"/>
                      </a:ext>
                    </a:extLst>
                  </pic:spPr>
                </pic:pic>
              </a:graphicData>
            </a:graphic>
          </wp:inline>
        </w:drawing>
      </w:r>
    </w:p>
    <w:p w14:paraId="1B8A14C6" w14:textId="18FF5274" w:rsidR="00054A8A" w:rsidRDefault="00054A8A" w:rsidP="00054A8A">
      <w:pPr>
        <w:spacing w:line="480" w:lineRule="auto"/>
        <w:rPr>
          <w:rFonts w:asciiTheme="minorHAnsi" w:hAnsiTheme="minorHAnsi" w:cstheme="minorHAnsi"/>
          <w:color w:val="000000" w:themeColor="text1"/>
          <w:shd w:val="clear" w:color="auto" w:fill="FFFFFF"/>
          <w:lang w:val="en-GB"/>
        </w:rPr>
      </w:pPr>
      <w:r w:rsidRPr="00EB50F4">
        <w:rPr>
          <w:rFonts w:asciiTheme="minorHAnsi" w:hAnsiTheme="minorHAnsi" w:cstheme="minorHAnsi"/>
          <w:b/>
          <w:bCs/>
          <w:color w:val="000000" w:themeColor="text1"/>
          <w:shd w:val="clear" w:color="auto" w:fill="FFFFFF"/>
          <w:lang w:val="en-GB"/>
        </w:rPr>
        <w:t xml:space="preserve">Figure </w:t>
      </w:r>
      <w:r>
        <w:rPr>
          <w:rFonts w:asciiTheme="minorHAnsi" w:hAnsiTheme="minorHAnsi" w:cstheme="minorHAnsi"/>
          <w:b/>
          <w:bCs/>
          <w:color w:val="000000" w:themeColor="text1"/>
          <w:shd w:val="clear" w:color="auto" w:fill="FFFFFF"/>
          <w:lang w:val="en-GB"/>
        </w:rPr>
        <w:t>S</w:t>
      </w:r>
      <w:r w:rsidR="00787A4E">
        <w:rPr>
          <w:rFonts w:asciiTheme="minorHAnsi" w:hAnsiTheme="minorHAnsi" w:cstheme="minorHAnsi"/>
          <w:b/>
          <w:bCs/>
          <w:color w:val="000000" w:themeColor="text1"/>
          <w:shd w:val="clear" w:color="auto" w:fill="FFFFFF"/>
          <w:lang w:val="en-GB"/>
        </w:rPr>
        <w:t>6</w:t>
      </w:r>
      <w:r w:rsidRPr="00EB50F4">
        <w:rPr>
          <w:rFonts w:asciiTheme="minorHAnsi" w:hAnsiTheme="minorHAnsi" w:cstheme="minorHAnsi"/>
          <w:b/>
          <w:bCs/>
          <w:color w:val="000000" w:themeColor="text1"/>
          <w:shd w:val="clear" w:color="auto" w:fill="FFFFFF"/>
          <w:lang w:val="en-GB"/>
        </w:rPr>
        <w:t>.</w:t>
      </w:r>
      <w:r w:rsidRPr="00EB50F4">
        <w:rPr>
          <w:rFonts w:asciiTheme="minorHAnsi" w:hAnsiTheme="minorHAnsi" w:cstheme="minorHAnsi"/>
          <w:color w:val="000000" w:themeColor="text1"/>
          <w:shd w:val="clear" w:color="auto" w:fill="FFFFFF"/>
          <w:lang w:val="en-GB"/>
        </w:rPr>
        <w:t xml:space="preserve"> Structure of forward and reverse primers used on the one-step qPCR approach</w:t>
      </w:r>
      <w:r w:rsidR="00704FBD">
        <w:rPr>
          <w:rFonts w:asciiTheme="minorHAnsi" w:hAnsiTheme="minorHAnsi" w:cstheme="minorHAnsi"/>
          <w:color w:val="000000" w:themeColor="text1"/>
          <w:shd w:val="clear" w:color="auto" w:fill="FFFFFF"/>
          <w:lang w:val="en-GB"/>
        </w:rPr>
        <w:t xml:space="preserve"> </w:t>
      </w:r>
      <w:r w:rsidR="00704FBD">
        <w:rPr>
          <w:rFonts w:asciiTheme="minorHAnsi" w:hAnsiTheme="minorHAnsi" w:cstheme="minorHAnsi"/>
          <w:color w:val="000000" w:themeColor="text1"/>
          <w:shd w:val="clear" w:color="auto" w:fill="FFFFFF"/>
          <w:lang w:val="en-GB"/>
        </w:rPr>
        <w:fldChar w:fldCharType="begin"/>
      </w:r>
      <w:r w:rsidR="00704FBD">
        <w:rPr>
          <w:rFonts w:asciiTheme="minorHAnsi" w:hAnsiTheme="minorHAnsi" w:cstheme="minorHAnsi"/>
          <w:color w:val="000000" w:themeColor="text1"/>
          <w:shd w:val="clear" w:color="auto" w:fill="FFFFFF"/>
          <w:lang w:val="en-GB"/>
        </w:rPr>
        <w:instrText xml:space="preserve"> ADDIN ZOTERO_ITEM CSL_CITATION {"citationID":"xqI6NkRL","properties":{"formattedCitation":"(Miya {\\i{}et al.} 2015)","plainCitation":"(Miya et al. 2015)","noteIndex":0},"citationItems":[{"id":140,"uris":["http://zotero.org/users/8293222/items/U528SYH6"],"uri":["http://zotero.org/users/8293222/items/U528SYH6"],"itemData":{"id":140,"type":"article-journal","abstract":"We developed a set of universal PCR primers (MiFish-U/E) for metabarcoding environmental DNA (eDNA) from fishes. Primers were designed using aligned whole mitochondrial genome (mitogenome) sequences from 880 species, supplemented by partial mitogenome sequences from 160 elasmobranchs (sharks and rays). The primers target a hypervariable region of the 12S rRNA gene (163-185 bp), which contains sufficient information to identify fishes to taxonomic family, genus and species except for some closely related congeners. To test versatility of the primers across a diverse range of fishes, we sampled eDNA from four tanks in the Okinawa Churaumi Aquarium with known species compositions, prepared dual-indexed libraries and performed paired-end sequencing of the region using high-throughput next-generation sequencing technologies. Out of the 180 marine fish species contained in the four tanks with reference sequences in a custom database, we detected 168 species (93.3%) distributed across 59 families and 123 genera. These fishes are not only taxonomically diverse, ranging from sharks and rays to higher teleosts, but are also greatly varied in their ecology, including both pelagic and benthic species living in shallow coastal to deep waters. We also sampled natural seawaters around coral reefs near the aquarium and detected 93 fish species using this approach. Of the 93 species, 64 were not detected in the four aquarium tanks, rendering the total number of species detected to 232 (from 70 families and 152 genera). The metabarcoding approach presented here is non-invasive, more efficient, more cost-effective and more sensitive than the traditional survey methods. It has the potential to serve as an alternative (or complementary) tool for biodiversity monitoring that revolutionizes natural resource management and ecological studies of fish communities on larger spatial and temporal scales.","container-title":"Royal Society open science","DOI":"10.1098/rsos.150088","ISSN":"2054-5703","issue":"7","language":"eng","note":"publisher-place: England\npublisher: The Royal Society","page":"150088–150088","source":"otago.com","title":"MiFish, a set of universal PCR primers for metabarcoding environmental DNA from fishes: Detection of more than 230 subtropical marine species","title-short":"MiFish, a set of universal PCR primers for metabarcoding environmental DNA from fishes","volume":"2","author":[{"family":"Miya","given":"M."},{"family":"Sato","given":"Y."},{"family":"Fukunaga","given":"T."},{"family":"Sado","given":"T."},{"family":"Poulsen","given":"J. Y."},{"family":"Sato","given":"K."},{"family":"Minamoto","given":"T."},{"family":"Yamamoto","given":"S."},{"family":"Yamanaka","given":"H."},{"family":"Araki","given":"H."},{"family":"Kondoh","given":"M."},{"family":"Iwasaki","given":"W."}],"issued":{"date-parts":[["2015"]]}}}],"schema":"https://github.com/citation-style-language/schema/raw/master/csl-citation.json"} </w:instrText>
      </w:r>
      <w:r w:rsidR="00704FBD">
        <w:rPr>
          <w:rFonts w:asciiTheme="minorHAnsi" w:hAnsiTheme="minorHAnsi" w:cstheme="minorHAnsi"/>
          <w:color w:val="000000" w:themeColor="text1"/>
          <w:shd w:val="clear" w:color="auto" w:fill="FFFFFF"/>
          <w:lang w:val="en-GB"/>
        </w:rPr>
        <w:fldChar w:fldCharType="separate"/>
      </w:r>
      <w:r w:rsidR="00704FBD" w:rsidRPr="00704FBD">
        <w:rPr>
          <w:rFonts w:ascii="Calibri" w:hAnsi="Calibri" w:cs="Calibri"/>
        </w:rPr>
        <w:t xml:space="preserve">(Miya </w:t>
      </w:r>
      <w:r w:rsidR="00704FBD" w:rsidRPr="00704FBD">
        <w:rPr>
          <w:rFonts w:ascii="Calibri" w:hAnsi="Calibri" w:cs="Calibri"/>
          <w:i/>
          <w:iCs/>
        </w:rPr>
        <w:t>et al.</w:t>
      </w:r>
      <w:r w:rsidR="00704FBD" w:rsidRPr="00704FBD">
        <w:rPr>
          <w:rFonts w:ascii="Calibri" w:hAnsi="Calibri" w:cs="Calibri"/>
        </w:rPr>
        <w:t xml:space="preserve"> 2015)</w:t>
      </w:r>
      <w:r w:rsidR="00704FBD">
        <w:rPr>
          <w:rFonts w:asciiTheme="minorHAnsi" w:hAnsiTheme="minorHAnsi" w:cstheme="minorHAnsi"/>
          <w:color w:val="000000" w:themeColor="text1"/>
          <w:shd w:val="clear" w:color="auto" w:fill="FFFFFF"/>
          <w:lang w:val="en-GB"/>
        </w:rPr>
        <w:fldChar w:fldCharType="end"/>
      </w:r>
      <w:r w:rsidRPr="00EB50F4">
        <w:rPr>
          <w:rFonts w:asciiTheme="minorHAnsi" w:hAnsiTheme="minorHAnsi" w:cstheme="minorHAnsi"/>
          <w:color w:val="000000" w:themeColor="text1"/>
          <w:shd w:val="clear" w:color="auto" w:fill="FFFFFF"/>
          <w:lang w:val="en-GB"/>
        </w:rPr>
        <w:t>.</w:t>
      </w:r>
    </w:p>
    <w:p w14:paraId="719E2D89" w14:textId="7F86E59E" w:rsidR="003C48BC" w:rsidRPr="003C48BC" w:rsidRDefault="003C48BC" w:rsidP="00054A8A">
      <w:pPr>
        <w:spacing w:line="480" w:lineRule="auto"/>
        <w:rPr>
          <w:rFonts w:asciiTheme="minorHAnsi" w:hAnsiTheme="minorHAnsi" w:cstheme="minorHAnsi"/>
          <w:b/>
          <w:bCs/>
          <w:color w:val="000000" w:themeColor="text1"/>
          <w:shd w:val="clear" w:color="auto" w:fill="FFFFFF"/>
          <w:lang w:val="en-GB"/>
        </w:rPr>
      </w:pPr>
      <w:r w:rsidRPr="003C48BC">
        <w:rPr>
          <w:rFonts w:asciiTheme="minorHAnsi" w:hAnsiTheme="minorHAnsi" w:cstheme="minorHAnsi"/>
          <w:b/>
          <w:bCs/>
          <w:color w:val="000000" w:themeColor="text1"/>
          <w:shd w:val="clear" w:color="auto" w:fill="FFFFFF"/>
          <w:lang w:val="en-GB"/>
        </w:rPr>
        <w:t>PICTURES</w:t>
      </w:r>
    </w:p>
    <w:p w14:paraId="36A92357" w14:textId="6B18DAFC" w:rsidR="009C32B5" w:rsidRDefault="009C32B5" w:rsidP="009C32B5">
      <w:pPr>
        <w:rPr>
          <w:rFonts w:asciiTheme="minorHAnsi" w:hAnsiTheme="minorHAnsi" w:cstheme="minorHAnsi"/>
          <w:b/>
          <w:bCs/>
          <w:lang w:val="en-GB"/>
        </w:rPr>
      </w:pPr>
      <w:r>
        <w:rPr>
          <w:noProof/>
        </w:rPr>
        <w:lastRenderedPageBreak/>
        <w:drawing>
          <wp:inline distT="0" distB="0" distL="0" distR="0" wp14:anchorId="11BD932E" wp14:editId="30C405A2">
            <wp:extent cx="4904226" cy="7285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55" r="7988" b="1600"/>
                    <a:stretch/>
                  </pic:blipFill>
                  <pic:spPr bwMode="auto">
                    <a:xfrm>
                      <a:off x="0" y="0"/>
                      <a:ext cx="4923475" cy="7314373"/>
                    </a:xfrm>
                    <a:prstGeom prst="rect">
                      <a:avLst/>
                    </a:prstGeom>
                    <a:noFill/>
                    <a:ln>
                      <a:noFill/>
                    </a:ln>
                    <a:extLst>
                      <a:ext uri="{53640926-AAD7-44D8-BBD7-CCE9431645EC}">
                        <a14:shadowObscured xmlns:a14="http://schemas.microsoft.com/office/drawing/2010/main"/>
                      </a:ext>
                    </a:extLst>
                  </pic:spPr>
                </pic:pic>
              </a:graphicData>
            </a:graphic>
          </wp:inline>
        </w:drawing>
      </w:r>
    </w:p>
    <w:p w14:paraId="3395EC29" w14:textId="3C1FEBD4" w:rsidR="009C32B5" w:rsidRPr="00EB50F4" w:rsidRDefault="009C32B5" w:rsidP="009C32B5">
      <w:pPr>
        <w:rPr>
          <w:rFonts w:asciiTheme="minorHAnsi" w:hAnsiTheme="minorHAnsi" w:cstheme="minorHAnsi"/>
          <w:b/>
          <w:bCs/>
          <w:lang w:val="en-GB"/>
        </w:rPr>
      </w:pPr>
      <w:r>
        <w:rPr>
          <w:rFonts w:asciiTheme="minorHAnsi" w:hAnsiTheme="minorHAnsi" w:cstheme="minorHAnsi"/>
          <w:b/>
          <w:bCs/>
          <w:lang w:val="en-GB"/>
        </w:rPr>
        <w:t>Figure S</w:t>
      </w:r>
      <w:r w:rsidR="00787A4E">
        <w:rPr>
          <w:rFonts w:asciiTheme="minorHAnsi" w:hAnsiTheme="minorHAnsi" w:cstheme="minorHAnsi"/>
          <w:b/>
          <w:bCs/>
          <w:lang w:val="en-GB"/>
        </w:rPr>
        <w:t>7</w:t>
      </w:r>
      <w:r>
        <w:rPr>
          <w:rFonts w:asciiTheme="minorHAnsi" w:hAnsiTheme="minorHAnsi" w:cstheme="minorHAnsi"/>
          <w:b/>
          <w:bCs/>
          <w:lang w:val="en-GB"/>
        </w:rPr>
        <w:t xml:space="preserve">. </w:t>
      </w:r>
      <w:r w:rsidR="00F66584" w:rsidRPr="00D94C3D">
        <w:rPr>
          <w:rFonts w:asciiTheme="minorHAnsi" w:hAnsiTheme="minorHAnsi" w:cstheme="minorHAnsi"/>
          <w:lang w:val="en-GB"/>
        </w:rPr>
        <w:t>A</w:t>
      </w:r>
      <w:r w:rsidRPr="00D94C3D">
        <w:rPr>
          <w:rFonts w:asciiTheme="minorHAnsi" w:hAnsiTheme="minorHAnsi" w:cstheme="minorHAnsi"/>
          <w:lang w:val="en-GB"/>
        </w:rPr>
        <w:t xml:space="preserve">nthropogenic pollution </w:t>
      </w:r>
      <w:r w:rsidR="00F66584" w:rsidRPr="00D94C3D">
        <w:rPr>
          <w:rFonts w:asciiTheme="minorHAnsi" w:hAnsiTheme="minorHAnsi" w:cstheme="minorHAnsi"/>
          <w:lang w:val="en-GB"/>
        </w:rPr>
        <w:t>in Antarctica</w:t>
      </w:r>
      <w:r w:rsidRPr="00D94C3D">
        <w:rPr>
          <w:rFonts w:asciiTheme="minorHAnsi" w:hAnsiTheme="minorHAnsi" w:cstheme="minorHAnsi"/>
          <w:lang w:val="en-GB"/>
        </w:rPr>
        <w:t xml:space="preserve">; (a-c), Julio Escudero Chilean station, (d-e) Davis Australian station, </w:t>
      </w:r>
      <w:r w:rsidR="003E0680" w:rsidRPr="00D94C3D">
        <w:rPr>
          <w:rFonts w:asciiTheme="minorHAnsi" w:hAnsiTheme="minorHAnsi" w:cstheme="minorHAnsi"/>
          <w:lang w:val="en-GB"/>
        </w:rPr>
        <w:t>(</w:t>
      </w:r>
      <w:r w:rsidRPr="00D94C3D">
        <w:rPr>
          <w:rFonts w:asciiTheme="minorHAnsi" w:hAnsiTheme="minorHAnsi" w:cstheme="minorHAnsi"/>
          <w:lang w:val="en-GB"/>
        </w:rPr>
        <w:t>f</w:t>
      </w:r>
      <w:r w:rsidR="003E0680" w:rsidRPr="00D94C3D">
        <w:rPr>
          <w:rFonts w:asciiTheme="minorHAnsi" w:hAnsiTheme="minorHAnsi" w:cstheme="minorHAnsi"/>
          <w:lang w:val="en-GB"/>
        </w:rPr>
        <w:t xml:space="preserve">-g) Progress old Russian station, and </w:t>
      </w:r>
      <w:r w:rsidR="00476C4A">
        <w:rPr>
          <w:rFonts w:asciiTheme="minorHAnsi" w:hAnsiTheme="minorHAnsi" w:cstheme="minorHAnsi"/>
          <w:lang w:val="en-GB"/>
        </w:rPr>
        <w:t xml:space="preserve">(h) </w:t>
      </w:r>
      <w:r w:rsidR="00FF66D2">
        <w:rPr>
          <w:rFonts w:asciiTheme="minorHAnsi" w:hAnsiTheme="minorHAnsi" w:cstheme="minorHAnsi"/>
          <w:lang w:val="en-GB"/>
        </w:rPr>
        <w:t>vicinity of</w:t>
      </w:r>
      <w:r w:rsidR="00476C4A">
        <w:rPr>
          <w:rFonts w:asciiTheme="minorHAnsi" w:hAnsiTheme="minorHAnsi" w:cstheme="minorHAnsi"/>
          <w:lang w:val="en-GB"/>
        </w:rPr>
        <w:t xml:space="preserve"> Progress new Russian station.</w:t>
      </w:r>
    </w:p>
    <w:p w14:paraId="2C12FEBA" w14:textId="77777777" w:rsidR="003C48BC" w:rsidRDefault="003C48BC" w:rsidP="003C48BC">
      <w:pPr>
        <w:spacing w:after="160" w:line="480" w:lineRule="auto"/>
        <w:rPr>
          <w:rFonts w:asciiTheme="minorHAnsi" w:hAnsiTheme="minorHAnsi" w:cstheme="minorHAnsi"/>
          <w:lang w:val="en-GB"/>
        </w:rPr>
      </w:pPr>
    </w:p>
    <w:p w14:paraId="46C580F8" w14:textId="77777777" w:rsidR="003C48BC" w:rsidRDefault="003C48BC" w:rsidP="003C48BC">
      <w:pPr>
        <w:spacing w:after="160" w:line="480" w:lineRule="auto"/>
        <w:rPr>
          <w:rFonts w:asciiTheme="minorHAnsi" w:hAnsiTheme="minorHAnsi" w:cstheme="minorHAnsi"/>
          <w:b/>
          <w:bCs/>
          <w:color w:val="0E101A"/>
          <w:lang w:val="en-GB"/>
        </w:rPr>
      </w:pPr>
    </w:p>
    <w:p w14:paraId="7B7BB323" w14:textId="7E24044A" w:rsidR="003C48BC" w:rsidRPr="003C48BC" w:rsidRDefault="003C48BC" w:rsidP="003C48BC">
      <w:pPr>
        <w:spacing w:after="160" w:line="480" w:lineRule="auto"/>
        <w:rPr>
          <w:rFonts w:asciiTheme="minorHAnsi" w:hAnsiTheme="minorHAnsi" w:cstheme="minorHAnsi"/>
          <w:b/>
          <w:lang w:val="en-GB"/>
        </w:rPr>
      </w:pPr>
      <w:r>
        <w:rPr>
          <w:rFonts w:asciiTheme="minorHAnsi" w:hAnsiTheme="minorHAnsi" w:cstheme="minorHAnsi"/>
          <w:b/>
          <w:bCs/>
          <w:color w:val="0E101A"/>
          <w:lang w:val="en-GB"/>
        </w:rPr>
        <w:lastRenderedPageBreak/>
        <w:t>PROTOCOLS</w:t>
      </w:r>
    </w:p>
    <w:p w14:paraId="6B74958F" w14:textId="77777777" w:rsidR="003C48BC" w:rsidRDefault="003C48BC" w:rsidP="003C48BC">
      <w:pPr>
        <w:rPr>
          <w:rFonts w:asciiTheme="minorHAnsi" w:hAnsiTheme="minorHAnsi" w:cstheme="minorHAnsi"/>
          <w:b/>
          <w:bCs/>
          <w:color w:val="0E101A"/>
          <w:lang w:val="en-GB"/>
        </w:rPr>
      </w:pPr>
    </w:p>
    <w:p w14:paraId="42847E08" w14:textId="030ED7AC" w:rsidR="00EB50F4" w:rsidRDefault="00EB50F4" w:rsidP="003C48BC">
      <w:pPr>
        <w:rPr>
          <w:rFonts w:asciiTheme="minorHAnsi" w:hAnsiTheme="minorHAnsi" w:cstheme="minorHAnsi"/>
          <w:b/>
          <w:bCs/>
          <w:color w:val="0E101A"/>
          <w:lang w:val="en-GB"/>
        </w:rPr>
      </w:pPr>
      <w:r w:rsidRPr="00EB50F4">
        <w:rPr>
          <w:rFonts w:asciiTheme="minorHAnsi" w:hAnsiTheme="minorHAnsi" w:cstheme="minorHAnsi"/>
          <w:b/>
          <w:bCs/>
          <w:color w:val="0E101A"/>
          <w:lang w:val="en-GB"/>
        </w:rPr>
        <w:t>DNA extraction protocols</w:t>
      </w:r>
    </w:p>
    <w:p w14:paraId="2A14863A" w14:textId="77777777" w:rsidR="003C48BC" w:rsidRDefault="003C48BC" w:rsidP="003C48BC">
      <w:pPr>
        <w:rPr>
          <w:rFonts w:asciiTheme="minorHAnsi" w:hAnsiTheme="minorHAnsi" w:cstheme="minorHAnsi"/>
          <w:b/>
          <w:bCs/>
          <w:i/>
          <w:iCs/>
          <w:color w:val="0E101A"/>
          <w:lang w:val="en-GB"/>
        </w:rPr>
      </w:pPr>
    </w:p>
    <w:p w14:paraId="6FE3CCAC" w14:textId="729A7201" w:rsidR="00EB50F4" w:rsidRPr="00EB50F4" w:rsidRDefault="00EB50F4" w:rsidP="003C48BC">
      <w:pPr>
        <w:rPr>
          <w:rFonts w:asciiTheme="minorHAnsi" w:hAnsiTheme="minorHAnsi" w:cstheme="minorHAnsi"/>
          <w:b/>
          <w:bCs/>
          <w:i/>
          <w:iCs/>
          <w:color w:val="0E101A"/>
          <w:lang w:val="en-GB"/>
        </w:rPr>
      </w:pPr>
      <w:proofErr w:type="spellStart"/>
      <w:r w:rsidRPr="00EB50F4">
        <w:rPr>
          <w:rFonts w:asciiTheme="minorHAnsi" w:hAnsiTheme="minorHAnsi" w:cstheme="minorHAnsi"/>
          <w:b/>
          <w:bCs/>
          <w:i/>
          <w:iCs/>
          <w:color w:val="0E101A"/>
          <w:lang w:val="en-GB"/>
        </w:rPr>
        <w:t>i</w:t>
      </w:r>
      <w:proofErr w:type="spellEnd"/>
      <w:r w:rsidRPr="00EB50F4">
        <w:rPr>
          <w:rFonts w:asciiTheme="minorHAnsi" w:hAnsiTheme="minorHAnsi" w:cstheme="minorHAnsi"/>
          <w:b/>
          <w:bCs/>
          <w:i/>
          <w:iCs/>
          <w:color w:val="0E101A"/>
          <w:lang w:val="en-GB"/>
        </w:rPr>
        <w:t xml:space="preserve">) </w:t>
      </w:r>
      <w:proofErr w:type="spellStart"/>
      <w:r w:rsidRPr="00EB50F4">
        <w:rPr>
          <w:rFonts w:asciiTheme="minorHAnsi" w:hAnsiTheme="minorHAnsi" w:cstheme="minorHAnsi"/>
          <w:b/>
          <w:bCs/>
          <w:i/>
          <w:iCs/>
          <w:color w:val="0E101A"/>
          <w:lang w:val="en-GB"/>
        </w:rPr>
        <w:t>PowerSoil</w:t>
      </w:r>
      <w:proofErr w:type="spellEnd"/>
      <w:r w:rsidRPr="00EB50F4">
        <w:rPr>
          <w:rFonts w:asciiTheme="minorHAnsi" w:hAnsiTheme="minorHAnsi" w:cstheme="minorHAnsi"/>
          <w:b/>
          <w:bCs/>
          <w:i/>
          <w:iCs/>
          <w:color w:val="0E101A"/>
          <w:lang w:val="en-GB"/>
        </w:rPr>
        <w:t>® DNA Isolation Kit (MO BIO Laboratories, Inc.)</w:t>
      </w:r>
    </w:p>
    <w:p w14:paraId="758586C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0.25 grams of soil sample to a </w:t>
      </w:r>
      <w:proofErr w:type="spellStart"/>
      <w:r w:rsidRPr="00EB50F4">
        <w:rPr>
          <w:rFonts w:asciiTheme="minorHAnsi" w:hAnsiTheme="minorHAnsi" w:cstheme="minorHAnsi"/>
          <w:color w:val="0E101A"/>
          <w:lang w:val="en-GB"/>
        </w:rPr>
        <w:t>PowerBead</w:t>
      </w:r>
      <w:proofErr w:type="spellEnd"/>
      <w:r w:rsidRPr="00EB50F4">
        <w:rPr>
          <w:rFonts w:asciiTheme="minorHAnsi" w:hAnsiTheme="minorHAnsi" w:cstheme="minorHAnsi"/>
          <w:color w:val="0E101A"/>
          <w:lang w:val="en-GB"/>
        </w:rPr>
        <w:t xml:space="preserve"> Tube</w:t>
      </w:r>
    </w:p>
    <w:p w14:paraId="1E9010C8"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2 sec</w:t>
      </w:r>
    </w:p>
    <w:p w14:paraId="17E07AA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60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solution C1 (if solution C1 is precipitated, heat solution to 60°C until dissolved before use)</w:t>
      </w:r>
    </w:p>
    <w:p w14:paraId="19CD789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in a horizontal position at maximum speed for 10 mins</w:t>
      </w:r>
    </w:p>
    <w:p w14:paraId="7A98D7C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10,000 x g for 30 s at ambient temperature</w:t>
      </w:r>
    </w:p>
    <w:p w14:paraId="5499F43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Transfer the supernatant to a clean 2 ml Collection tube</w:t>
      </w:r>
    </w:p>
    <w:p w14:paraId="313A811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250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solution C2 and vortex for 5 s</w:t>
      </w:r>
    </w:p>
    <w:p w14:paraId="2C769E5B"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at 4°C for 5 mins</w:t>
      </w:r>
    </w:p>
    <w:p w14:paraId="5DA5C47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room temperature for 1 min at 10,000 x g</w:t>
      </w:r>
    </w:p>
    <w:p w14:paraId="3B6F57BC"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Transfer up to, but no more than, 600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supernatant to a 2 ml Collection tube</w:t>
      </w:r>
    </w:p>
    <w:p w14:paraId="398591D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200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Solution C3 </w:t>
      </w:r>
    </w:p>
    <w:p w14:paraId="543927C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w:t>
      </w:r>
    </w:p>
    <w:p w14:paraId="2FB786A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at 4°C for 5 mins</w:t>
      </w:r>
    </w:p>
    <w:p w14:paraId="2EB5CFEC"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room temperature for 1 minute at 10,000 x g</w:t>
      </w:r>
    </w:p>
    <w:p w14:paraId="0FF6520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Transfer up to, but no more than, 750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supernatant to a 2 ml Collection tube</w:t>
      </w:r>
    </w:p>
    <w:p w14:paraId="77B4857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1200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Solution C4 to the supernatant (shake Solution C4 before use)</w:t>
      </w:r>
    </w:p>
    <w:p w14:paraId="6372152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5 mins</w:t>
      </w:r>
    </w:p>
    <w:p w14:paraId="2AA2660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Load approximately 675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onto a Spin Filter </w:t>
      </w:r>
    </w:p>
    <w:p w14:paraId="3331648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10,000 x g for 1 min at room temperature</w:t>
      </w:r>
    </w:p>
    <w:p w14:paraId="08EB43A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the flow-through </w:t>
      </w:r>
    </w:p>
    <w:p w14:paraId="448FFE2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675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supernatant to the Spin Filter </w:t>
      </w:r>
    </w:p>
    <w:p w14:paraId="6315910E"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10,000 x g for 1 min at room temperature</w:t>
      </w:r>
    </w:p>
    <w:p w14:paraId="4D6AA81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Load the remaining supernatant onto the Spin Filter</w:t>
      </w:r>
    </w:p>
    <w:p w14:paraId="0FBF6AA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10,000 x g for 1 min at room temperature</w:t>
      </w:r>
    </w:p>
    <w:p w14:paraId="3D6C2D0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500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Solution C5 </w:t>
      </w:r>
    </w:p>
    <w:p w14:paraId="7A08A95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room temperature for 30 s at 10,000 x g</w:t>
      </w:r>
    </w:p>
    <w:p w14:paraId="3954ED68"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the flow-through</w:t>
      </w:r>
    </w:p>
    <w:p w14:paraId="0A248C38"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room temperature for 1 min at 10,000 x g</w:t>
      </w:r>
    </w:p>
    <w:p w14:paraId="3724073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the Spin Filter in a 2 ml Collection Tube (avoid splashing Solution C5 onto the Spin Filter) </w:t>
      </w:r>
    </w:p>
    <w:p w14:paraId="7C360F7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Solution C6 to the centre of the white filter membrane of the Spin Filter tube</w:t>
      </w:r>
    </w:p>
    <w:p w14:paraId="40FC287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room temperature for 30 s at 10,000 x g</w:t>
      </w:r>
    </w:p>
    <w:p w14:paraId="24A83338"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the Spin Filter</w:t>
      </w:r>
    </w:p>
    <w:p w14:paraId="63C1BFB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Store DNA at -20° to -80°C</w:t>
      </w:r>
    </w:p>
    <w:p w14:paraId="1AE49730" w14:textId="77777777" w:rsidR="00EB50F4" w:rsidRPr="00EB50F4" w:rsidRDefault="00EB50F4" w:rsidP="003C48BC">
      <w:pPr>
        <w:rPr>
          <w:rFonts w:asciiTheme="minorHAnsi" w:hAnsiTheme="minorHAnsi" w:cstheme="minorHAnsi"/>
          <w:color w:val="0E101A"/>
          <w:lang w:val="en-GB"/>
        </w:rPr>
      </w:pPr>
    </w:p>
    <w:p w14:paraId="4E88DFC2" w14:textId="77777777" w:rsidR="00EB50F4" w:rsidRPr="00EB50F4" w:rsidRDefault="00EB50F4" w:rsidP="003C48BC">
      <w:pPr>
        <w:rPr>
          <w:rFonts w:asciiTheme="minorHAnsi" w:hAnsiTheme="minorHAnsi" w:cstheme="minorHAnsi"/>
          <w:b/>
          <w:bCs/>
          <w:i/>
          <w:color w:val="0E101A"/>
          <w:lang w:val="en-GB"/>
        </w:rPr>
      </w:pPr>
      <w:r w:rsidRPr="00EB50F4">
        <w:rPr>
          <w:rFonts w:asciiTheme="minorHAnsi" w:hAnsiTheme="minorHAnsi" w:cstheme="minorHAnsi"/>
          <w:b/>
          <w:bCs/>
          <w:i/>
          <w:color w:val="0E101A"/>
          <w:lang w:val="en-GB"/>
        </w:rPr>
        <w:t xml:space="preserve">ii) </w:t>
      </w:r>
      <w:proofErr w:type="spellStart"/>
      <w:r w:rsidRPr="00EB50F4">
        <w:rPr>
          <w:rFonts w:asciiTheme="minorHAnsi" w:hAnsiTheme="minorHAnsi" w:cstheme="minorHAnsi"/>
          <w:b/>
          <w:bCs/>
          <w:i/>
          <w:color w:val="0E101A"/>
          <w:lang w:val="en-GB"/>
        </w:rPr>
        <w:t>PowerSoil</w:t>
      </w:r>
      <w:proofErr w:type="spellEnd"/>
      <w:r w:rsidRPr="00EB50F4">
        <w:rPr>
          <w:rFonts w:asciiTheme="minorHAnsi" w:hAnsiTheme="minorHAnsi" w:cstheme="minorHAnsi"/>
          <w:b/>
          <w:bCs/>
          <w:i/>
          <w:color w:val="0E101A"/>
          <w:lang w:val="en-GB"/>
        </w:rPr>
        <w:t xml:space="preserve"> + </w:t>
      </w:r>
      <w:proofErr w:type="spellStart"/>
      <w:r w:rsidRPr="00EB50F4">
        <w:rPr>
          <w:rFonts w:asciiTheme="minorHAnsi" w:hAnsiTheme="minorHAnsi" w:cstheme="minorHAnsi"/>
          <w:b/>
          <w:bCs/>
          <w:i/>
          <w:color w:val="0E101A"/>
          <w:lang w:val="en-GB"/>
        </w:rPr>
        <w:t>saturaded</w:t>
      </w:r>
      <w:proofErr w:type="spellEnd"/>
      <w:r w:rsidRPr="00EB50F4">
        <w:rPr>
          <w:rFonts w:asciiTheme="minorHAnsi" w:hAnsiTheme="minorHAnsi" w:cstheme="minorHAnsi"/>
          <w:b/>
          <w:bCs/>
          <w:i/>
          <w:color w:val="0E101A"/>
          <w:lang w:val="en-GB"/>
        </w:rPr>
        <w:t xml:space="preserve"> phosphate buffer</w:t>
      </w:r>
    </w:p>
    <w:p w14:paraId="495EC92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Prepare 1 L of saturated phosphate buffer by adding 1.97 g of NaH2PO4 and 14.7 g of Na2HPO4 to 1 L of ultra-pure water</w:t>
      </w:r>
    </w:p>
    <w:p w14:paraId="5456F17F"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lastRenderedPageBreak/>
        <w:t>- Add 5 grams of soil sample and 5 ml of saturated phosphate buffer to a 50 ml tube</w:t>
      </w:r>
    </w:p>
    <w:p w14:paraId="267B6E4E"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Mix for 15 mins manually </w:t>
      </w:r>
    </w:p>
    <w:p w14:paraId="68435FA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Transfer 2 ml of the soil / saturated phosphate buffer mix into a 2 ml tube</w:t>
      </w:r>
    </w:p>
    <w:p w14:paraId="7BB9882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maximum speed for 7 mins. This is now the</w:t>
      </w:r>
      <w:r w:rsidRPr="00EB50F4">
        <w:rPr>
          <w:rFonts w:asciiTheme="minorHAnsi" w:hAnsiTheme="minorHAnsi" w:cstheme="minorHAnsi"/>
          <w:b/>
          <w:bCs/>
          <w:color w:val="0E101A"/>
          <w:lang w:val="en-GB"/>
        </w:rPr>
        <w:t xml:space="preserve"> Starting solution</w:t>
      </w:r>
    </w:p>
    <w:p w14:paraId="17A8E4A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Follow instructions of </w:t>
      </w:r>
      <w:proofErr w:type="spellStart"/>
      <w:r w:rsidRPr="00EB50F4">
        <w:rPr>
          <w:rFonts w:asciiTheme="minorHAnsi" w:hAnsiTheme="minorHAnsi" w:cstheme="minorHAnsi"/>
          <w:color w:val="0E101A"/>
          <w:u w:val="single"/>
          <w:lang w:val="en-GB"/>
        </w:rPr>
        <w:t>PowerSoil</w:t>
      </w:r>
      <w:proofErr w:type="spellEnd"/>
      <w:r w:rsidRPr="00EB50F4">
        <w:rPr>
          <w:rFonts w:asciiTheme="minorHAnsi" w:hAnsiTheme="minorHAnsi" w:cstheme="minorHAnsi"/>
          <w:color w:val="0E101A"/>
          <w:u w:val="single"/>
          <w:lang w:val="en-GB"/>
        </w:rPr>
        <w:t>® DNA Isolation Kit (</w:t>
      </w:r>
      <w:r w:rsidRPr="00EB50F4">
        <w:rPr>
          <w:rFonts w:asciiTheme="minorHAnsi" w:hAnsiTheme="minorHAnsi" w:cstheme="minorHAnsi"/>
          <w:iCs/>
          <w:color w:val="000000" w:themeColor="text1"/>
          <w:lang w:val="en-GB"/>
        </w:rPr>
        <w:t>Qiagen GmbH, Hilden, Germany) protocol.</w:t>
      </w:r>
    </w:p>
    <w:p w14:paraId="4558EC8E" w14:textId="77777777" w:rsidR="00EB50F4" w:rsidRPr="00EB50F4" w:rsidRDefault="00EB50F4" w:rsidP="003C48BC">
      <w:pPr>
        <w:rPr>
          <w:rFonts w:asciiTheme="minorHAnsi" w:hAnsiTheme="minorHAnsi" w:cstheme="minorHAnsi"/>
          <w:b/>
          <w:bCs/>
          <w:i/>
          <w:iCs/>
          <w:color w:val="0E101A"/>
          <w:lang w:val="en-GB"/>
        </w:rPr>
      </w:pPr>
    </w:p>
    <w:p w14:paraId="7F77D029" w14:textId="77777777" w:rsidR="00EB50F4" w:rsidRPr="00EB50F4" w:rsidRDefault="00EB50F4" w:rsidP="003C48BC">
      <w:pPr>
        <w:rPr>
          <w:rFonts w:asciiTheme="minorHAnsi" w:hAnsiTheme="minorHAnsi" w:cstheme="minorHAnsi"/>
          <w:b/>
          <w:bCs/>
          <w:i/>
          <w:iCs/>
          <w:color w:val="0E101A"/>
          <w:lang w:val="en-GB"/>
        </w:rPr>
      </w:pPr>
      <w:r w:rsidRPr="00EB50F4">
        <w:rPr>
          <w:rFonts w:asciiTheme="minorHAnsi" w:hAnsiTheme="minorHAnsi" w:cstheme="minorHAnsi"/>
          <w:b/>
          <w:bCs/>
          <w:i/>
          <w:iCs/>
          <w:color w:val="0E101A"/>
          <w:lang w:val="en-GB"/>
        </w:rPr>
        <w:t xml:space="preserve">iii) </w:t>
      </w:r>
      <w:proofErr w:type="spellStart"/>
      <w:r w:rsidRPr="00EB50F4">
        <w:rPr>
          <w:rFonts w:asciiTheme="minorHAnsi" w:hAnsiTheme="minorHAnsi" w:cstheme="minorHAnsi"/>
          <w:b/>
          <w:bCs/>
          <w:i/>
          <w:iCs/>
          <w:color w:val="0E101A"/>
          <w:lang w:val="en-GB"/>
        </w:rPr>
        <w:t>NucleoSpin</w:t>
      </w:r>
      <w:proofErr w:type="spellEnd"/>
      <w:r w:rsidRPr="00EB50F4">
        <w:rPr>
          <w:rFonts w:asciiTheme="minorHAnsi" w:hAnsiTheme="minorHAnsi" w:cstheme="minorHAnsi"/>
          <w:b/>
          <w:bCs/>
          <w:i/>
          <w:iCs/>
          <w:color w:val="0E101A"/>
          <w:lang w:val="en-GB"/>
        </w:rPr>
        <w:t>® Soil (MACHERY-NAGEL GmbH &amp; Co. KG)</w:t>
      </w:r>
    </w:p>
    <w:p w14:paraId="000EA9E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0.35 grams of soil sample to a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Bead Tube Type A</w:t>
      </w:r>
    </w:p>
    <w:p w14:paraId="4D9822B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700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buffer SL1</w:t>
      </w:r>
    </w:p>
    <w:p w14:paraId="6078714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Enhancer SX and close the cap</w:t>
      </w:r>
    </w:p>
    <w:p w14:paraId="079E1A5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horizontally position, at full speed and room temperature for 15 mins</w:t>
      </w:r>
    </w:p>
    <w:p w14:paraId="57645C6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3 minutes at 11,000 x g</w:t>
      </w:r>
    </w:p>
    <w:p w14:paraId="4038F5F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SL3</w:t>
      </w:r>
    </w:p>
    <w:p w14:paraId="6440E0D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5 s</w:t>
      </w:r>
    </w:p>
    <w:p w14:paraId="27FD94D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for 5 mins at 0–4°C</w:t>
      </w:r>
    </w:p>
    <w:p w14:paraId="4643803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 min at 11,000 x g</w:t>
      </w:r>
    </w:p>
    <w:p w14:paraId="269B0A8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Place a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Inhibitor Removal Column (red ring) in a Collection Tube (2 ml, lid)</w:t>
      </w:r>
    </w:p>
    <w:p w14:paraId="24EFFEF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Load up to 700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the supernatant onto the filter of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Inhibitor Removal Column</w:t>
      </w:r>
    </w:p>
    <w:p w14:paraId="2615115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 min at 11,000 x g</w:t>
      </w:r>
    </w:p>
    <w:p w14:paraId="1147E92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Discard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Inhibitor Removal Column</w:t>
      </w:r>
    </w:p>
    <w:p w14:paraId="0EC7C11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250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SB</w:t>
      </w:r>
    </w:p>
    <w:p w14:paraId="2046DC2F"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5 s</w:t>
      </w:r>
    </w:p>
    <w:p w14:paraId="5979A83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Place a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 (green ring) in a Collection Tube (2 ml)</w:t>
      </w:r>
    </w:p>
    <w:p w14:paraId="2B3798E8"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Load 550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sample onto the column of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 tube</w:t>
      </w:r>
    </w:p>
    <w:p w14:paraId="0EF1BBF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 min at 11,000 x g</w:t>
      </w:r>
    </w:p>
    <w:p w14:paraId="6AC5021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collection tube</w:t>
      </w:r>
    </w:p>
    <w:p w14:paraId="22ED326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Load the remaining sample onto the column</w:t>
      </w:r>
    </w:p>
    <w:p w14:paraId="00B24B7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 min at 11,000 x g</w:t>
      </w:r>
    </w:p>
    <w:p w14:paraId="5304FB3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collection tube</w:t>
      </w:r>
    </w:p>
    <w:p w14:paraId="0126BD5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500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SB to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463B36D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30 s at 11,000 x g</w:t>
      </w:r>
    </w:p>
    <w:p w14:paraId="68B35CFF"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collection tube</w:t>
      </w:r>
    </w:p>
    <w:p w14:paraId="4403A33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550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SW1 to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5A99432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30 s at 11,000 x g</w:t>
      </w:r>
    </w:p>
    <w:p w14:paraId="44B1342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collection tube</w:t>
      </w:r>
    </w:p>
    <w:p w14:paraId="5D29F2D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700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SW2 to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2D54F61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Close the lid and vortex for 2 s</w:t>
      </w:r>
    </w:p>
    <w:p w14:paraId="2F70E89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30 s at 11,000 x g</w:t>
      </w:r>
    </w:p>
    <w:p w14:paraId="1997600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collection tube</w:t>
      </w:r>
    </w:p>
    <w:p w14:paraId="5F4B42A8"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700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SW2 to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654912A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Close the lid and vortex for 2 s</w:t>
      </w:r>
    </w:p>
    <w:p w14:paraId="3F5C7E0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30 s at 11,000 x g</w:t>
      </w:r>
    </w:p>
    <w:p w14:paraId="5A5BE70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collection tube</w:t>
      </w:r>
    </w:p>
    <w:p w14:paraId="12BBB80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lastRenderedPageBreak/>
        <w:t>- Centrifuge for 2 mins at 11,000 x g</w:t>
      </w:r>
    </w:p>
    <w:p w14:paraId="468F203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Place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 into a new microcentrifuge tube</w:t>
      </w:r>
    </w:p>
    <w:p w14:paraId="7BD3784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Buffer SE to the column</w:t>
      </w:r>
    </w:p>
    <w:p w14:paraId="7ABA32A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Do not close the lid and incubate for 1 min at room temperature</w:t>
      </w:r>
    </w:p>
    <w:p w14:paraId="543527A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Close the lid and centrifuge for 30 s at 11,000 x g</w:t>
      </w:r>
    </w:p>
    <w:p w14:paraId="163DF69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Discard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622929E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Store DNA at -20° to -80°C</w:t>
      </w:r>
    </w:p>
    <w:p w14:paraId="6038C40D" w14:textId="77777777" w:rsidR="00EB50F4" w:rsidRPr="00EB50F4" w:rsidRDefault="00EB50F4" w:rsidP="003C48BC">
      <w:pPr>
        <w:rPr>
          <w:rFonts w:asciiTheme="minorHAnsi" w:hAnsiTheme="minorHAnsi" w:cstheme="minorHAnsi"/>
          <w:color w:val="0E101A"/>
          <w:lang w:val="en-GB"/>
        </w:rPr>
      </w:pPr>
    </w:p>
    <w:p w14:paraId="7CC617B6" w14:textId="77777777" w:rsidR="00EB50F4" w:rsidRPr="00EB50F4" w:rsidRDefault="00EB50F4" w:rsidP="003C48BC">
      <w:pPr>
        <w:rPr>
          <w:rFonts w:asciiTheme="minorHAnsi" w:hAnsiTheme="minorHAnsi" w:cstheme="minorHAnsi"/>
          <w:b/>
          <w:bCs/>
          <w:i/>
          <w:color w:val="0E101A"/>
          <w:lang w:val="en-GB"/>
        </w:rPr>
      </w:pPr>
      <w:r w:rsidRPr="00EB50F4">
        <w:rPr>
          <w:rFonts w:asciiTheme="minorHAnsi" w:hAnsiTheme="minorHAnsi" w:cstheme="minorHAnsi"/>
          <w:b/>
          <w:bCs/>
          <w:i/>
          <w:color w:val="0E101A"/>
          <w:lang w:val="en-GB"/>
        </w:rPr>
        <w:t xml:space="preserve">iv) </w:t>
      </w:r>
      <w:proofErr w:type="spellStart"/>
      <w:r w:rsidRPr="00EB50F4">
        <w:rPr>
          <w:rFonts w:asciiTheme="minorHAnsi" w:hAnsiTheme="minorHAnsi" w:cstheme="minorHAnsi"/>
          <w:b/>
          <w:bCs/>
          <w:i/>
          <w:color w:val="0E101A"/>
          <w:lang w:val="en-GB"/>
        </w:rPr>
        <w:t>NucleoSpin</w:t>
      </w:r>
      <w:proofErr w:type="spellEnd"/>
      <w:r w:rsidRPr="00EB50F4">
        <w:rPr>
          <w:rFonts w:asciiTheme="minorHAnsi" w:hAnsiTheme="minorHAnsi" w:cstheme="minorHAnsi"/>
          <w:b/>
          <w:bCs/>
          <w:i/>
          <w:color w:val="0E101A"/>
          <w:lang w:val="en-GB"/>
        </w:rPr>
        <w:t xml:space="preserve"> + </w:t>
      </w:r>
      <w:proofErr w:type="spellStart"/>
      <w:r w:rsidRPr="00EB50F4">
        <w:rPr>
          <w:rFonts w:asciiTheme="minorHAnsi" w:hAnsiTheme="minorHAnsi" w:cstheme="minorHAnsi"/>
          <w:b/>
          <w:bCs/>
          <w:i/>
          <w:color w:val="0E101A"/>
          <w:lang w:val="en-GB"/>
        </w:rPr>
        <w:t>saturaded</w:t>
      </w:r>
      <w:proofErr w:type="spellEnd"/>
      <w:r w:rsidRPr="00EB50F4">
        <w:rPr>
          <w:rFonts w:asciiTheme="minorHAnsi" w:hAnsiTheme="minorHAnsi" w:cstheme="minorHAnsi"/>
          <w:b/>
          <w:bCs/>
          <w:i/>
          <w:color w:val="0E101A"/>
          <w:lang w:val="en-GB"/>
        </w:rPr>
        <w:t xml:space="preserve"> phosphate buffer</w:t>
      </w:r>
    </w:p>
    <w:p w14:paraId="52231E3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Prepare 1 L of saturated phosphate buffer by adding 1.97 g of NaH2PO4 and 14.7 g of Na2HPO4 to 1 L of ultra-pure water</w:t>
      </w:r>
    </w:p>
    <w:p w14:paraId="284B6CF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Add 5 grams of soil sample and 5 ml of saturated phosphate buffer to a 50 ml tube</w:t>
      </w:r>
    </w:p>
    <w:p w14:paraId="709F132B"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Mix for 15 mins manually </w:t>
      </w:r>
    </w:p>
    <w:p w14:paraId="21AF4C9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Transfer 2 ml of the soil / saturated phosphate buffer mix into a 2 ml tube</w:t>
      </w:r>
    </w:p>
    <w:p w14:paraId="5D1ADD6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at maximum speed for 7 mins</w:t>
      </w:r>
    </w:p>
    <w:p w14:paraId="6AACA55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Transfer 400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supernatant into a new 2 ml tube</w:t>
      </w:r>
    </w:p>
    <w:p w14:paraId="7C50BEAB"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250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Buffer SB and mix using the pipette</w:t>
      </w:r>
    </w:p>
    <w:p w14:paraId="40AF96D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Place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 into a new microcentrifuge tube</w:t>
      </w:r>
    </w:p>
    <w:p w14:paraId="2B398A9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Transfer the 650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solution into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5986CBAC"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10,000 x g for 30 s</w:t>
      </w:r>
    </w:p>
    <w:p w14:paraId="2340794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microcentrifuge tube</w:t>
      </w:r>
    </w:p>
    <w:p w14:paraId="7B78581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Load 500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Buffer SB </w:t>
      </w:r>
    </w:p>
    <w:p w14:paraId="52D7CA3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microcentrifuge tube</w:t>
      </w:r>
    </w:p>
    <w:p w14:paraId="3B75567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Load 550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SW1</w:t>
      </w:r>
    </w:p>
    <w:p w14:paraId="1F827C0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10,000 x g for 30 s</w:t>
      </w:r>
    </w:p>
    <w:p w14:paraId="6BDC005C"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microcentrifuge tube</w:t>
      </w:r>
    </w:p>
    <w:p w14:paraId="7206CCFE"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Load 750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SW2</w:t>
      </w:r>
    </w:p>
    <w:p w14:paraId="09F32AFB"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Centrifuge for 10,000 x g for 30 s</w:t>
      </w:r>
    </w:p>
    <w:p w14:paraId="50C498A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flow-through and place the column back into the microcentrifuge tube</w:t>
      </w:r>
    </w:p>
    <w:p w14:paraId="212124B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Place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 into a new microcentrifuge tube</w:t>
      </w:r>
    </w:p>
    <w:p w14:paraId="0F8A8FD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Buffer SE (heated at 80°C)</w:t>
      </w:r>
    </w:p>
    <w:p w14:paraId="51BC311F"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Do not close the lid and incubate for 1 min at room temperature</w:t>
      </w:r>
    </w:p>
    <w:p w14:paraId="3BB5573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Centrifugate for 30 s at 11,000 x g</w:t>
      </w:r>
    </w:p>
    <w:p w14:paraId="36DEBFF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Discard the </w:t>
      </w:r>
      <w:proofErr w:type="spellStart"/>
      <w:r w:rsidRPr="00EB50F4">
        <w:rPr>
          <w:rFonts w:asciiTheme="minorHAnsi" w:hAnsiTheme="minorHAnsi" w:cstheme="minorHAnsi"/>
          <w:color w:val="0E101A"/>
          <w:lang w:val="en-GB"/>
        </w:rPr>
        <w:t>NucleoSpin</w:t>
      </w:r>
      <w:proofErr w:type="spellEnd"/>
      <w:r w:rsidRPr="00EB50F4">
        <w:rPr>
          <w:rFonts w:asciiTheme="minorHAnsi" w:hAnsiTheme="minorHAnsi" w:cstheme="minorHAnsi"/>
          <w:color w:val="0E101A"/>
          <w:lang w:val="en-GB"/>
        </w:rPr>
        <w:t>® Soil Column</w:t>
      </w:r>
    </w:p>
    <w:p w14:paraId="1A77B71C"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Store DNA at -20° to -80°C</w:t>
      </w:r>
    </w:p>
    <w:p w14:paraId="7DB8661D" w14:textId="77777777" w:rsidR="00EB50F4" w:rsidRPr="00EB50F4" w:rsidRDefault="00EB50F4" w:rsidP="003C48BC">
      <w:pPr>
        <w:rPr>
          <w:rFonts w:asciiTheme="minorHAnsi" w:hAnsiTheme="minorHAnsi" w:cstheme="minorHAnsi"/>
          <w:color w:val="0E101A"/>
          <w:lang w:val="en-GB"/>
        </w:rPr>
      </w:pPr>
    </w:p>
    <w:p w14:paraId="2632688A" w14:textId="77777777" w:rsidR="00EB50F4" w:rsidRPr="00EB50F4" w:rsidRDefault="00EB50F4" w:rsidP="003C48BC">
      <w:pPr>
        <w:rPr>
          <w:rFonts w:asciiTheme="minorHAnsi" w:hAnsiTheme="minorHAnsi" w:cstheme="minorHAnsi"/>
          <w:b/>
          <w:bCs/>
          <w:i/>
          <w:color w:val="0E101A"/>
          <w:lang w:val="en-GB"/>
        </w:rPr>
      </w:pPr>
      <w:r w:rsidRPr="00EB50F4">
        <w:rPr>
          <w:rFonts w:asciiTheme="minorHAnsi" w:hAnsiTheme="minorHAnsi" w:cstheme="minorHAnsi"/>
          <w:b/>
          <w:bCs/>
          <w:i/>
          <w:color w:val="0E101A"/>
          <w:lang w:val="en-GB"/>
        </w:rPr>
        <w:t>Cleaning-up libraries</w:t>
      </w:r>
    </w:p>
    <w:p w14:paraId="37E08D84"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Top-up library to 100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with ultra-pure water</w:t>
      </w:r>
    </w:p>
    <w:p w14:paraId="3CA1D43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stock of magnetic beads (</w:t>
      </w:r>
      <w:proofErr w:type="spellStart"/>
      <w:r w:rsidRPr="00EB50F4">
        <w:rPr>
          <w:rFonts w:asciiTheme="minorHAnsi" w:hAnsiTheme="minorHAnsi" w:cstheme="minorHAnsi"/>
          <w:color w:val="000000" w:themeColor="text1"/>
          <w:lang w:val="en-GB"/>
        </w:rPr>
        <w:t>AMPure</w:t>
      </w:r>
      <w:proofErr w:type="spellEnd"/>
      <w:r w:rsidRPr="00EB50F4">
        <w:rPr>
          <w:rFonts w:asciiTheme="minorHAnsi" w:hAnsiTheme="minorHAnsi" w:cstheme="minorHAnsi"/>
          <w:color w:val="000000" w:themeColor="text1"/>
          <w:lang w:val="en-GB"/>
        </w:rPr>
        <w:t xml:space="preserve"> XP Beads; </w:t>
      </w:r>
      <w:proofErr w:type="spellStart"/>
      <w:r w:rsidRPr="00EB50F4">
        <w:rPr>
          <w:rFonts w:asciiTheme="minorHAnsi" w:hAnsiTheme="minorHAnsi" w:cstheme="minorHAnsi"/>
          <w:color w:val="000000" w:themeColor="text1"/>
          <w:lang w:val="en-GB"/>
        </w:rPr>
        <w:t>BioLabs</w:t>
      </w:r>
      <w:proofErr w:type="spellEnd"/>
      <w:r w:rsidRPr="00EB50F4">
        <w:rPr>
          <w:rFonts w:asciiTheme="minorHAnsi" w:hAnsiTheme="minorHAnsi" w:cstheme="minorHAnsi"/>
          <w:color w:val="000000" w:themeColor="text1"/>
          <w:lang w:val="en-GB"/>
        </w:rPr>
        <w:t xml:space="preserve"> Inc., USA)</w:t>
      </w:r>
    </w:p>
    <w:p w14:paraId="27567AC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120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magnetic beads </w:t>
      </w:r>
    </w:p>
    <w:p w14:paraId="3BB1CEE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2 s </w:t>
      </w:r>
    </w:p>
    <w:p w14:paraId="2F5A87B9"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Spin for 2 s</w:t>
      </w:r>
    </w:p>
    <w:p w14:paraId="3F1592F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in a tube rack</w:t>
      </w:r>
    </w:p>
    <w:p w14:paraId="39B3972C"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for 5 mins at ambient temperature</w:t>
      </w:r>
    </w:p>
    <w:p w14:paraId="39BB487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in a magnetic rack</w:t>
      </w:r>
    </w:p>
    <w:p w14:paraId="60D853D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lastRenderedPageBreak/>
        <w:t>- Incubate for 3 mins at ambient temperature </w:t>
      </w:r>
    </w:p>
    <w:p w14:paraId="6614A7E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supernatant</w:t>
      </w:r>
    </w:p>
    <w:p w14:paraId="417967F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in a tube rack</w:t>
      </w:r>
    </w:p>
    <w:p w14:paraId="6996208E"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85% ethanol </w:t>
      </w:r>
    </w:p>
    <w:p w14:paraId="3F6BDFC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5 s</w:t>
      </w:r>
    </w:p>
    <w:p w14:paraId="28746FE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back in the magnetic rack</w:t>
      </w:r>
    </w:p>
    <w:p w14:paraId="15F56A2D"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for 3 mins at ambient temperature </w:t>
      </w:r>
    </w:p>
    <w:p w14:paraId="02F70CDA"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supernatant</w:t>
      </w:r>
    </w:p>
    <w:p w14:paraId="5AB4CC21"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in a tube rack</w:t>
      </w:r>
    </w:p>
    <w:p w14:paraId="6507EC0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150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85% ethanol </w:t>
      </w:r>
    </w:p>
    <w:p w14:paraId="7BF6917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5 s</w:t>
      </w:r>
    </w:p>
    <w:p w14:paraId="3D36B88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in the magnetic rack</w:t>
      </w:r>
    </w:p>
    <w:p w14:paraId="7750EA87"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for 3 mins at ambient temperature </w:t>
      </w:r>
    </w:p>
    <w:p w14:paraId="764229B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Discard supernatant </w:t>
      </w:r>
    </w:p>
    <w:p w14:paraId="63462D76"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Open the tube and incubate for 5 minutes at ambient temperature</w:t>
      </w:r>
    </w:p>
    <w:p w14:paraId="164AF0B2"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Add 20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of ultra-pure water</w:t>
      </w:r>
    </w:p>
    <w:p w14:paraId="5400948F"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Vortex for 5 s</w:t>
      </w:r>
    </w:p>
    <w:p w14:paraId="35501F1F"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Spin for 5 s </w:t>
      </w:r>
    </w:p>
    <w:p w14:paraId="5DC6B4B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at 65°C for 3 mins</w:t>
      </w:r>
    </w:p>
    <w:p w14:paraId="2B0EA845"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Spin for 5 s</w:t>
      </w:r>
    </w:p>
    <w:p w14:paraId="6C5A1ADB"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Place tube in the magnetic rack</w:t>
      </w:r>
    </w:p>
    <w:p w14:paraId="57C541D0"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Incubate for 2 mins at ambient temperature</w:t>
      </w:r>
    </w:p>
    <w:p w14:paraId="457AA4F3" w14:textId="77777777" w:rsidR="00EB50F4" w:rsidRP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xml:space="preserve">- Transfer the supernatant to a 1.5 </w:t>
      </w:r>
      <w:proofErr w:type="spellStart"/>
      <w:r w:rsidRPr="00EB50F4">
        <w:rPr>
          <w:rFonts w:asciiTheme="minorHAnsi" w:hAnsiTheme="minorHAnsi" w:cstheme="minorHAnsi"/>
          <w:color w:val="0E101A"/>
          <w:lang w:val="en-GB"/>
        </w:rPr>
        <w:t>μL</w:t>
      </w:r>
      <w:proofErr w:type="spellEnd"/>
      <w:r w:rsidRPr="00EB50F4">
        <w:rPr>
          <w:rFonts w:asciiTheme="minorHAnsi" w:hAnsiTheme="minorHAnsi" w:cstheme="minorHAnsi"/>
          <w:color w:val="0E101A"/>
          <w:lang w:val="en-GB"/>
        </w:rPr>
        <w:t xml:space="preserve"> tube</w:t>
      </w:r>
    </w:p>
    <w:p w14:paraId="0D16D6B2" w14:textId="025F087A" w:rsidR="00EB50F4" w:rsidRDefault="00EB50F4" w:rsidP="003C48BC">
      <w:pPr>
        <w:rPr>
          <w:rFonts w:asciiTheme="minorHAnsi" w:hAnsiTheme="minorHAnsi" w:cstheme="minorHAnsi"/>
          <w:color w:val="0E101A"/>
          <w:lang w:val="en-GB"/>
        </w:rPr>
      </w:pPr>
      <w:r w:rsidRPr="00EB50F4">
        <w:rPr>
          <w:rFonts w:asciiTheme="minorHAnsi" w:hAnsiTheme="minorHAnsi" w:cstheme="minorHAnsi"/>
          <w:color w:val="0E101A"/>
          <w:lang w:val="en-GB"/>
        </w:rPr>
        <w:t>- Quantify the concentration of DNA in each tube using a Qubit® 2.0 Fluorometer (Qubit® dsDNA HS Assay Kit)</w:t>
      </w:r>
    </w:p>
    <w:p w14:paraId="12D4E3F3" w14:textId="0C399A87" w:rsidR="00467E6C" w:rsidRDefault="00467E6C" w:rsidP="003C48BC">
      <w:pPr>
        <w:rPr>
          <w:rFonts w:asciiTheme="minorHAnsi" w:hAnsiTheme="minorHAnsi" w:cstheme="minorHAnsi"/>
          <w:color w:val="0E101A"/>
          <w:lang w:val="en-GB"/>
        </w:rPr>
      </w:pPr>
    </w:p>
    <w:p w14:paraId="40372B07"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Bioinformatic pipelines</w:t>
      </w:r>
    </w:p>
    <w:p w14:paraId="1F7A8682" w14:textId="77777777" w:rsidR="00EB50F4" w:rsidRPr="00EB50F4" w:rsidRDefault="00EB50F4" w:rsidP="003C48BC">
      <w:pPr>
        <w:rPr>
          <w:rFonts w:asciiTheme="minorHAnsi" w:hAnsiTheme="minorHAnsi" w:cstheme="minorHAnsi"/>
          <w:b/>
          <w:bCs/>
          <w:lang w:val="en-GB"/>
        </w:rPr>
      </w:pPr>
    </w:p>
    <w:p w14:paraId="3A86F056"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Quality filtering:</w:t>
      </w:r>
    </w:p>
    <w:p w14:paraId="65BED52D" w14:textId="77777777" w:rsidR="00EB50F4" w:rsidRPr="00EB50F4" w:rsidRDefault="00EB50F4" w:rsidP="003C48BC">
      <w:pPr>
        <w:rPr>
          <w:rFonts w:asciiTheme="minorHAnsi" w:hAnsiTheme="minorHAnsi" w:cstheme="minorHAnsi"/>
          <w:b/>
          <w:bCs/>
          <w:lang w:val="en-GB"/>
        </w:rPr>
      </w:pPr>
    </w:p>
    <w:p w14:paraId="6505198E" w14:textId="54DAADCA"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One-step approach:</w:t>
      </w:r>
    </w:p>
    <w:p w14:paraId="0FB2403E" w14:textId="77777777" w:rsidR="00EB50F4" w:rsidRPr="00EB50F4" w:rsidRDefault="00EB50F4" w:rsidP="003C48BC">
      <w:pPr>
        <w:rPr>
          <w:rFonts w:asciiTheme="minorHAnsi" w:hAnsiTheme="minorHAnsi" w:cstheme="minorHAnsi"/>
          <w:b/>
          <w:bCs/>
          <w:lang w:val="en-GB"/>
        </w:rPr>
      </w:pPr>
    </w:p>
    <w:p w14:paraId="44575454"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Locate and remove P7 adapter and any following base pair from sequencing reads (only one-step approach), using CUTADAPT v1.18 (Martin, 2011)</w:t>
      </w:r>
      <w:r w:rsidRPr="00EB50F4">
        <w:rPr>
          <w:rFonts w:asciiTheme="minorHAnsi" w:hAnsiTheme="minorHAnsi" w:cstheme="minorHAnsi"/>
          <w:i/>
          <w:iCs/>
          <w:lang w:val="en-GB"/>
        </w:rPr>
        <w:t xml:space="preserve"> </w:t>
      </w:r>
      <w:r w:rsidRPr="00EB50F4">
        <w:rPr>
          <w:rFonts w:asciiTheme="minorHAnsi" w:hAnsiTheme="minorHAnsi" w:cstheme="minorHAnsi"/>
          <w:lang w:val="en-GB"/>
        </w:rPr>
        <w:t>in the command-line</w:t>
      </w:r>
    </w:p>
    <w:p w14:paraId="654AF121"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07117E4C" w14:textId="77777777" w:rsidR="00EB50F4" w:rsidRPr="00EB50F4" w:rsidRDefault="00EB50F4" w:rsidP="003C48BC">
      <w:pPr>
        <w:rPr>
          <w:rFonts w:asciiTheme="minorHAnsi" w:hAnsiTheme="minorHAnsi" w:cstheme="minorHAnsi"/>
          <w:i/>
          <w:iCs/>
          <w:lang w:val="en-GB"/>
        </w:rPr>
      </w:pPr>
      <w:proofErr w:type="spellStart"/>
      <w:r w:rsidRPr="00EB50F4">
        <w:rPr>
          <w:rFonts w:asciiTheme="minorHAnsi" w:hAnsiTheme="minorHAnsi" w:cstheme="minorHAnsi"/>
          <w:lang w:val="en-GB"/>
        </w:rPr>
        <w:t>cutadapt</w:t>
      </w:r>
      <w:proofErr w:type="spellEnd"/>
      <w:r w:rsidRPr="00EB50F4">
        <w:rPr>
          <w:rFonts w:asciiTheme="minorHAnsi" w:hAnsiTheme="minorHAnsi" w:cstheme="minorHAnsi"/>
          <w:lang w:val="en-GB"/>
        </w:rPr>
        <w:t xml:space="preserve"> -a ATCTCGTATGCCGTCTTCTGCTTG --discard-untrimmed </w:t>
      </w:r>
      <w:proofErr w:type="spellStart"/>
      <w:r w:rsidRPr="00EB50F4">
        <w:rPr>
          <w:rFonts w:asciiTheme="minorHAnsi" w:hAnsiTheme="minorHAnsi" w:cstheme="minorHAnsi"/>
          <w:i/>
          <w:iCs/>
          <w:lang w:val="en-GB"/>
        </w:rPr>
        <w:t>sequencing_</w:t>
      </w:r>
      <w:proofErr w:type="gramStart"/>
      <w:r w:rsidRPr="00EB50F4">
        <w:rPr>
          <w:rFonts w:asciiTheme="minorHAnsi" w:hAnsiTheme="minorHAnsi" w:cstheme="minorHAnsi"/>
          <w:i/>
          <w:iCs/>
          <w:lang w:val="en-GB"/>
        </w:rPr>
        <w:t>file.fastq</w:t>
      </w:r>
      <w:proofErr w:type="spellEnd"/>
      <w:proofErr w:type="gramEnd"/>
      <w:r w:rsidRPr="00EB50F4">
        <w:rPr>
          <w:rFonts w:asciiTheme="minorHAnsi" w:hAnsiTheme="minorHAnsi" w:cstheme="minorHAnsi"/>
          <w:lang w:val="en-GB"/>
        </w:rPr>
        <w:t xml:space="preserve"> -o </w:t>
      </w:r>
      <w:proofErr w:type="spellStart"/>
      <w:r w:rsidRPr="00EB50F4">
        <w:rPr>
          <w:rFonts w:asciiTheme="minorHAnsi" w:hAnsiTheme="minorHAnsi" w:cstheme="minorHAnsi"/>
          <w:i/>
          <w:iCs/>
          <w:lang w:val="en-GB"/>
        </w:rPr>
        <w:t>trimmed.fastq</w:t>
      </w:r>
      <w:proofErr w:type="spellEnd"/>
    </w:p>
    <w:p w14:paraId="4526CE0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7CBAA0A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--discard-untrimmed</w:t>
      </w:r>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discard reads from FASTQ file in which no adapter was found – example, </w:t>
      </w:r>
      <w:proofErr w:type="spellStart"/>
      <w:r w:rsidRPr="00EB50F4">
        <w:rPr>
          <w:rFonts w:asciiTheme="minorHAnsi" w:hAnsiTheme="minorHAnsi" w:cstheme="minorHAnsi"/>
          <w:i/>
          <w:iCs/>
          <w:lang w:val="en-GB"/>
        </w:rPr>
        <w:t>sequencing_file.fastq</w:t>
      </w:r>
      <w:proofErr w:type="spellEnd"/>
      <w:r w:rsidRPr="00EB50F4">
        <w:rPr>
          <w:rFonts w:asciiTheme="minorHAnsi" w:hAnsiTheme="minorHAnsi" w:cstheme="minorHAnsi"/>
          <w:lang w:val="en-GB"/>
        </w:rPr>
        <w:t xml:space="preserve"> </w:t>
      </w:r>
    </w:p>
    <w:p w14:paraId="1EB23D20"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-o</w:t>
      </w:r>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lang w:val="en-GB"/>
        </w:rPr>
        <w:t xml:space="preserve"> : output file of trimmed sequences in FASTQ file format – example, </w:t>
      </w:r>
      <w:proofErr w:type="spellStart"/>
      <w:r w:rsidRPr="00EB50F4">
        <w:rPr>
          <w:rFonts w:asciiTheme="minorHAnsi" w:hAnsiTheme="minorHAnsi" w:cstheme="minorHAnsi"/>
          <w:lang w:val="en-GB"/>
        </w:rPr>
        <w:t>trimmed.fastq</w:t>
      </w:r>
      <w:proofErr w:type="spellEnd"/>
    </w:p>
    <w:p w14:paraId="36DFC44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2. Separate reads by barcodes and assign them to their corresponding samples, using </w:t>
      </w:r>
      <w:proofErr w:type="spellStart"/>
      <w:r w:rsidRPr="00EB50F4">
        <w:rPr>
          <w:rFonts w:asciiTheme="minorHAnsi" w:hAnsiTheme="minorHAnsi" w:cstheme="minorHAnsi"/>
          <w:i/>
          <w:iCs/>
          <w:lang w:val="en-GB"/>
        </w:rPr>
        <w:t>Geneious</w:t>
      </w:r>
      <w:proofErr w:type="spellEnd"/>
      <w:r w:rsidRPr="00EB50F4">
        <w:rPr>
          <w:rFonts w:asciiTheme="minorHAnsi" w:hAnsiTheme="minorHAnsi" w:cstheme="minorHAnsi"/>
          <w:i/>
          <w:iCs/>
          <w:lang w:val="en-GB"/>
        </w:rPr>
        <w:t xml:space="preserve"> Prime® 2020.1.2 </w:t>
      </w:r>
      <w:r w:rsidRPr="00EB50F4">
        <w:rPr>
          <w:rFonts w:asciiTheme="minorHAnsi" w:hAnsiTheme="minorHAnsi" w:cstheme="minorHAnsi"/>
          <w:i/>
          <w:iCs/>
          <w:lang w:val="en-GB"/>
        </w:rPr>
        <w:fldChar w:fldCharType="begin"/>
      </w:r>
      <w:r w:rsidRPr="00EB50F4">
        <w:rPr>
          <w:rFonts w:asciiTheme="minorHAnsi" w:hAnsiTheme="minorHAnsi" w:cstheme="minorHAnsi"/>
          <w:i/>
          <w:iCs/>
          <w:lang w:val="en-GB"/>
        </w:rPr>
        <w:instrText xml:space="preserve"> ADDIN ZOTERO_ITEM CSL_CITATION {"citationID":"LTAjPpJM","properties":{"formattedCitation":"(Kearse {\\i{}et al.} 2012)","plainCitation":"(Kearse et al. 2012)","noteIndex":0},"citationItems":[{"id":103,"uris":["http://zotero.org/users/8293222/items/3X9R5TDZ"],"uri":["http://zotero.org/users/8293222/items/3X9R5TDZ"],"itemData":{"id":103,"type":"article-journal","container-title":"Bioinformatics","issue":"12","note":"publisher: Oxford University Press","page":"1647–1649","source":"Google Scholar","title":"Geneious Basic: an integrated and extendable desktop software platform for the organization and analysis of sequence data","title-short":"Geneious Basic","volume":"28","author":[{"family":"Kearse","given":"Matthew"},{"family":"Moir","given":"Richard"},{"family":"Wilson","given":"Amy"},{"family":"Stones-Havas","given":"Steven"},{"family":"Cheung","given":"Matthew"},{"family":"Sturrock","given":"Shane"},{"family":"Buxton","given":"Simon"},{"family":"Cooper","given":"Alex"},{"family":"Markowitz","given":"Sidney"},{"family":"Duran","given":"Chris"}],"issued":{"date-parts":[["2012"]]}}}],"schema":"https://github.com/citation-style-language/schema/raw/master/csl-citation.json"} </w:instrText>
      </w:r>
      <w:r w:rsidRPr="00EB50F4">
        <w:rPr>
          <w:rFonts w:asciiTheme="minorHAnsi" w:hAnsiTheme="minorHAnsi" w:cstheme="minorHAnsi"/>
          <w:i/>
          <w:iCs/>
          <w:lang w:val="en-GB"/>
        </w:rPr>
        <w:fldChar w:fldCharType="separate"/>
      </w:r>
      <w:r w:rsidRPr="00EB50F4">
        <w:rPr>
          <w:rFonts w:asciiTheme="minorHAnsi" w:hAnsiTheme="minorHAnsi" w:cstheme="minorHAnsi"/>
        </w:rPr>
        <w:t xml:space="preserve">(Kearse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i/>
          <w:iCs/>
          <w:lang w:val="en-GB"/>
        </w:rPr>
        <w:fldChar w:fldCharType="end"/>
      </w:r>
      <w:r w:rsidRPr="00EB50F4">
        <w:rPr>
          <w:rFonts w:asciiTheme="minorHAnsi" w:hAnsiTheme="minorHAnsi" w:cstheme="minorHAnsi"/>
          <w:lang w:val="en-GB"/>
        </w:rPr>
        <w:t>. No mismatches allowed</w:t>
      </w:r>
    </w:p>
    <w:p w14:paraId="41798E7E" w14:textId="77777777" w:rsidR="00EB50F4" w:rsidRPr="00EB50F4" w:rsidRDefault="00EB50F4" w:rsidP="003C48BC">
      <w:pPr>
        <w:rPr>
          <w:rFonts w:asciiTheme="minorHAnsi" w:hAnsiTheme="minorHAnsi" w:cstheme="minorHAnsi"/>
          <w:lang w:val="en-GB"/>
        </w:rPr>
      </w:pPr>
    </w:p>
    <w:p w14:paraId="6F5C422D" w14:textId="644A015C"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lastRenderedPageBreak/>
        <w:t>Two-step approach:</w:t>
      </w:r>
    </w:p>
    <w:p w14:paraId="4163A059" w14:textId="77777777" w:rsidR="00EB50F4" w:rsidRPr="00EB50F4" w:rsidRDefault="00EB50F4" w:rsidP="003C48BC">
      <w:pPr>
        <w:rPr>
          <w:rFonts w:asciiTheme="minorHAnsi" w:hAnsiTheme="minorHAnsi" w:cstheme="minorHAnsi"/>
          <w:lang w:val="en-GB"/>
        </w:rPr>
      </w:pPr>
    </w:p>
    <w:p w14:paraId="260B54AB"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Merge paired-end sequences using PEAR </w:t>
      </w:r>
      <w:r w:rsidRPr="00EB50F4">
        <w:rPr>
          <w:rFonts w:asciiTheme="minorHAnsi" w:hAnsiTheme="minorHAnsi" w:cstheme="minorHAnsi"/>
          <w:lang w:val="en-GB"/>
        </w:rPr>
        <w:fldChar w:fldCharType="begin"/>
      </w:r>
      <w:r w:rsidRPr="00EB50F4">
        <w:rPr>
          <w:rFonts w:asciiTheme="minorHAnsi" w:hAnsiTheme="minorHAnsi" w:cstheme="minorHAnsi"/>
          <w:lang w:val="en-GB"/>
        </w:rPr>
        <w:instrText xml:space="preserve"> ADDIN ZOTERO_ITEM CSL_CITATION {"citationID":"3BqDSqfx","properties":{"formattedCitation":"(Zhang {\\i{}et al.} 2014)","plainCitation":"(Zhang et al. 2014)","noteIndex":0},"citationItems":[{"id":243,"uris":["http://zotero.org/users/8293222/items/7NDXM6BF"],"uri":["http://zotero.org/users/8293222/items/7NDXM6BF"],"itemData":{"id":243,"type":"article-journal","container-title":"Bioinformatics","issue":"5","note":"publisher: Oxford University Press","page":"614–620","source":"Google Scholar","title":"PEAR: a fast and accurate Illumina Paired-End reAd mergeR","title-short":"PEAR","volume":"30","author":[{"family":"Zhang","given":"Jiajie"},{"family":"Kobert","given":"Kassian"},{"family":"Flouri","given":"Tomáš"},{"family":"Stamatakis","given":"Alexandros"}],"issued":{"date-parts":[["2014"]]}}}],"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(Zhang </w:t>
      </w:r>
      <w:r w:rsidRPr="00EB50F4">
        <w:rPr>
          <w:rFonts w:asciiTheme="minorHAnsi" w:hAnsiTheme="minorHAnsi" w:cstheme="minorHAnsi"/>
          <w:i/>
          <w:iCs/>
        </w:rPr>
        <w:t>et al.</w:t>
      </w:r>
      <w:r w:rsidRPr="00EB50F4">
        <w:rPr>
          <w:rFonts w:asciiTheme="minorHAnsi" w:hAnsiTheme="minorHAnsi" w:cstheme="minorHAnsi"/>
        </w:rPr>
        <w:t xml:space="preserve"> 2014)</w:t>
      </w:r>
      <w:r w:rsidRPr="00EB50F4">
        <w:rPr>
          <w:rFonts w:asciiTheme="minorHAnsi" w:hAnsiTheme="minorHAnsi" w:cstheme="minorHAnsi"/>
          <w:lang w:val="en-GB"/>
        </w:rPr>
        <w:fldChar w:fldCharType="end"/>
      </w:r>
      <w:r w:rsidRPr="00EB50F4">
        <w:rPr>
          <w:rFonts w:asciiTheme="minorHAnsi" w:hAnsiTheme="minorHAnsi" w:cstheme="minorHAnsi"/>
          <w:lang w:val="en-GB"/>
        </w:rPr>
        <w:t xml:space="preserve"> in the command-line. Do the following command for every sequencing pair files</w:t>
      </w:r>
    </w:p>
    <w:p w14:paraId="1BBBF1E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143BCCDD"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pear -f forward_R1_001.fastq.gz -r reverse_R2_001.fastq.gz -o </w:t>
      </w:r>
      <w:proofErr w:type="spellStart"/>
      <w:proofErr w:type="gramStart"/>
      <w:r w:rsidRPr="00EB50F4">
        <w:rPr>
          <w:rFonts w:asciiTheme="minorHAnsi" w:hAnsiTheme="minorHAnsi" w:cstheme="minorHAnsi"/>
          <w:lang w:val="en-GB"/>
        </w:rPr>
        <w:t>merged.fastq</w:t>
      </w:r>
      <w:proofErr w:type="spellEnd"/>
      <w:proofErr w:type="gramEnd"/>
    </w:p>
    <w:p w14:paraId="552EF8A0"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0604F0C3"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-f</w:t>
      </w:r>
      <w:r w:rsidRPr="00EB50F4">
        <w:rPr>
          <w:rFonts w:asciiTheme="minorHAnsi" w:hAnsiTheme="minorHAnsi" w:cstheme="minorHAnsi"/>
          <w:lang w:val="en-GB"/>
        </w:rPr>
        <w:t xml:space="preserve"> </w:t>
      </w:r>
      <w:proofErr w:type="gramStart"/>
      <w:r w:rsidRPr="00EB50F4">
        <w:rPr>
          <w:rFonts w:asciiTheme="minorHAnsi" w:hAnsiTheme="minorHAnsi" w:cstheme="minorHAnsi"/>
          <w:i/>
          <w:iCs/>
          <w:lang w:val="en-GB"/>
        </w:rPr>
        <w:t xml:space="preserve">filename </w:t>
      </w:r>
      <w:r w:rsidRPr="00EB50F4">
        <w:rPr>
          <w:rFonts w:asciiTheme="minorHAnsi" w:hAnsiTheme="minorHAnsi" w:cstheme="minorHAnsi"/>
          <w:lang w:val="en-GB"/>
        </w:rPr>
        <w:t>:</w:t>
      </w:r>
      <w:proofErr w:type="gramEnd"/>
      <w:r w:rsidRPr="00EB50F4">
        <w:rPr>
          <w:rFonts w:asciiTheme="minorHAnsi" w:hAnsiTheme="minorHAnsi" w:cstheme="minorHAnsi"/>
          <w:lang w:val="en-GB"/>
        </w:rPr>
        <w:t xml:space="preserve"> specify the file containing the forward paired-end reads, i.e., </w:t>
      </w:r>
      <w:r w:rsidRPr="00EB50F4">
        <w:rPr>
          <w:rFonts w:asciiTheme="minorHAnsi" w:hAnsiTheme="minorHAnsi" w:cstheme="minorHAnsi"/>
          <w:i/>
          <w:iCs/>
          <w:lang w:val="en-GB"/>
        </w:rPr>
        <w:t>forward_R1_001.fastq.gz</w:t>
      </w:r>
    </w:p>
    <w:p w14:paraId="06952C21" w14:textId="77777777" w:rsidR="00EB50F4" w:rsidRPr="00EB50F4" w:rsidRDefault="00EB50F4" w:rsidP="003C48BC">
      <w:pPr>
        <w:rPr>
          <w:rFonts w:asciiTheme="minorHAnsi" w:hAnsiTheme="minorHAnsi" w:cstheme="minorHAnsi"/>
          <w:i/>
          <w:iCs/>
          <w:lang w:val="en-GB"/>
        </w:rPr>
      </w:pPr>
      <w:r w:rsidRPr="00EB50F4">
        <w:rPr>
          <w:rFonts w:asciiTheme="minorHAnsi" w:hAnsiTheme="minorHAnsi" w:cstheme="minorHAnsi"/>
          <w:b/>
          <w:bCs/>
          <w:lang w:val="en-GB"/>
        </w:rPr>
        <w:t>-r</w:t>
      </w:r>
      <w:r w:rsidRPr="00EB50F4">
        <w:rPr>
          <w:rFonts w:asciiTheme="minorHAnsi" w:hAnsiTheme="minorHAnsi" w:cstheme="minorHAnsi"/>
          <w:lang w:val="en-GB"/>
        </w:rPr>
        <w:t xml:space="preserve"> </w:t>
      </w:r>
      <w:proofErr w:type="gramStart"/>
      <w:r w:rsidRPr="00EB50F4">
        <w:rPr>
          <w:rFonts w:asciiTheme="minorHAnsi" w:hAnsiTheme="minorHAnsi" w:cstheme="minorHAnsi"/>
          <w:i/>
          <w:iCs/>
          <w:lang w:val="en-GB"/>
        </w:rPr>
        <w:t>filename.gz</w:t>
      </w:r>
      <w:r w:rsidRPr="00EB50F4">
        <w:rPr>
          <w:rFonts w:asciiTheme="minorHAnsi" w:hAnsiTheme="minorHAnsi" w:cstheme="minorHAnsi"/>
          <w:lang w:val="en-GB"/>
        </w:rPr>
        <w:t xml:space="preserve"> :</w:t>
      </w:r>
      <w:proofErr w:type="gramEnd"/>
      <w:r w:rsidRPr="00EB50F4">
        <w:rPr>
          <w:rFonts w:asciiTheme="minorHAnsi" w:hAnsiTheme="minorHAnsi" w:cstheme="minorHAnsi"/>
          <w:lang w:val="en-GB"/>
        </w:rPr>
        <w:t xml:space="preserve"> </w:t>
      </w:r>
      <w:r w:rsidRPr="00EB50F4">
        <w:rPr>
          <w:rFonts w:asciiTheme="minorHAnsi" w:hAnsiTheme="minorHAnsi" w:cstheme="minorHAnsi"/>
          <w:i/>
          <w:iCs/>
          <w:lang w:val="en-GB"/>
        </w:rPr>
        <w:t xml:space="preserve">filename </w:t>
      </w:r>
      <w:r w:rsidRPr="00EB50F4">
        <w:rPr>
          <w:rFonts w:asciiTheme="minorHAnsi" w:hAnsiTheme="minorHAnsi" w:cstheme="minorHAnsi"/>
          <w:lang w:val="en-GB"/>
        </w:rPr>
        <w:t xml:space="preserve">: specify the file containing the reverse paired-end reads, i.e., </w:t>
      </w:r>
      <w:r w:rsidRPr="00EB50F4">
        <w:rPr>
          <w:rFonts w:asciiTheme="minorHAnsi" w:hAnsiTheme="minorHAnsi" w:cstheme="minorHAnsi"/>
          <w:i/>
          <w:iCs/>
          <w:lang w:val="en-GB"/>
        </w:rPr>
        <w:t>reverse_R2_001.fastq.gz</w:t>
      </w:r>
    </w:p>
    <w:p w14:paraId="23CAA5D0"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 xml:space="preserve">-o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FASTQ-formatted file output containing the merged reads specified in </w:t>
      </w:r>
      <w:r w:rsidRPr="00EB50F4">
        <w:rPr>
          <w:rFonts w:asciiTheme="minorHAnsi" w:hAnsiTheme="minorHAnsi" w:cstheme="minorHAnsi"/>
          <w:i/>
          <w:iCs/>
          <w:lang w:val="en-GB"/>
        </w:rPr>
        <w:t>-f</w:t>
      </w:r>
      <w:r w:rsidRPr="00EB50F4">
        <w:rPr>
          <w:rFonts w:asciiTheme="minorHAnsi" w:hAnsiTheme="minorHAnsi" w:cstheme="minorHAnsi"/>
          <w:lang w:val="en-GB"/>
        </w:rPr>
        <w:t xml:space="preserve"> and </w:t>
      </w:r>
      <w:r w:rsidRPr="00EB50F4">
        <w:rPr>
          <w:rFonts w:asciiTheme="minorHAnsi" w:hAnsiTheme="minorHAnsi" w:cstheme="minorHAnsi"/>
          <w:i/>
          <w:iCs/>
          <w:lang w:val="en-GB"/>
        </w:rPr>
        <w:t>-r</w:t>
      </w:r>
    </w:p>
    <w:p w14:paraId="3047DC67" w14:textId="77777777" w:rsidR="00EB50F4" w:rsidRPr="00EB50F4" w:rsidRDefault="00EB50F4" w:rsidP="003C48BC">
      <w:pPr>
        <w:rPr>
          <w:rFonts w:asciiTheme="minorHAnsi" w:hAnsiTheme="minorHAnsi" w:cstheme="minorHAnsi"/>
          <w:b/>
          <w:bCs/>
          <w:lang w:val="en-GB"/>
        </w:rPr>
      </w:pPr>
    </w:p>
    <w:p w14:paraId="4FDF2BF7"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Continue with the following steps to analyse both the one-step and two-step qPCR approach sequencing files:</w:t>
      </w:r>
    </w:p>
    <w:p w14:paraId="3FA686AF" w14:textId="77777777" w:rsidR="00EB50F4" w:rsidRPr="00EB50F4" w:rsidRDefault="00EB50F4" w:rsidP="003C48BC">
      <w:pPr>
        <w:rPr>
          <w:rFonts w:asciiTheme="minorHAnsi" w:hAnsiTheme="minorHAnsi" w:cstheme="minorHAnsi"/>
          <w:b/>
          <w:bCs/>
          <w:lang w:val="en-GB"/>
        </w:rPr>
      </w:pPr>
    </w:p>
    <w:p w14:paraId="7289CD40"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1. Identify and remove forward and reverse primers from each sequence. No mismatches allowed, also in </w:t>
      </w:r>
      <w:proofErr w:type="spellStart"/>
      <w:r w:rsidRPr="00EB50F4">
        <w:rPr>
          <w:rFonts w:asciiTheme="minorHAnsi" w:hAnsiTheme="minorHAnsi" w:cstheme="minorHAnsi"/>
          <w:i/>
          <w:iCs/>
          <w:lang w:val="en-GB"/>
        </w:rPr>
        <w:t>Geneious</w:t>
      </w:r>
      <w:proofErr w:type="spellEnd"/>
      <w:r w:rsidRPr="00EB50F4">
        <w:rPr>
          <w:rFonts w:asciiTheme="minorHAnsi" w:hAnsiTheme="minorHAnsi" w:cstheme="minorHAnsi"/>
          <w:i/>
          <w:iCs/>
          <w:lang w:val="en-GB"/>
        </w:rPr>
        <w:t xml:space="preserve"> Prime® 2020.1.2 </w:t>
      </w:r>
      <w:r w:rsidRPr="00EB50F4">
        <w:rPr>
          <w:rFonts w:asciiTheme="minorHAnsi" w:hAnsiTheme="minorHAnsi" w:cstheme="minorHAnsi"/>
          <w:i/>
          <w:iCs/>
          <w:lang w:val="en-GB"/>
        </w:rPr>
        <w:fldChar w:fldCharType="begin"/>
      </w:r>
      <w:r w:rsidRPr="00EB50F4">
        <w:rPr>
          <w:rFonts w:asciiTheme="minorHAnsi" w:hAnsiTheme="minorHAnsi" w:cstheme="minorHAnsi"/>
          <w:i/>
          <w:iCs/>
          <w:lang w:val="en-GB"/>
        </w:rPr>
        <w:instrText xml:space="preserve"> ADDIN ZOTERO_ITEM CSL_CITATION {"citationID":"kD8eCcK8","properties":{"formattedCitation":"(Kearse {\\i{}et al.} 2012)","plainCitation":"(Kearse et al. 2012)","noteIndex":0},"citationItems":[{"id":103,"uris":["http://zotero.org/users/8293222/items/3X9R5TDZ"],"uri":["http://zotero.org/users/8293222/items/3X9R5TDZ"],"itemData":{"id":103,"type":"article-journal","container-title":"Bioinformatics","issue":"12","note":"publisher: Oxford University Press","page":"1647–1649","source":"Google Scholar","title":"Geneious Basic: an integrated and extendable desktop software platform for the organization and analysis of sequence data","title-short":"Geneious Basic","volume":"28","author":[{"family":"Kearse","given":"Matthew"},{"family":"Moir","given":"Richard"},{"family":"Wilson","given":"Amy"},{"family":"Stones-Havas","given":"Steven"},{"family":"Cheung","given":"Matthew"},{"family":"Sturrock","given":"Shane"},{"family":"Buxton","given":"Simon"},{"family":"Cooper","given":"Alex"},{"family":"Markowitz","given":"Sidney"},{"family":"Duran","given":"Chris"}],"issued":{"date-parts":[["2012"]]}}}],"schema":"https://github.com/citation-style-language/schema/raw/master/csl-citation.json"} </w:instrText>
      </w:r>
      <w:r w:rsidRPr="00EB50F4">
        <w:rPr>
          <w:rFonts w:asciiTheme="minorHAnsi" w:hAnsiTheme="minorHAnsi" w:cstheme="minorHAnsi"/>
          <w:i/>
          <w:iCs/>
          <w:lang w:val="en-GB"/>
        </w:rPr>
        <w:fldChar w:fldCharType="separate"/>
      </w:r>
      <w:r w:rsidRPr="00EB50F4">
        <w:rPr>
          <w:rFonts w:asciiTheme="minorHAnsi" w:hAnsiTheme="minorHAnsi" w:cstheme="minorHAnsi"/>
        </w:rPr>
        <w:t xml:space="preserve">(Kearse </w:t>
      </w:r>
      <w:r w:rsidRPr="00EB50F4">
        <w:rPr>
          <w:rFonts w:asciiTheme="minorHAnsi" w:hAnsiTheme="minorHAnsi" w:cstheme="minorHAnsi"/>
          <w:i/>
          <w:iCs/>
        </w:rPr>
        <w:t>et al.</w:t>
      </w:r>
      <w:r w:rsidRPr="00EB50F4">
        <w:rPr>
          <w:rFonts w:asciiTheme="minorHAnsi" w:hAnsiTheme="minorHAnsi" w:cstheme="minorHAnsi"/>
        </w:rPr>
        <w:t xml:space="preserve"> 2012)</w:t>
      </w:r>
      <w:r w:rsidRPr="00EB50F4">
        <w:rPr>
          <w:rFonts w:asciiTheme="minorHAnsi" w:hAnsiTheme="minorHAnsi" w:cstheme="minorHAnsi"/>
          <w:i/>
          <w:iCs/>
          <w:lang w:val="en-GB"/>
        </w:rPr>
        <w:fldChar w:fldCharType="end"/>
      </w:r>
      <w:r w:rsidRPr="00EB50F4">
        <w:rPr>
          <w:rFonts w:asciiTheme="minorHAnsi" w:hAnsiTheme="minorHAnsi" w:cstheme="minorHAnsi"/>
          <w:i/>
          <w:iCs/>
          <w:lang w:val="en-GB"/>
        </w:rPr>
        <w:t>.</w:t>
      </w:r>
    </w:p>
    <w:p w14:paraId="2B93FCBF" w14:textId="77777777" w:rsidR="00EB50F4" w:rsidRPr="00EB50F4" w:rsidRDefault="00EB50F4" w:rsidP="003C48BC">
      <w:pPr>
        <w:rPr>
          <w:rFonts w:asciiTheme="minorHAnsi" w:hAnsiTheme="minorHAnsi" w:cstheme="minorHAnsi"/>
          <w:lang w:val="en-GB"/>
        </w:rPr>
      </w:pPr>
    </w:p>
    <w:p w14:paraId="675405D3"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2. Relabel sequences reads based on samples information. </w:t>
      </w:r>
    </w:p>
    <w:p w14:paraId="1D7052B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Use VSEARCH v2.15.0 </w:t>
      </w:r>
      <w:r w:rsidRPr="00EB50F4">
        <w:rPr>
          <w:rFonts w:asciiTheme="minorHAnsi" w:hAnsiTheme="minorHAnsi" w:cstheme="minorHAnsi"/>
          <w:lang w:val="en-GB"/>
        </w:rPr>
        <w:fldChar w:fldCharType="begin"/>
      </w:r>
      <w:r w:rsidRPr="00EB50F4">
        <w:rPr>
          <w:rFonts w:asciiTheme="minorHAnsi" w:hAnsiTheme="minorHAnsi" w:cstheme="minorHAnsi"/>
          <w:lang w:val="en-GB"/>
        </w:rPr>
        <w:instrText xml:space="preserve"> ADDIN ZOTERO_ITEM CSL_CITATION {"citationID":"d22X3Y8M","properties":{"formattedCitation":"(Rognes {\\i{}et al.} 2016)","plainCitation":"(Rognes et al. 2016)","noteIndex":0},"citationItems":[{"id":168,"uris":["http://zotero.org/users/8293222/items/9FSUBD9U"],"uri":["http://zotero.org/users/8293222/items/9FSUBD9U"],"itemData":{"id":168,"type":"article-journal","abstract":"VSEARCH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use.\nWhen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threads.\nVSEARCH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or\n),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3.0.\nVSEARCH has been shown to be a fast, accurate and full-fledged alternative to USEARCH. A free and open-source versatile tool for sequence analysis is now available to the metagenomics community.","container-title":"PeerJ (San Francisco, CA)","DOI":"10.7717/peerj.2584","ISSN":"2167-8359","language":"eng","note":"publisher-place: United States\npublisher: PeerJLtd","page":"e2584–e2584","source":"otago.com","title":"VSEARCH: a versatile open source tool for metagenomics","title-short":"VSEARCH","volume":"4","author":[{"family":"Rognes","given":"Torbjørn"},{"family":"Flouri","given":"Tomáš"},{"family":"Nichols","given":"Ben"},{"family":"Quince","given":"Christopher"},{"family":"Mahé","given":"Frédéric"}],"issued":{"date-parts":[["2016"]]}}}],"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(Rognes </w:t>
      </w:r>
      <w:r w:rsidRPr="00EB50F4">
        <w:rPr>
          <w:rFonts w:asciiTheme="minorHAnsi" w:hAnsiTheme="minorHAnsi" w:cstheme="minorHAnsi"/>
          <w:i/>
          <w:iCs/>
        </w:rPr>
        <w:t>et al.</w:t>
      </w:r>
      <w:r w:rsidRPr="00EB50F4">
        <w:rPr>
          <w:rFonts w:asciiTheme="minorHAnsi" w:hAnsiTheme="minorHAnsi" w:cstheme="minorHAnsi"/>
        </w:rPr>
        <w:t xml:space="preserve"> 2016)</w:t>
      </w:r>
      <w:r w:rsidRPr="00EB50F4">
        <w:rPr>
          <w:rFonts w:asciiTheme="minorHAnsi" w:hAnsiTheme="minorHAnsi" w:cstheme="minorHAnsi"/>
          <w:lang w:val="en-GB"/>
        </w:rPr>
        <w:fldChar w:fldCharType="end"/>
      </w:r>
      <w:r w:rsidRPr="00EB50F4">
        <w:rPr>
          <w:rFonts w:asciiTheme="minorHAnsi" w:hAnsiTheme="minorHAnsi" w:cstheme="minorHAnsi"/>
          <w:lang w:val="en-GB"/>
        </w:rPr>
        <w:t xml:space="preserve"> in the command-line for this and the following steps</w:t>
      </w:r>
    </w:p>
    <w:p w14:paraId="7921C889"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2017275B"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for </w:t>
      </w:r>
      <w:proofErr w:type="spellStart"/>
      <w:r w:rsidRPr="00EB50F4">
        <w:rPr>
          <w:rFonts w:asciiTheme="minorHAnsi" w:hAnsiTheme="minorHAnsi" w:cstheme="minorHAnsi"/>
          <w:lang w:val="en-GB"/>
        </w:rPr>
        <w:t>fq</w:t>
      </w:r>
      <w:proofErr w:type="spellEnd"/>
      <w:r w:rsidRPr="00EB50F4">
        <w:rPr>
          <w:rFonts w:asciiTheme="minorHAnsi" w:hAnsiTheme="minorHAnsi" w:cstheme="minorHAnsi"/>
          <w:lang w:val="en-GB"/>
        </w:rPr>
        <w:t xml:space="preserve"> in </w:t>
      </w:r>
      <w:proofErr w:type="spellStart"/>
      <w:r w:rsidRPr="00EB50F4">
        <w:rPr>
          <w:rFonts w:asciiTheme="minorHAnsi" w:hAnsiTheme="minorHAnsi" w:cstheme="minorHAnsi"/>
          <w:i/>
          <w:iCs/>
          <w:lang w:val="en-GB"/>
        </w:rPr>
        <w:t>sequencing_reads</w:t>
      </w:r>
      <w:proofErr w:type="spellEnd"/>
      <w:r w:rsidRPr="00EB50F4">
        <w:rPr>
          <w:rFonts w:asciiTheme="minorHAnsi" w:hAnsiTheme="minorHAnsi" w:cstheme="minorHAnsi"/>
          <w:i/>
          <w:iCs/>
          <w:lang w:val="en-GB"/>
        </w:rPr>
        <w:t>_</w:t>
      </w:r>
      <w:r w:rsidRPr="00EB50F4">
        <w:rPr>
          <w:rFonts w:asciiTheme="minorHAnsi" w:hAnsiTheme="minorHAnsi" w:cstheme="minorHAnsi"/>
          <w:lang w:val="en-GB"/>
        </w:rPr>
        <w:t xml:space="preserve">*; do </w:t>
      </w:r>
      <w:proofErr w:type="spellStart"/>
      <w:r w:rsidRPr="00EB50F4">
        <w:rPr>
          <w:rFonts w:asciiTheme="minorHAnsi" w:hAnsiTheme="minorHAnsi" w:cstheme="minorHAnsi"/>
          <w:lang w:val="en-GB"/>
        </w:rPr>
        <w:t>vsearch</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fastq_filter</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fq</w:t>
      </w:r>
      <w:proofErr w:type="spellEnd"/>
      <w:r w:rsidRPr="00EB50F4">
        <w:rPr>
          <w:rFonts w:asciiTheme="minorHAnsi" w:hAnsiTheme="minorHAnsi" w:cstheme="minorHAnsi"/>
          <w:lang w:val="en-GB"/>
        </w:rPr>
        <w:t xml:space="preserve"> --relabel $</w:t>
      </w:r>
      <w:proofErr w:type="spellStart"/>
      <w:r w:rsidRPr="00EB50F4">
        <w:rPr>
          <w:rFonts w:asciiTheme="minorHAnsi" w:hAnsiTheme="minorHAnsi" w:cstheme="minorHAnsi"/>
          <w:lang w:val="en-GB"/>
        </w:rPr>
        <w:t>fq</w:t>
      </w:r>
      <w:proofErr w:type="spellEnd"/>
      <w:r w:rsidRPr="00EB50F4">
        <w:rPr>
          <w:rFonts w:asciiTheme="minorHAnsi" w:hAnsiTheme="minorHAnsi" w:cstheme="minorHAnsi"/>
          <w:lang w:val="en-GB"/>
        </w:rPr>
        <w:t>. --</w:t>
      </w:r>
      <w:proofErr w:type="spellStart"/>
      <w:r w:rsidRPr="00EB50F4">
        <w:rPr>
          <w:rFonts w:asciiTheme="minorHAnsi" w:hAnsiTheme="minorHAnsi" w:cstheme="minorHAnsi"/>
          <w:lang w:val="en-GB"/>
        </w:rPr>
        <w:t>fastqout</w:t>
      </w:r>
      <w:proofErr w:type="spellEnd"/>
      <w:r w:rsidRPr="00EB50F4">
        <w:rPr>
          <w:rFonts w:asciiTheme="minorHAnsi" w:hAnsiTheme="minorHAnsi" w:cstheme="minorHAnsi"/>
          <w:lang w:val="en-GB"/>
        </w:rPr>
        <w:t xml:space="preserve"> relabelled_$</w:t>
      </w:r>
      <w:proofErr w:type="spellStart"/>
      <w:r w:rsidRPr="00EB50F4">
        <w:rPr>
          <w:rFonts w:asciiTheme="minorHAnsi" w:hAnsiTheme="minorHAnsi" w:cstheme="minorHAnsi"/>
          <w:lang w:val="en-GB"/>
        </w:rPr>
        <w:t>fq</w:t>
      </w:r>
      <w:proofErr w:type="spellEnd"/>
      <w:r w:rsidRPr="00EB50F4">
        <w:rPr>
          <w:rFonts w:asciiTheme="minorHAnsi" w:hAnsiTheme="minorHAnsi" w:cstheme="minorHAnsi"/>
          <w:lang w:val="en-GB"/>
        </w:rPr>
        <w:t>; done</w:t>
      </w:r>
    </w:p>
    <w:p w14:paraId="334DA401" w14:textId="77777777" w:rsidR="00EB50F4" w:rsidRPr="00EB50F4" w:rsidRDefault="00EB50F4" w:rsidP="003C48BC">
      <w:pPr>
        <w:rPr>
          <w:rFonts w:asciiTheme="minorHAnsi" w:hAnsiTheme="minorHAnsi" w:cstheme="minorHAnsi"/>
          <w:i/>
          <w:iCs/>
          <w:lang w:val="en-GB"/>
        </w:rPr>
      </w:pPr>
      <w:r w:rsidRPr="00EB50F4">
        <w:rPr>
          <w:rFonts w:asciiTheme="minorHAnsi" w:hAnsiTheme="minorHAnsi" w:cstheme="minorHAnsi"/>
          <w:lang w:val="en-GB"/>
        </w:rPr>
        <w:t xml:space="preserve">cat </w:t>
      </w:r>
      <w:proofErr w:type="spellStart"/>
      <w:r w:rsidRPr="00EB50F4">
        <w:rPr>
          <w:rFonts w:asciiTheme="minorHAnsi" w:hAnsiTheme="minorHAnsi" w:cstheme="minorHAnsi"/>
          <w:i/>
          <w:iCs/>
          <w:lang w:val="en-GB"/>
        </w:rPr>
        <w:t>relabeled_sequencing_reads</w:t>
      </w:r>
      <w:proofErr w:type="spellEnd"/>
      <w:r w:rsidRPr="00EB50F4">
        <w:rPr>
          <w:rFonts w:asciiTheme="minorHAnsi" w:hAnsiTheme="minorHAnsi" w:cstheme="minorHAnsi"/>
          <w:i/>
          <w:iCs/>
          <w:lang w:val="en-GB"/>
        </w:rPr>
        <w:t>_</w:t>
      </w:r>
      <w:r w:rsidRPr="00EB50F4">
        <w:rPr>
          <w:rFonts w:asciiTheme="minorHAnsi" w:hAnsiTheme="minorHAnsi" w:cstheme="minorHAnsi"/>
          <w:lang w:val="en-GB"/>
        </w:rPr>
        <w:t xml:space="preserve">* &gt; </w:t>
      </w:r>
      <w:proofErr w:type="spellStart"/>
      <w:proofErr w:type="gramStart"/>
      <w:r w:rsidRPr="00EB50F4">
        <w:rPr>
          <w:rFonts w:asciiTheme="minorHAnsi" w:hAnsiTheme="minorHAnsi" w:cstheme="minorHAnsi"/>
          <w:lang w:val="en-GB"/>
        </w:rPr>
        <w:t>relabeled.fastq</w:t>
      </w:r>
      <w:proofErr w:type="spellEnd"/>
      <w:proofErr w:type="gramEnd"/>
    </w:p>
    <w:p w14:paraId="44997AF4"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4F0EAC25"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 xml:space="preserve">for </w:t>
      </w:r>
      <w:proofErr w:type="spellStart"/>
      <w:r w:rsidRPr="00EB50F4">
        <w:rPr>
          <w:rFonts w:asciiTheme="minorHAnsi" w:hAnsiTheme="minorHAnsi" w:cstheme="minorHAnsi"/>
          <w:b/>
          <w:bCs/>
          <w:lang w:val="en-GB"/>
        </w:rPr>
        <w:t>fq</w:t>
      </w:r>
      <w:proofErr w:type="spellEnd"/>
      <w:r w:rsidRPr="00EB50F4">
        <w:rPr>
          <w:rFonts w:asciiTheme="minorHAnsi" w:hAnsiTheme="minorHAnsi" w:cstheme="minorHAnsi"/>
          <w:b/>
          <w:bCs/>
          <w:lang w:val="en-GB"/>
        </w:rPr>
        <w:t xml:space="preserve"> in </w:t>
      </w:r>
      <w:r w:rsidRPr="00EB50F4">
        <w:rPr>
          <w:rFonts w:asciiTheme="minorHAnsi" w:hAnsiTheme="minorHAnsi" w:cstheme="minorHAnsi"/>
          <w:i/>
          <w:iCs/>
          <w:lang w:val="en-GB"/>
        </w:rPr>
        <w:t>prefix_</w:t>
      </w:r>
      <w:proofErr w:type="gramStart"/>
      <w:r w:rsidRPr="00EB50F4">
        <w:rPr>
          <w:rFonts w:asciiTheme="minorHAnsi" w:hAnsiTheme="minorHAnsi" w:cstheme="minorHAnsi"/>
          <w:b/>
          <w:bCs/>
          <w:lang w:val="en-GB"/>
        </w:rPr>
        <w:t>*</w:t>
      </w:r>
      <w:r w:rsidRPr="00EB50F4">
        <w:rPr>
          <w:rFonts w:asciiTheme="minorHAnsi" w:hAnsiTheme="minorHAnsi" w:cstheme="minorHAnsi"/>
          <w:lang w:val="en-GB"/>
        </w:rPr>
        <w:t xml:space="preserve"> :</w:t>
      </w:r>
      <w:proofErr w:type="gramEnd"/>
      <w:r w:rsidRPr="00EB50F4">
        <w:rPr>
          <w:rFonts w:asciiTheme="minorHAnsi" w:hAnsiTheme="minorHAnsi" w:cstheme="minorHAnsi"/>
          <w:lang w:val="en-GB"/>
        </w:rPr>
        <w:t xml:space="preserve"> start a loop and perform the following commands to all reads with the prefix</w:t>
      </w:r>
      <w:r w:rsidRPr="00EB50F4">
        <w:rPr>
          <w:rFonts w:asciiTheme="minorHAnsi" w:hAnsiTheme="minorHAnsi" w:cstheme="minorHAnsi"/>
          <w:b/>
          <w:bCs/>
          <w:lang w:val="en-GB"/>
        </w:rPr>
        <w:t xml:space="preserve"> </w:t>
      </w:r>
      <w:r w:rsidRPr="00EB50F4">
        <w:rPr>
          <w:rFonts w:asciiTheme="minorHAnsi" w:hAnsiTheme="minorHAnsi" w:cstheme="minorHAnsi"/>
          <w:i/>
          <w:iCs/>
          <w:lang w:val="en-GB"/>
        </w:rPr>
        <w:t>‘</w:t>
      </w:r>
      <w:proofErr w:type="spellStart"/>
      <w:r w:rsidRPr="00EB50F4">
        <w:rPr>
          <w:rFonts w:asciiTheme="minorHAnsi" w:hAnsiTheme="minorHAnsi" w:cstheme="minorHAnsi"/>
          <w:i/>
          <w:iCs/>
          <w:lang w:val="en-GB"/>
        </w:rPr>
        <w:t>sequencing_reads</w:t>
      </w:r>
      <w:proofErr w:type="spellEnd"/>
      <w:r w:rsidRPr="00EB50F4">
        <w:rPr>
          <w:rFonts w:asciiTheme="minorHAnsi" w:hAnsiTheme="minorHAnsi" w:cstheme="minorHAnsi"/>
          <w:i/>
          <w:iCs/>
          <w:lang w:val="en-GB"/>
        </w:rPr>
        <w:t>_’</w:t>
      </w:r>
      <w:r w:rsidRPr="00EB50F4">
        <w:rPr>
          <w:rFonts w:asciiTheme="minorHAnsi" w:hAnsiTheme="minorHAnsi" w:cstheme="minorHAnsi"/>
          <w:lang w:val="en-GB"/>
        </w:rPr>
        <w:t xml:space="preserve">. Note: The wildcard (*) is used to match all the sequencing reads </w:t>
      </w:r>
      <w:proofErr w:type="spellStart"/>
      <w:r w:rsidRPr="00EB50F4">
        <w:rPr>
          <w:rFonts w:asciiTheme="minorHAnsi" w:hAnsiTheme="minorHAnsi" w:cstheme="minorHAnsi"/>
          <w:lang w:val="en-GB"/>
        </w:rPr>
        <w:t>begining</w:t>
      </w:r>
      <w:proofErr w:type="spellEnd"/>
      <w:r w:rsidRPr="00EB50F4">
        <w:rPr>
          <w:rFonts w:asciiTheme="minorHAnsi" w:hAnsiTheme="minorHAnsi" w:cstheme="minorHAnsi"/>
          <w:lang w:val="en-GB"/>
        </w:rPr>
        <w:t xml:space="preserve"> with the specified prefix</w:t>
      </w:r>
    </w:p>
    <w:p w14:paraId="00EEE88D" w14:textId="77777777" w:rsidR="00EB50F4" w:rsidRPr="00EB50F4" w:rsidRDefault="00EB50F4" w:rsidP="003C48BC">
      <w:pPr>
        <w:rPr>
          <w:rFonts w:asciiTheme="minorHAnsi" w:hAnsiTheme="minorHAnsi" w:cstheme="minorHAnsi"/>
          <w:lang w:val="en-GB"/>
        </w:rPr>
      </w:pPr>
      <w:proofErr w:type="gramStart"/>
      <w:r w:rsidRPr="00EB50F4">
        <w:rPr>
          <w:rFonts w:asciiTheme="minorHAnsi" w:hAnsiTheme="minorHAnsi" w:cstheme="minorHAnsi"/>
          <w:b/>
          <w:bCs/>
          <w:lang w:val="en-GB"/>
        </w:rPr>
        <w:t>do :</w:t>
      </w:r>
      <w:proofErr w:type="gramEnd"/>
      <w:r w:rsidRPr="00EB50F4">
        <w:rPr>
          <w:rFonts w:asciiTheme="minorHAnsi" w:hAnsiTheme="minorHAnsi" w:cstheme="minorHAnsi"/>
          <w:b/>
          <w:bCs/>
          <w:lang w:val="en-GB"/>
        </w:rPr>
        <w:t xml:space="preserve"> </w:t>
      </w:r>
      <w:r w:rsidRPr="00EB50F4">
        <w:rPr>
          <w:rFonts w:asciiTheme="minorHAnsi" w:hAnsiTheme="minorHAnsi" w:cstheme="minorHAnsi"/>
          <w:lang w:val="en-GB"/>
        </w:rPr>
        <w:t>do the following commands</w:t>
      </w:r>
    </w:p>
    <w:p w14:paraId="685C2C4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fastq_filter</w:t>
      </w:r>
      <w:proofErr w:type="spellEnd"/>
      <w:r w:rsidRPr="00EB50F4">
        <w:rPr>
          <w:rFonts w:asciiTheme="minorHAnsi" w:hAnsiTheme="minorHAnsi" w:cstheme="minorHAnsi"/>
          <w:b/>
          <w:bCs/>
          <w:lang w:val="en-GB"/>
        </w:rPr>
        <w:t xml:space="preserve">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b/>
          <w:bCs/>
          <w:lang w:val="en-GB"/>
        </w:rPr>
        <w:t xml:space="preserve">: </w:t>
      </w:r>
      <w:r w:rsidRPr="00EB50F4">
        <w:rPr>
          <w:rFonts w:asciiTheme="minorHAnsi" w:hAnsiTheme="minorHAnsi" w:cstheme="minorHAnsi"/>
          <w:lang w:val="en-GB"/>
        </w:rPr>
        <w:t xml:space="preserve">shorten and/or filter sequences in the given FASTQ file </w:t>
      </w:r>
    </w:p>
    <w:p w14:paraId="331BB5CD"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 xml:space="preserve">--relabel </w:t>
      </w:r>
      <w:r w:rsidRPr="00EB50F4">
        <w:rPr>
          <w:rFonts w:asciiTheme="minorHAnsi" w:hAnsiTheme="minorHAnsi" w:cstheme="minorHAnsi"/>
          <w:i/>
          <w:iCs/>
          <w:lang w:val="en-GB"/>
        </w:rPr>
        <w:t>prefix</w:t>
      </w:r>
      <w:proofErr w:type="gramStart"/>
      <w:r w:rsidRPr="00EB50F4">
        <w:rPr>
          <w:rFonts w:asciiTheme="minorHAnsi" w:hAnsiTheme="minorHAnsi" w:cstheme="minorHAnsi"/>
          <w:i/>
          <w:iCs/>
          <w:lang w:val="en-GB"/>
        </w:rPr>
        <w:t xml:space="preserve">_ </w:t>
      </w:r>
      <w:r w:rsidRPr="00EB50F4">
        <w:rPr>
          <w:rFonts w:asciiTheme="minorHAnsi" w:hAnsiTheme="minorHAnsi" w:cstheme="minorHAnsi"/>
          <w:b/>
          <w:bCs/>
          <w:lang w:val="en-GB"/>
        </w:rPr>
        <w:t>:</w:t>
      </w:r>
      <w:proofErr w:type="gramEnd"/>
      <w:r w:rsidRPr="00EB50F4">
        <w:rPr>
          <w:rFonts w:asciiTheme="minorHAnsi" w:hAnsiTheme="minorHAnsi" w:cstheme="minorHAnsi"/>
          <w:b/>
          <w:bCs/>
          <w:lang w:val="en-GB"/>
        </w:rPr>
        <w:t xml:space="preserve"> </w:t>
      </w:r>
      <w:r w:rsidRPr="00EB50F4">
        <w:rPr>
          <w:rFonts w:asciiTheme="minorHAnsi" w:hAnsiTheme="minorHAnsi" w:cstheme="minorHAnsi"/>
          <w:lang w:val="en-GB"/>
        </w:rPr>
        <w:t xml:space="preserve">relabel sequences using the prefix </w:t>
      </w:r>
      <w:r w:rsidRPr="00EB50F4">
        <w:rPr>
          <w:rFonts w:asciiTheme="minorHAnsi" w:hAnsiTheme="minorHAnsi" w:cstheme="minorHAnsi"/>
          <w:i/>
          <w:iCs/>
          <w:lang w:val="en-GB"/>
        </w:rPr>
        <w:t>relabelled_</w:t>
      </w:r>
      <w:r w:rsidRPr="00EB50F4">
        <w:rPr>
          <w:rFonts w:asciiTheme="minorHAnsi" w:hAnsiTheme="minorHAnsi" w:cstheme="minorHAnsi"/>
          <w:lang w:val="en-GB"/>
        </w:rPr>
        <w:t xml:space="preserve"> and a ticker (1, 2, 3, etc.) to construct the new headers</w:t>
      </w:r>
    </w:p>
    <w:p w14:paraId="491A5123"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fastqout</w:t>
      </w:r>
      <w:proofErr w:type="spellEnd"/>
      <w:r w:rsidRPr="00EB50F4">
        <w:rPr>
          <w:rFonts w:asciiTheme="minorHAnsi" w:hAnsiTheme="minorHAnsi" w:cstheme="minorHAnsi"/>
          <w:b/>
          <w:bCs/>
          <w:lang w:val="en-GB"/>
        </w:rPr>
        <w:t xml:space="preserve">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write to the given FASTQ file the sequences passing the filter</w:t>
      </w:r>
    </w:p>
    <w:p w14:paraId="11A7997D" w14:textId="77777777" w:rsidR="00EB50F4" w:rsidRPr="00EB50F4" w:rsidRDefault="00EB50F4" w:rsidP="003C48BC">
      <w:pPr>
        <w:rPr>
          <w:rFonts w:asciiTheme="minorHAnsi" w:hAnsiTheme="minorHAnsi" w:cstheme="minorHAnsi"/>
          <w:b/>
          <w:bCs/>
          <w:lang w:val="en-GB"/>
        </w:rPr>
      </w:pPr>
      <w:proofErr w:type="gramStart"/>
      <w:r w:rsidRPr="00EB50F4">
        <w:rPr>
          <w:rFonts w:asciiTheme="minorHAnsi" w:hAnsiTheme="minorHAnsi" w:cstheme="minorHAnsi"/>
          <w:b/>
          <w:bCs/>
          <w:lang w:val="en-GB"/>
        </w:rPr>
        <w:t>done :</w:t>
      </w:r>
      <w:proofErr w:type="gramEnd"/>
      <w:r w:rsidRPr="00EB50F4">
        <w:rPr>
          <w:rFonts w:asciiTheme="minorHAnsi" w:hAnsiTheme="minorHAnsi" w:cstheme="minorHAnsi"/>
          <w:b/>
          <w:bCs/>
          <w:lang w:val="en-GB"/>
        </w:rPr>
        <w:t xml:space="preserve"> </w:t>
      </w:r>
      <w:r w:rsidRPr="00EB50F4">
        <w:rPr>
          <w:rFonts w:asciiTheme="minorHAnsi" w:hAnsiTheme="minorHAnsi" w:cstheme="minorHAnsi"/>
          <w:lang w:val="en-GB"/>
        </w:rPr>
        <w:t>end the loop</w:t>
      </w:r>
    </w:p>
    <w:p w14:paraId="65B807DB" w14:textId="77777777" w:rsidR="00EB50F4" w:rsidRPr="00EB50F4" w:rsidRDefault="00EB50F4" w:rsidP="003C48BC">
      <w:pPr>
        <w:rPr>
          <w:rFonts w:asciiTheme="minorHAnsi" w:hAnsiTheme="minorHAnsi" w:cstheme="minorHAnsi"/>
          <w:b/>
          <w:bCs/>
          <w:lang w:val="en-GB"/>
        </w:rPr>
      </w:pPr>
      <w:r w:rsidRPr="00EB50F4">
        <w:rPr>
          <w:rFonts w:asciiTheme="minorHAnsi" w:hAnsiTheme="minorHAnsi" w:cstheme="minorHAnsi"/>
          <w:b/>
          <w:bCs/>
          <w:lang w:val="en-GB"/>
        </w:rPr>
        <w:t xml:space="preserve">cat </w:t>
      </w:r>
      <w:r w:rsidRPr="00EB50F4">
        <w:rPr>
          <w:rFonts w:asciiTheme="minorHAnsi" w:hAnsiTheme="minorHAnsi" w:cstheme="minorHAnsi"/>
          <w:i/>
          <w:iCs/>
          <w:lang w:val="en-GB"/>
        </w:rPr>
        <w:t>filenames_</w:t>
      </w:r>
      <w:proofErr w:type="gramStart"/>
      <w:r w:rsidRPr="00EB50F4">
        <w:rPr>
          <w:rFonts w:asciiTheme="minorHAnsi" w:hAnsiTheme="minorHAnsi" w:cstheme="minorHAnsi"/>
          <w:b/>
          <w:bCs/>
          <w:lang w:val="en-GB"/>
        </w:rPr>
        <w:t>* :</w:t>
      </w:r>
      <w:proofErr w:type="gramEnd"/>
      <w:r w:rsidRPr="00EB50F4">
        <w:rPr>
          <w:rFonts w:asciiTheme="minorHAnsi" w:hAnsiTheme="minorHAnsi" w:cstheme="minorHAnsi"/>
          <w:b/>
          <w:bCs/>
          <w:lang w:val="en-GB"/>
        </w:rPr>
        <w:t xml:space="preserve"> </w:t>
      </w:r>
      <w:r w:rsidRPr="00EB50F4">
        <w:rPr>
          <w:rFonts w:asciiTheme="minorHAnsi" w:hAnsiTheme="minorHAnsi" w:cstheme="minorHAnsi"/>
          <w:lang w:val="en-GB"/>
        </w:rPr>
        <w:t>concatenate all files</w:t>
      </w:r>
      <w:r w:rsidRPr="00EB50F4">
        <w:rPr>
          <w:rFonts w:asciiTheme="minorHAnsi" w:hAnsiTheme="minorHAnsi" w:cstheme="minorHAnsi"/>
          <w:i/>
          <w:iCs/>
          <w:lang w:val="en-GB"/>
        </w:rPr>
        <w:t xml:space="preserve"> </w:t>
      </w:r>
      <w:r w:rsidRPr="00EB50F4">
        <w:rPr>
          <w:rFonts w:asciiTheme="minorHAnsi" w:hAnsiTheme="minorHAnsi" w:cstheme="minorHAnsi"/>
          <w:lang w:val="en-GB"/>
        </w:rPr>
        <w:t>with the prefix</w:t>
      </w:r>
      <w:r w:rsidRPr="00EB50F4">
        <w:rPr>
          <w:rFonts w:asciiTheme="minorHAnsi" w:hAnsiTheme="minorHAnsi" w:cstheme="minorHAnsi"/>
          <w:i/>
          <w:iCs/>
          <w:lang w:val="en-GB"/>
        </w:rPr>
        <w:t xml:space="preserve"> ‘</w:t>
      </w:r>
      <w:proofErr w:type="spellStart"/>
      <w:r w:rsidRPr="00EB50F4">
        <w:rPr>
          <w:rFonts w:asciiTheme="minorHAnsi" w:hAnsiTheme="minorHAnsi" w:cstheme="minorHAnsi"/>
          <w:i/>
          <w:iCs/>
          <w:lang w:val="en-GB"/>
        </w:rPr>
        <w:t>relabeled_sequencing_reads</w:t>
      </w:r>
      <w:proofErr w:type="spellEnd"/>
      <w:r w:rsidRPr="00EB50F4">
        <w:rPr>
          <w:rFonts w:asciiTheme="minorHAnsi" w:hAnsiTheme="minorHAnsi" w:cstheme="minorHAnsi"/>
          <w:i/>
          <w:iCs/>
          <w:lang w:val="en-GB"/>
        </w:rPr>
        <w:t>’</w:t>
      </w:r>
    </w:p>
    <w:p w14:paraId="60124648" w14:textId="77777777" w:rsidR="00EB50F4" w:rsidRPr="00EB50F4" w:rsidRDefault="00EB50F4" w:rsidP="003C48BC">
      <w:pPr>
        <w:rPr>
          <w:rFonts w:asciiTheme="minorHAnsi" w:hAnsiTheme="minorHAnsi" w:cstheme="minorHAnsi"/>
          <w:lang w:val="en-GB"/>
        </w:rPr>
      </w:pPr>
    </w:p>
    <w:p w14:paraId="381F1D4F"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3. Keep only sequences with a number of base pairs between 80 and 160, using VSEARCH </w:t>
      </w:r>
      <w:r w:rsidRPr="00EB50F4">
        <w:rPr>
          <w:rFonts w:asciiTheme="minorHAnsi" w:hAnsiTheme="minorHAnsi" w:cstheme="minorHAnsi"/>
          <w:lang w:val="en-GB"/>
        </w:rPr>
        <w:fldChar w:fldCharType="begin"/>
      </w:r>
      <w:r w:rsidRPr="00EB50F4">
        <w:rPr>
          <w:rFonts w:asciiTheme="minorHAnsi" w:hAnsiTheme="minorHAnsi" w:cstheme="minorHAnsi"/>
          <w:lang w:val="en-GB"/>
        </w:rPr>
        <w:instrText xml:space="preserve"> ADDIN ZOTERO_ITEM CSL_CITATION {"citationID":"mfXaxmSF","properties":{"formattedCitation":"(Rognes {\\i{}et al.} 2016)","plainCitation":"(Rognes et al. 2016)","noteIndex":0},"citationItems":[{"id":168,"uris":["http://zotero.org/users/8293222/items/9FSUBD9U"],"uri":["http://zotero.org/users/8293222/items/9FSUBD9U"],"itemData":{"id":168,"type":"article-journal","abstract":"VSEARCH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use.\nWhen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threads.\nVSEARCH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or\n),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3.0.\nVSEARCH has been shown to be a fast, accurate and full-fledged alternative to USEARCH. A free and open-source versatile tool for sequence analysis is now available to the metagenomics community.","container-title":"PeerJ (San Francisco, CA)","DOI":"10.7717/peerj.2584","ISSN":"2167-8359","language":"eng","note":"publisher-place: United States\npublisher: PeerJLtd","page":"e2584–e2584","source":"otago.com","title":"VSEARCH: a versatile open source tool for metagenomics","title-short":"VSEARCH","volume":"4","author":[{"family":"Rognes","given":"Torbjørn"},{"family":"Flouri","given":"Tomáš"},{"family":"Nichols","given":"Ben"},{"family":"Quince","given":"Christopher"},{"family":"Mahé","given":"Frédéric"}],"issued":{"date-parts":[["2016"]]}}}],"schema":"https://github.com/citation-style-language/schema/raw/master/csl-citation.json"} </w:instrText>
      </w:r>
      <w:r w:rsidRPr="00EB50F4">
        <w:rPr>
          <w:rFonts w:asciiTheme="minorHAnsi" w:hAnsiTheme="minorHAnsi" w:cstheme="minorHAnsi"/>
          <w:lang w:val="en-GB"/>
        </w:rPr>
        <w:fldChar w:fldCharType="separate"/>
      </w:r>
      <w:r w:rsidRPr="00EB50F4">
        <w:rPr>
          <w:rFonts w:asciiTheme="minorHAnsi" w:hAnsiTheme="minorHAnsi" w:cstheme="minorHAnsi"/>
        </w:rPr>
        <w:t xml:space="preserve">(Rognes </w:t>
      </w:r>
      <w:r w:rsidRPr="00EB50F4">
        <w:rPr>
          <w:rFonts w:asciiTheme="minorHAnsi" w:hAnsiTheme="minorHAnsi" w:cstheme="minorHAnsi"/>
          <w:i/>
          <w:iCs/>
        </w:rPr>
        <w:t>et al.</w:t>
      </w:r>
      <w:r w:rsidRPr="00EB50F4">
        <w:rPr>
          <w:rFonts w:asciiTheme="minorHAnsi" w:hAnsiTheme="minorHAnsi" w:cstheme="minorHAnsi"/>
        </w:rPr>
        <w:t xml:space="preserve"> 2016)</w:t>
      </w:r>
      <w:r w:rsidRPr="00EB50F4">
        <w:rPr>
          <w:rFonts w:asciiTheme="minorHAnsi" w:hAnsiTheme="minorHAnsi" w:cstheme="minorHAnsi"/>
          <w:lang w:val="en-GB"/>
        </w:rPr>
        <w:fldChar w:fldCharType="end"/>
      </w:r>
      <w:r w:rsidRPr="00EB50F4">
        <w:rPr>
          <w:rFonts w:asciiTheme="minorHAnsi" w:hAnsiTheme="minorHAnsi" w:cstheme="minorHAnsi"/>
          <w:lang w:val="en-GB"/>
        </w:rPr>
        <w:t xml:space="preserve"> in the command-line. Sequences with a length between 80 and 160 base pairs were kept. No errors allowed in sequencing reads</w:t>
      </w:r>
    </w:p>
    <w:p w14:paraId="1CB441C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4A4C6694" w14:textId="77777777" w:rsidR="00EB50F4" w:rsidRPr="00EB50F4" w:rsidRDefault="00EB50F4" w:rsidP="003C48BC">
      <w:pPr>
        <w:rPr>
          <w:rFonts w:asciiTheme="minorHAnsi" w:hAnsiTheme="minorHAnsi" w:cstheme="minorHAnsi"/>
          <w:lang w:val="en-GB"/>
        </w:rPr>
      </w:pPr>
      <w:proofErr w:type="spellStart"/>
      <w:r w:rsidRPr="00EB50F4">
        <w:rPr>
          <w:rFonts w:asciiTheme="minorHAnsi" w:hAnsiTheme="minorHAnsi" w:cstheme="minorHAnsi"/>
          <w:lang w:val="en-GB"/>
        </w:rPr>
        <w:t>vsearch</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fastq_filter</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lang w:val="en-GB"/>
        </w:rPr>
        <w:t>relabelled.fastq</w:t>
      </w:r>
      <w:proofErr w:type="spellEnd"/>
      <w:proofErr w:type="gram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fastq_maxee</w:t>
      </w:r>
      <w:proofErr w:type="spellEnd"/>
      <w:r w:rsidRPr="00EB50F4">
        <w:rPr>
          <w:rFonts w:asciiTheme="minorHAnsi" w:hAnsiTheme="minorHAnsi" w:cstheme="minorHAnsi"/>
          <w:lang w:val="en-GB"/>
        </w:rPr>
        <w:t xml:space="preserve"> 1.0 --</w:t>
      </w:r>
      <w:proofErr w:type="spellStart"/>
      <w:r w:rsidRPr="00EB50F4">
        <w:rPr>
          <w:rFonts w:asciiTheme="minorHAnsi" w:hAnsiTheme="minorHAnsi" w:cstheme="minorHAnsi"/>
          <w:lang w:val="en-GB"/>
        </w:rPr>
        <w:t>fastq_maxlen</w:t>
      </w:r>
      <w:proofErr w:type="spellEnd"/>
      <w:r w:rsidRPr="00EB50F4">
        <w:rPr>
          <w:rFonts w:asciiTheme="minorHAnsi" w:hAnsiTheme="minorHAnsi" w:cstheme="minorHAnsi"/>
          <w:lang w:val="en-GB"/>
        </w:rPr>
        <w:t xml:space="preserve"> 160 --</w:t>
      </w:r>
      <w:proofErr w:type="spellStart"/>
      <w:r w:rsidRPr="00EB50F4">
        <w:rPr>
          <w:rFonts w:asciiTheme="minorHAnsi" w:hAnsiTheme="minorHAnsi" w:cstheme="minorHAnsi"/>
          <w:lang w:val="en-GB"/>
        </w:rPr>
        <w:t>fastq_minlen</w:t>
      </w:r>
      <w:proofErr w:type="spellEnd"/>
      <w:r w:rsidRPr="00EB50F4">
        <w:rPr>
          <w:rFonts w:asciiTheme="minorHAnsi" w:hAnsiTheme="minorHAnsi" w:cstheme="minorHAnsi"/>
          <w:lang w:val="en-GB"/>
        </w:rPr>
        <w:t xml:space="preserve"> 80 --</w:t>
      </w:r>
      <w:proofErr w:type="spellStart"/>
      <w:r w:rsidRPr="00EB50F4">
        <w:rPr>
          <w:rFonts w:asciiTheme="minorHAnsi" w:hAnsiTheme="minorHAnsi" w:cstheme="minorHAnsi"/>
          <w:lang w:val="en-GB"/>
        </w:rPr>
        <w:t>fastq_maxns</w:t>
      </w:r>
      <w:proofErr w:type="spellEnd"/>
      <w:r w:rsidRPr="00EB50F4">
        <w:rPr>
          <w:rFonts w:asciiTheme="minorHAnsi" w:hAnsiTheme="minorHAnsi" w:cstheme="minorHAnsi"/>
          <w:lang w:val="en-GB"/>
        </w:rPr>
        <w:t xml:space="preserve"> 0 --</w:t>
      </w:r>
      <w:proofErr w:type="spellStart"/>
      <w:r w:rsidRPr="00EB50F4">
        <w:rPr>
          <w:rFonts w:asciiTheme="minorHAnsi" w:hAnsiTheme="minorHAnsi" w:cstheme="minorHAnsi"/>
          <w:lang w:val="en-GB"/>
        </w:rPr>
        <w:t>fastaout</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filtered.fasta</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fastqout</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filtered.fastq</w:t>
      </w:r>
      <w:proofErr w:type="spellEnd"/>
    </w:p>
    <w:p w14:paraId="70081C32"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lastRenderedPageBreak/>
        <w:t>```</w:t>
      </w:r>
    </w:p>
    <w:p w14:paraId="022EA19B"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fastq_filter</w:t>
      </w:r>
      <w:proofErr w:type="spellEnd"/>
      <w:r w:rsidRPr="00EB50F4">
        <w:rPr>
          <w:rFonts w:asciiTheme="minorHAnsi" w:hAnsiTheme="minorHAnsi" w:cstheme="minorHAnsi"/>
          <w:i/>
          <w:iCs/>
          <w:lang w:val="en-GB"/>
        </w:rPr>
        <w:t xml:space="preserve">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shorten and/or filter sequences in the given FASTQ file, i.e., </w:t>
      </w:r>
      <w:proofErr w:type="spellStart"/>
      <w:r w:rsidRPr="00EB50F4">
        <w:rPr>
          <w:rFonts w:asciiTheme="minorHAnsi" w:hAnsiTheme="minorHAnsi" w:cstheme="minorHAnsi"/>
          <w:i/>
          <w:iCs/>
          <w:lang w:val="en-GB"/>
        </w:rPr>
        <w:t>relabelled.fastq</w:t>
      </w:r>
      <w:proofErr w:type="spellEnd"/>
    </w:p>
    <w:p w14:paraId="51FA591A"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fastq_maxee</w:t>
      </w:r>
      <w:proofErr w:type="spellEnd"/>
      <w:r w:rsidRPr="00EB50F4">
        <w:rPr>
          <w:rFonts w:asciiTheme="minorHAnsi" w:hAnsiTheme="minorHAnsi" w:cstheme="minorHAnsi"/>
          <w:i/>
          <w:iCs/>
          <w:lang w:val="en-GB"/>
        </w:rPr>
        <w:t xml:space="preserve"> </w:t>
      </w:r>
      <w:proofErr w:type="gramStart"/>
      <w:r w:rsidRPr="00EB50F4">
        <w:rPr>
          <w:rFonts w:asciiTheme="minorHAnsi" w:hAnsiTheme="minorHAnsi" w:cstheme="minorHAnsi"/>
          <w:i/>
          <w:iCs/>
          <w:lang w:val="en-GB"/>
        </w:rPr>
        <w:t>value :</w:t>
      </w:r>
      <w:proofErr w:type="gramEnd"/>
      <w:r w:rsidRPr="00EB50F4">
        <w:rPr>
          <w:rFonts w:asciiTheme="minorHAnsi" w:hAnsiTheme="minorHAnsi" w:cstheme="minorHAnsi"/>
          <w:lang w:val="en-GB"/>
        </w:rPr>
        <w:t xml:space="preserve"> discard sequences with more than the specified number of expected errors, i.e., 1</w:t>
      </w:r>
    </w:p>
    <w:p w14:paraId="0C39113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fastq_maxlen</w:t>
      </w:r>
      <w:proofErr w:type="spellEnd"/>
      <w:r w:rsidRPr="00EB50F4">
        <w:rPr>
          <w:rFonts w:asciiTheme="minorHAnsi" w:hAnsiTheme="minorHAnsi" w:cstheme="minorHAnsi"/>
          <w:i/>
          <w:iCs/>
          <w:lang w:val="en-GB"/>
        </w:rPr>
        <w:t xml:space="preserve"> </w:t>
      </w:r>
      <w:proofErr w:type="gramStart"/>
      <w:r w:rsidRPr="00EB50F4">
        <w:rPr>
          <w:rFonts w:asciiTheme="minorHAnsi" w:hAnsiTheme="minorHAnsi" w:cstheme="minorHAnsi"/>
          <w:i/>
          <w:iCs/>
          <w:lang w:val="en-GB"/>
        </w:rPr>
        <w:t>value :</w:t>
      </w:r>
      <w:proofErr w:type="gramEnd"/>
      <w:r w:rsidRPr="00EB50F4">
        <w:rPr>
          <w:rFonts w:asciiTheme="minorHAnsi" w:hAnsiTheme="minorHAnsi" w:cstheme="minorHAnsi"/>
          <w:lang w:val="en-GB"/>
        </w:rPr>
        <w:t xml:space="preserve"> discard sequences with more than the specified number of bases, i.e., 160</w:t>
      </w:r>
    </w:p>
    <w:p w14:paraId="04564280"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fastq_minlen</w:t>
      </w:r>
      <w:proofErr w:type="spellEnd"/>
      <w:r w:rsidRPr="00EB50F4">
        <w:rPr>
          <w:rFonts w:asciiTheme="minorHAnsi" w:hAnsiTheme="minorHAnsi" w:cstheme="minorHAnsi"/>
          <w:i/>
          <w:iCs/>
          <w:lang w:val="en-GB"/>
        </w:rPr>
        <w:t xml:space="preserve"> </w:t>
      </w:r>
      <w:proofErr w:type="gramStart"/>
      <w:r w:rsidRPr="00EB50F4">
        <w:rPr>
          <w:rFonts w:asciiTheme="minorHAnsi" w:hAnsiTheme="minorHAnsi" w:cstheme="minorHAnsi"/>
          <w:i/>
          <w:iCs/>
          <w:lang w:val="en-GB"/>
        </w:rPr>
        <w:t>value :</w:t>
      </w:r>
      <w:proofErr w:type="gramEnd"/>
      <w:r w:rsidRPr="00EB50F4">
        <w:rPr>
          <w:rFonts w:asciiTheme="minorHAnsi" w:hAnsiTheme="minorHAnsi" w:cstheme="minorHAnsi"/>
          <w:lang w:val="en-GB"/>
        </w:rPr>
        <w:t xml:space="preserve"> discard sequences with less than the specified number of bases (default 1), i.e., 80</w:t>
      </w:r>
    </w:p>
    <w:p w14:paraId="7C41E1F7"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fastq_maxns</w:t>
      </w:r>
      <w:proofErr w:type="spellEnd"/>
      <w:r w:rsidRPr="00EB50F4">
        <w:rPr>
          <w:rFonts w:asciiTheme="minorHAnsi" w:hAnsiTheme="minorHAnsi" w:cstheme="minorHAnsi"/>
          <w:i/>
          <w:iCs/>
          <w:lang w:val="en-GB"/>
        </w:rPr>
        <w:t xml:space="preserve"> </w:t>
      </w:r>
      <w:proofErr w:type="gramStart"/>
      <w:r w:rsidRPr="00EB50F4">
        <w:rPr>
          <w:rFonts w:asciiTheme="minorHAnsi" w:hAnsiTheme="minorHAnsi" w:cstheme="minorHAnsi"/>
          <w:i/>
          <w:iCs/>
          <w:lang w:val="en-GB"/>
        </w:rPr>
        <w:t>value :</w:t>
      </w:r>
      <w:proofErr w:type="gramEnd"/>
      <w:r w:rsidRPr="00EB50F4">
        <w:rPr>
          <w:rFonts w:asciiTheme="minorHAnsi" w:hAnsiTheme="minorHAnsi" w:cstheme="minorHAnsi"/>
          <w:lang w:val="en-GB"/>
        </w:rPr>
        <w:t xml:space="preserve"> discard sequences with more than the specified number of N's (ambiguous bases), i.e., 0</w:t>
      </w:r>
    </w:p>
    <w:p w14:paraId="0686CD2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fastaout</w:t>
      </w:r>
      <w:proofErr w:type="spellEnd"/>
      <w:r w:rsidRPr="00EB50F4">
        <w:rPr>
          <w:rFonts w:asciiTheme="minorHAnsi" w:hAnsiTheme="minorHAnsi" w:cstheme="minorHAnsi"/>
          <w:i/>
          <w:iCs/>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the FASTA-formatted output where the sequences passing the filter are written, i.e., </w:t>
      </w:r>
      <w:proofErr w:type="spellStart"/>
      <w:r w:rsidRPr="00EB50F4">
        <w:rPr>
          <w:rFonts w:asciiTheme="minorHAnsi" w:hAnsiTheme="minorHAnsi" w:cstheme="minorHAnsi"/>
          <w:i/>
          <w:iCs/>
          <w:lang w:val="en-GB"/>
        </w:rPr>
        <w:t>filtered.fasta</w:t>
      </w:r>
      <w:proofErr w:type="spellEnd"/>
    </w:p>
    <w:p w14:paraId="7C78ED90"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fastqout</w:t>
      </w:r>
      <w:proofErr w:type="spellEnd"/>
      <w:r w:rsidRPr="00EB50F4">
        <w:rPr>
          <w:rFonts w:asciiTheme="minorHAnsi" w:hAnsiTheme="minorHAnsi" w:cstheme="minorHAnsi"/>
          <w:i/>
          <w:iCs/>
          <w:lang w:val="en-GB"/>
        </w:rPr>
        <w:t xml:space="preserve"> </w:t>
      </w:r>
      <w:proofErr w:type="spellStart"/>
      <w:proofErr w:type="gramStart"/>
      <w:r w:rsidRPr="00EB50F4">
        <w:rPr>
          <w:rFonts w:asciiTheme="minorHAnsi" w:hAnsiTheme="minorHAnsi" w:cstheme="minorHAnsi"/>
          <w:i/>
          <w:iCs/>
          <w:lang w:val="en-GB"/>
        </w:rPr>
        <w:t>filename.fastq</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the FASTQ-formatted output where the sequences passing the filter are written , i.e., </w:t>
      </w:r>
      <w:proofErr w:type="spellStart"/>
      <w:r w:rsidRPr="00EB50F4">
        <w:rPr>
          <w:rFonts w:asciiTheme="minorHAnsi" w:hAnsiTheme="minorHAnsi" w:cstheme="minorHAnsi"/>
          <w:i/>
          <w:iCs/>
          <w:lang w:val="en-GB"/>
        </w:rPr>
        <w:t>filtered.fastq</w:t>
      </w:r>
      <w:proofErr w:type="spellEnd"/>
    </w:p>
    <w:p w14:paraId="463EA772" w14:textId="77777777" w:rsidR="00EB50F4" w:rsidRPr="00EB50F4" w:rsidRDefault="00EB50F4" w:rsidP="003C48BC">
      <w:pPr>
        <w:rPr>
          <w:rFonts w:asciiTheme="minorHAnsi" w:hAnsiTheme="minorHAnsi" w:cstheme="minorHAnsi"/>
          <w:lang w:val="en-GB"/>
        </w:rPr>
      </w:pPr>
    </w:p>
    <w:p w14:paraId="6CAA9D3F"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4. Find unique sequences to reduce computational effort in downstream analyses. Discard sequences with abundance less than 2 OTUs </w:t>
      </w:r>
    </w:p>
    <w:p w14:paraId="685F7C1C"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322932B0" w14:textId="77777777" w:rsidR="00EB50F4" w:rsidRPr="00EB50F4" w:rsidRDefault="00EB50F4" w:rsidP="003C48BC">
      <w:pPr>
        <w:rPr>
          <w:rFonts w:asciiTheme="minorHAnsi" w:hAnsiTheme="minorHAnsi" w:cstheme="minorHAnsi"/>
          <w:lang w:val="en-GB"/>
        </w:rPr>
      </w:pPr>
      <w:proofErr w:type="spellStart"/>
      <w:r w:rsidRPr="00EB50F4">
        <w:rPr>
          <w:rFonts w:asciiTheme="minorHAnsi" w:hAnsiTheme="minorHAnsi" w:cstheme="minorHAnsi"/>
          <w:lang w:val="en-GB"/>
        </w:rPr>
        <w:t>vsearch</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derep_fulllength</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filtered.fasta</w:t>
      </w:r>
      <w:proofErr w:type="spellEnd"/>
      <w:proofErr w:type="gramEnd"/>
      <w:r w:rsidRPr="00EB50F4">
        <w:rPr>
          <w:rFonts w:asciiTheme="minorHAnsi" w:hAnsiTheme="minorHAnsi" w:cstheme="minorHAnsi"/>
          <w:lang w:val="en-GB"/>
        </w:rPr>
        <w:t xml:space="preserve"> --output </w:t>
      </w:r>
      <w:proofErr w:type="spellStart"/>
      <w:r w:rsidRPr="00EB50F4">
        <w:rPr>
          <w:rFonts w:asciiTheme="minorHAnsi" w:hAnsiTheme="minorHAnsi" w:cstheme="minorHAnsi"/>
          <w:lang w:val="en-GB"/>
        </w:rPr>
        <w:t>uniques.fasta</w:t>
      </w:r>
      <w:proofErr w:type="spellEnd"/>
      <w:r w:rsidRPr="00EB50F4">
        <w:rPr>
          <w:rFonts w:asciiTheme="minorHAnsi" w:hAnsiTheme="minorHAnsi" w:cstheme="minorHAnsi"/>
          <w:lang w:val="en-GB"/>
        </w:rPr>
        <w:t xml:space="preserve"> --relabel </w:t>
      </w:r>
      <w:proofErr w:type="spellStart"/>
      <w:r w:rsidRPr="00EB50F4">
        <w:rPr>
          <w:rFonts w:asciiTheme="minorHAnsi" w:hAnsiTheme="minorHAnsi" w:cstheme="minorHAnsi"/>
          <w:lang w:val="en-GB"/>
        </w:rPr>
        <w:t>Uniq</w:t>
      </w:r>
      <w:proofErr w:type="spellEnd"/>
      <w:r w:rsidRPr="00EB50F4">
        <w:rPr>
          <w:rFonts w:asciiTheme="minorHAnsi" w:hAnsiTheme="minorHAnsi" w:cstheme="minorHAnsi"/>
          <w:lang w:val="en-GB"/>
        </w:rPr>
        <w:t>. --</w:t>
      </w:r>
      <w:proofErr w:type="spellStart"/>
      <w:r w:rsidRPr="00EB50F4">
        <w:rPr>
          <w:rFonts w:asciiTheme="minorHAnsi" w:hAnsiTheme="minorHAnsi" w:cstheme="minorHAnsi"/>
          <w:lang w:val="en-GB"/>
        </w:rPr>
        <w:t>sizeout</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minuniquesize</w:t>
      </w:r>
      <w:proofErr w:type="spellEnd"/>
      <w:r w:rsidRPr="00EB50F4">
        <w:rPr>
          <w:rFonts w:asciiTheme="minorHAnsi" w:hAnsiTheme="minorHAnsi" w:cstheme="minorHAnsi"/>
          <w:lang w:val="en-GB"/>
        </w:rPr>
        <w:t xml:space="preserve"> 2</w:t>
      </w:r>
    </w:p>
    <w:p w14:paraId="718A4EB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61FADF4E"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derep_fulllength</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lang w:val="en-GB"/>
        </w:rPr>
        <w:t xml:space="preserve"> : Merge strictly identical sequences contained in the FASTA file , i.e., </w:t>
      </w:r>
      <w:proofErr w:type="spellStart"/>
      <w:r w:rsidRPr="00EB50F4">
        <w:rPr>
          <w:rFonts w:asciiTheme="minorHAnsi" w:hAnsiTheme="minorHAnsi" w:cstheme="minorHAnsi"/>
          <w:lang w:val="en-GB"/>
        </w:rPr>
        <w:t>filtered.fasta</w:t>
      </w:r>
      <w:proofErr w:type="spellEnd"/>
    </w:p>
    <w:p w14:paraId="705593EA"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--relabel</w:t>
      </w:r>
      <w:r w:rsidRPr="00EB50F4">
        <w:rPr>
          <w:rFonts w:asciiTheme="minorHAnsi" w:hAnsiTheme="minorHAnsi" w:cstheme="minorHAnsi"/>
          <w:lang w:val="en-GB"/>
        </w:rPr>
        <w:t xml:space="preserve"> </w:t>
      </w:r>
      <w:r w:rsidRPr="00EB50F4">
        <w:rPr>
          <w:rFonts w:asciiTheme="minorHAnsi" w:hAnsiTheme="minorHAnsi" w:cstheme="minorHAnsi"/>
          <w:i/>
          <w:iCs/>
          <w:lang w:val="en-GB"/>
        </w:rPr>
        <w:t>prefix</w:t>
      </w:r>
      <w:proofErr w:type="gramStart"/>
      <w:r w:rsidRPr="00EB50F4">
        <w:rPr>
          <w:rFonts w:asciiTheme="minorHAnsi" w:hAnsiTheme="minorHAnsi" w:cstheme="minorHAnsi"/>
          <w:i/>
          <w:iCs/>
          <w:lang w:val="en-GB"/>
        </w:rPr>
        <w:t xml:space="preserve">. </w:t>
      </w:r>
      <w:r w:rsidRPr="00EB50F4">
        <w:rPr>
          <w:rFonts w:asciiTheme="minorHAnsi" w:hAnsiTheme="minorHAnsi" w:cstheme="minorHAnsi"/>
          <w:lang w:val="en-GB"/>
        </w:rPr>
        <w:t>:</w:t>
      </w:r>
      <w:proofErr w:type="gramEnd"/>
      <w:r w:rsidRPr="00EB50F4">
        <w:rPr>
          <w:rFonts w:asciiTheme="minorHAnsi" w:hAnsiTheme="minorHAnsi" w:cstheme="minorHAnsi"/>
          <w:lang w:val="en-GB"/>
        </w:rPr>
        <w:t xml:space="preserve"> relabel sequences using the prefix '</w:t>
      </w:r>
      <w:proofErr w:type="spellStart"/>
      <w:r w:rsidRPr="00EB50F4">
        <w:rPr>
          <w:rFonts w:asciiTheme="minorHAnsi" w:hAnsiTheme="minorHAnsi" w:cstheme="minorHAnsi"/>
          <w:i/>
          <w:iCs/>
          <w:lang w:val="en-GB"/>
        </w:rPr>
        <w:t>Uniq</w:t>
      </w:r>
      <w:proofErr w:type="spellEnd"/>
      <w:r w:rsidRPr="00EB50F4">
        <w:rPr>
          <w:rFonts w:asciiTheme="minorHAnsi" w:hAnsiTheme="minorHAnsi" w:cstheme="minorHAnsi"/>
          <w:i/>
          <w:iCs/>
          <w:lang w:val="en-GB"/>
        </w:rPr>
        <w:t>.</w:t>
      </w:r>
      <w:r w:rsidRPr="00EB50F4">
        <w:rPr>
          <w:rFonts w:asciiTheme="minorHAnsi" w:hAnsiTheme="minorHAnsi" w:cstheme="minorHAnsi"/>
          <w:lang w:val="en-GB"/>
        </w:rPr>
        <w:t>' and a ticker (1, 2, 3, etc.) to construct the new headers</w:t>
      </w:r>
    </w:p>
    <w:p w14:paraId="1E187D62"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proofErr w:type="gramStart"/>
      <w:r w:rsidRPr="00EB50F4">
        <w:rPr>
          <w:rFonts w:asciiTheme="minorHAnsi" w:hAnsiTheme="minorHAnsi" w:cstheme="minorHAnsi"/>
          <w:b/>
          <w:bCs/>
          <w:lang w:val="en-GB"/>
        </w:rPr>
        <w:t>sizeout</w:t>
      </w:r>
      <w:proofErr w:type="spellEnd"/>
      <w:r w:rsidRPr="00EB50F4">
        <w:rPr>
          <w:rFonts w:asciiTheme="minorHAnsi" w:hAnsiTheme="minorHAnsi" w:cstheme="minorHAnsi"/>
          <w:lang w:val="en-GB"/>
        </w:rPr>
        <w:t xml:space="preserve"> :</w:t>
      </w:r>
      <w:proofErr w:type="gramEnd"/>
      <w:r w:rsidRPr="00EB50F4">
        <w:rPr>
          <w:rFonts w:asciiTheme="minorHAnsi" w:hAnsiTheme="minorHAnsi" w:cstheme="minorHAnsi"/>
          <w:lang w:val="en-GB"/>
        </w:rPr>
        <w:t xml:space="preserve"> preserve and report abundance annotations to the output </w:t>
      </w:r>
      <w:proofErr w:type="spellStart"/>
      <w:r w:rsidRPr="00EB50F4">
        <w:rPr>
          <w:rFonts w:asciiTheme="minorHAnsi" w:hAnsiTheme="minorHAnsi" w:cstheme="minorHAnsi"/>
          <w:lang w:val="en-GB"/>
        </w:rPr>
        <w:t>fasta</w:t>
      </w:r>
      <w:proofErr w:type="spellEnd"/>
      <w:r w:rsidRPr="00EB50F4">
        <w:rPr>
          <w:rFonts w:asciiTheme="minorHAnsi" w:hAnsiTheme="minorHAnsi" w:cstheme="minorHAnsi"/>
          <w:lang w:val="en-GB"/>
        </w:rPr>
        <w:t xml:space="preserve"> file (using the pattern ’;size=integer;’).</w:t>
      </w:r>
    </w:p>
    <w:p w14:paraId="2C8ED85E"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minuniquesize</w:t>
      </w:r>
      <w:proofErr w:type="spellEnd"/>
      <w:r w:rsidRPr="00EB50F4">
        <w:rPr>
          <w:rFonts w:asciiTheme="minorHAnsi" w:hAnsiTheme="minorHAnsi" w:cstheme="minorHAnsi"/>
          <w:lang w:val="en-GB"/>
        </w:rPr>
        <w:t xml:space="preserve"> </w:t>
      </w:r>
      <w:proofErr w:type="gramStart"/>
      <w:r w:rsidRPr="00EB50F4">
        <w:rPr>
          <w:rFonts w:asciiTheme="minorHAnsi" w:hAnsiTheme="minorHAnsi" w:cstheme="minorHAnsi"/>
          <w:i/>
          <w:iCs/>
          <w:lang w:val="en-GB"/>
        </w:rPr>
        <w:t>value</w:t>
      </w:r>
      <w:r w:rsidRPr="00EB50F4">
        <w:rPr>
          <w:rFonts w:asciiTheme="minorHAnsi" w:hAnsiTheme="minorHAnsi" w:cstheme="minorHAnsi"/>
          <w:lang w:val="en-GB"/>
        </w:rPr>
        <w:t xml:space="preserve"> :</w:t>
      </w:r>
      <w:proofErr w:type="gramEnd"/>
      <w:r w:rsidRPr="00EB50F4">
        <w:rPr>
          <w:rFonts w:asciiTheme="minorHAnsi" w:hAnsiTheme="minorHAnsi" w:cstheme="minorHAnsi"/>
          <w:lang w:val="en-GB"/>
        </w:rPr>
        <w:t xml:space="preserve"> discard all sequences with an abundance lower than the specified number, i.e., 2</w:t>
      </w:r>
    </w:p>
    <w:p w14:paraId="7F0F57B9" w14:textId="77777777" w:rsidR="00EB50F4" w:rsidRPr="00EB50F4" w:rsidRDefault="00EB50F4" w:rsidP="003C48BC">
      <w:pPr>
        <w:rPr>
          <w:rFonts w:asciiTheme="minorHAnsi" w:hAnsiTheme="minorHAnsi" w:cstheme="minorHAnsi"/>
          <w:lang w:val="en-GB"/>
        </w:rPr>
      </w:pPr>
    </w:p>
    <w:p w14:paraId="0AA562A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5. Generate OTU list</w:t>
      </w:r>
    </w:p>
    <w:p w14:paraId="05C63953"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2091CF6A" w14:textId="77777777" w:rsidR="00EB50F4" w:rsidRPr="00EB50F4" w:rsidRDefault="00EB50F4" w:rsidP="003C48BC">
      <w:pPr>
        <w:rPr>
          <w:rFonts w:asciiTheme="minorHAnsi" w:hAnsiTheme="minorHAnsi" w:cstheme="minorHAnsi"/>
          <w:lang w:val="en-GB"/>
        </w:rPr>
      </w:pPr>
      <w:proofErr w:type="spellStart"/>
      <w:r w:rsidRPr="00EB50F4">
        <w:rPr>
          <w:rFonts w:asciiTheme="minorHAnsi" w:hAnsiTheme="minorHAnsi" w:cstheme="minorHAnsi"/>
          <w:lang w:val="en-GB"/>
        </w:rPr>
        <w:t>vsearch</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cluster_size</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lang w:val="en-GB"/>
        </w:rPr>
        <w:t>uniques.fasta</w:t>
      </w:r>
      <w:proofErr w:type="spellEnd"/>
      <w:proofErr w:type="gramEnd"/>
      <w:r w:rsidRPr="00EB50F4">
        <w:rPr>
          <w:rFonts w:asciiTheme="minorHAnsi" w:hAnsiTheme="minorHAnsi" w:cstheme="minorHAnsi"/>
          <w:lang w:val="en-GB"/>
        </w:rPr>
        <w:t xml:space="preserve"> --centroids </w:t>
      </w:r>
      <w:proofErr w:type="spellStart"/>
      <w:r w:rsidRPr="00EB50F4">
        <w:rPr>
          <w:rFonts w:asciiTheme="minorHAnsi" w:hAnsiTheme="minorHAnsi" w:cstheme="minorHAnsi"/>
          <w:lang w:val="en-GB"/>
        </w:rPr>
        <w:t>otus.fasta</w:t>
      </w:r>
      <w:proofErr w:type="spellEnd"/>
      <w:r w:rsidRPr="00EB50F4">
        <w:rPr>
          <w:rFonts w:asciiTheme="minorHAnsi" w:hAnsiTheme="minorHAnsi" w:cstheme="minorHAnsi"/>
          <w:lang w:val="en-GB"/>
        </w:rPr>
        <w:t xml:space="preserve"> --relabel </w:t>
      </w:r>
      <w:proofErr w:type="spellStart"/>
      <w:r w:rsidRPr="00EB50F4">
        <w:rPr>
          <w:rFonts w:asciiTheme="minorHAnsi" w:hAnsiTheme="minorHAnsi" w:cstheme="minorHAnsi"/>
          <w:lang w:val="en-GB"/>
        </w:rPr>
        <w:t>Otu</w:t>
      </w:r>
      <w:proofErr w:type="spellEnd"/>
      <w:r w:rsidRPr="00EB50F4">
        <w:rPr>
          <w:rFonts w:asciiTheme="minorHAnsi" w:hAnsiTheme="minorHAnsi" w:cstheme="minorHAnsi"/>
          <w:lang w:val="en-GB"/>
        </w:rPr>
        <w:t>. --id 0.97 --</w:t>
      </w:r>
      <w:proofErr w:type="spellStart"/>
      <w:r w:rsidRPr="00EB50F4">
        <w:rPr>
          <w:rFonts w:asciiTheme="minorHAnsi" w:hAnsiTheme="minorHAnsi" w:cstheme="minorHAnsi"/>
          <w:lang w:val="en-GB"/>
        </w:rPr>
        <w:t>sizeout</w:t>
      </w:r>
      <w:proofErr w:type="spellEnd"/>
    </w:p>
    <w:p w14:paraId="14CEDA12"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5E909FBB"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cluster_size</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i/>
          <w:iCs/>
          <w:lang w:val="en-GB"/>
        </w:rPr>
        <w:t>file_</w:t>
      </w:r>
      <w:proofErr w:type="gramStart"/>
      <w:r w:rsidRPr="00EB50F4">
        <w:rPr>
          <w:rFonts w:asciiTheme="minorHAnsi" w:hAnsiTheme="minorHAnsi" w:cstheme="minorHAnsi"/>
          <w:i/>
          <w:iCs/>
          <w:lang w:val="en-GB"/>
        </w:rPr>
        <w:t>name.fasta</w:t>
      </w:r>
      <w:proofErr w:type="spellEnd"/>
      <w:proofErr w:type="gramEnd"/>
      <w:r w:rsidRPr="00EB50F4">
        <w:rPr>
          <w:rFonts w:asciiTheme="minorHAnsi" w:hAnsiTheme="minorHAnsi" w:cstheme="minorHAnsi"/>
          <w:lang w:val="en-GB"/>
        </w:rPr>
        <w:t xml:space="preserve"> : </w:t>
      </w:r>
      <w:proofErr w:type="spellStart"/>
      <w:r w:rsidRPr="00EB50F4">
        <w:rPr>
          <w:rFonts w:asciiTheme="minorHAnsi" w:hAnsiTheme="minorHAnsi" w:cstheme="minorHAnsi"/>
          <w:lang w:val="en-GB"/>
        </w:rPr>
        <w:t>clusterize</w:t>
      </w:r>
      <w:proofErr w:type="spellEnd"/>
      <w:r w:rsidRPr="00EB50F4">
        <w:rPr>
          <w:rFonts w:asciiTheme="minorHAnsi" w:hAnsiTheme="minorHAnsi" w:cstheme="minorHAnsi"/>
          <w:lang w:val="en-GB"/>
        </w:rPr>
        <w:t xml:space="preserve"> the FASTA sequences in filename, automatically sort by decreasing sequence abundance beforehand</w:t>
      </w:r>
    </w:p>
    <w:p w14:paraId="6D4CB5CD" w14:textId="77777777" w:rsidR="00EB50F4" w:rsidRPr="00EB50F4" w:rsidRDefault="00EB50F4" w:rsidP="003C48BC">
      <w:pPr>
        <w:autoSpaceDE w:val="0"/>
        <w:autoSpaceDN w:val="0"/>
        <w:adjustRightInd w:val="0"/>
        <w:rPr>
          <w:rFonts w:asciiTheme="minorHAnsi" w:eastAsiaTheme="minorHAnsi" w:hAnsiTheme="minorHAnsi" w:cstheme="minorHAnsi"/>
          <w:lang w:val="en-GB" w:eastAsia="en-US"/>
        </w:rPr>
      </w:pPr>
      <w:r w:rsidRPr="00EB50F4">
        <w:rPr>
          <w:rFonts w:asciiTheme="minorHAnsi" w:hAnsiTheme="minorHAnsi" w:cstheme="minorHAnsi"/>
          <w:b/>
          <w:bCs/>
          <w:lang w:val="en-GB"/>
        </w:rPr>
        <w:t>--centroids</w:t>
      </w:r>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w:t>
      </w:r>
      <w:r w:rsidRPr="00EB50F4">
        <w:rPr>
          <w:rFonts w:asciiTheme="minorHAnsi" w:eastAsiaTheme="minorHAnsi" w:hAnsiTheme="minorHAnsi" w:cstheme="minorHAnsi"/>
          <w:lang w:val="en-GB" w:eastAsia="en-US"/>
        </w:rPr>
        <w:t xml:space="preserve">output cluster centroid sequences to </w:t>
      </w:r>
      <w:r w:rsidRPr="00EB50F4">
        <w:rPr>
          <w:rFonts w:asciiTheme="minorHAnsi" w:eastAsiaTheme="minorHAnsi" w:hAnsiTheme="minorHAnsi" w:cstheme="minorHAnsi"/>
          <w:i/>
          <w:iCs/>
          <w:lang w:val="en-GB" w:eastAsia="en-US"/>
        </w:rPr>
        <w:t>filename</w:t>
      </w:r>
      <w:r w:rsidRPr="00EB50F4">
        <w:rPr>
          <w:rFonts w:asciiTheme="minorHAnsi" w:eastAsiaTheme="minorHAnsi" w:hAnsiTheme="minorHAnsi" w:cstheme="minorHAnsi"/>
          <w:lang w:val="en-GB" w:eastAsia="en-US"/>
        </w:rPr>
        <w:t xml:space="preserve">, in </w:t>
      </w:r>
      <w:proofErr w:type="spellStart"/>
      <w:r w:rsidRPr="00EB50F4">
        <w:rPr>
          <w:rFonts w:asciiTheme="minorHAnsi" w:eastAsiaTheme="minorHAnsi" w:hAnsiTheme="minorHAnsi" w:cstheme="minorHAnsi"/>
          <w:lang w:val="en-GB" w:eastAsia="en-US"/>
        </w:rPr>
        <w:t>fasta</w:t>
      </w:r>
      <w:proofErr w:type="spellEnd"/>
      <w:r w:rsidRPr="00EB50F4">
        <w:rPr>
          <w:rFonts w:asciiTheme="minorHAnsi" w:eastAsiaTheme="minorHAnsi" w:hAnsiTheme="minorHAnsi" w:cstheme="minorHAnsi"/>
          <w:lang w:val="en-GB" w:eastAsia="en-US"/>
        </w:rPr>
        <w:t xml:space="preserve"> format, i.e., </w:t>
      </w:r>
      <w:proofErr w:type="spellStart"/>
      <w:r w:rsidRPr="00EB50F4">
        <w:rPr>
          <w:rFonts w:asciiTheme="minorHAnsi" w:eastAsiaTheme="minorHAnsi" w:hAnsiTheme="minorHAnsi" w:cstheme="minorHAnsi"/>
          <w:i/>
          <w:iCs/>
          <w:lang w:val="en-GB" w:eastAsia="en-US"/>
        </w:rPr>
        <w:t>otus.fasta</w:t>
      </w:r>
      <w:proofErr w:type="spellEnd"/>
      <w:r w:rsidRPr="00EB50F4">
        <w:rPr>
          <w:rFonts w:asciiTheme="minorHAnsi" w:eastAsiaTheme="minorHAnsi" w:hAnsiTheme="minorHAnsi" w:cstheme="minorHAnsi"/>
          <w:lang w:val="en-GB" w:eastAsia="en-US"/>
        </w:rPr>
        <w:t>. The centroid is the sequence that seeded the cluster (</w:t>
      </w:r>
      <w:proofErr w:type="gramStart"/>
      <w:r w:rsidRPr="00EB50F4">
        <w:rPr>
          <w:rFonts w:asciiTheme="minorHAnsi" w:eastAsiaTheme="minorHAnsi" w:hAnsiTheme="minorHAnsi" w:cstheme="minorHAnsi"/>
          <w:lang w:val="en-GB" w:eastAsia="en-US"/>
        </w:rPr>
        <w:t>i.e.</w:t>
      </w:r>
      <w:proofErr w:type="gramEnd"/>
      <w:r w:rsidRPr="00EB50F4">
        <w:rPr>
          <w:rFonts w:asciiTheme="minorHAnsi" w:eastAsiaTheme="minorHAnsi" w:hAnsiTheme="minorHAnsi" w:cstheme="minorHAnsi"/>
          <w:lang w:val="en-GB" w:eastAsia="en-US"/>
        </w:rPr>
        <w:t xml:space="preserve"> the first sequence of the cluster).</w:t>
      </w:r>
    </w:p>
    <w:p w14:paraId="32E776C1" w14:textId="77777777" w:rsidR="00EB50F4" w:rsidRPr="00EB50F4" w:rsidRDefault="00EB50F4" w:rsidP="003C48BC">
      <w:pPr>
        <w:autoSpaceDE w:val="0"/>
        <w:autoSpaceDN w:val="0"/>
        <w:adjustRightInd w:val="0"/>
        <w:rPr>
          <w:rFonts w:asciiTheme="minorHAnsi" w:eastAsiaTheme="minorHAnsi" w:hAnsiTheme="minorHAnsi" w:cstheme="minorHAnsi"/>
          <w:lang w:val="en-GB" w:eastAsia="en-US"/>
        </w:rPr>
      </w:pPr>
      <w:r w:rsidRPr="00EB50F4">
        <w:rPr>
          <w:rFonts w:asciiTheme="minorHAnsi" w:eastAsiaTheme="minorHAnsi" w:hAnsiTheme="minorHAnsi" w:cstheme="minorHAnsi"/>
          <w:b/>
          <w:bCs/>
          <w:lang w:val="en-GB" w:eastAsia="en-US"/>
        </w:rPr>
        <w:t xml:space="preserve">--relabel </w:t>
      </w:r>
      <w:proofErr w:type="gramStart"/>
      <w:r w:rsidRPr="00EB50F4">
        <w:rPr>
          <w:rFonts w:asciiTheme="minorHAnsi" w:eastAsiaTheme="minorHAnsi" w:hAnsiTheme="minorHAnsi" w:cstheme="minorHAnsi"/>
          <w:i/>
          <w:iCs/>
          <w:lang w:val="en-GB" w:eastAsia="en-US"/>
        </w:rPr>
        <w:t>prefix</w:t>
      </w:r>
      <w:r w:rsidRPr="00EB50F4">
        <w:rPr>
          <w:rFonts w:asciiTheme="minorHAnsi" w:eastAsiaTheme="minorHAnsi" w:hAnsiTheme="minorHAnsi" w:cstheme="minorHAnsi"/>
          <w:b/>
          <w:bCs/>
          <w:lang w:val="en-GB" w:eastAsia="en-US"/>
        </w:rPr>
        <w:t xml:space="preserve"> </w:t>
      </w:r>
      <w:r w:rsidRPr="00EB50F4">
        <w:rPr>
          <w:rFonts w:asciiTheme="minorHAnsi" w:eastAsiaTheme="minorHAnsi" w:hAnsiTheme="minorHAnsi" w:cstheme="minorHAnsi"/>
          <w:lang w:val="en-GB" w:eastAsia="en-US"/>
        </w:rPr>
        <w:t>:</w:t>
      </w:r>
      <w:proofErr w:type="gramEnd"/>
      <w:r w:rsidRPr="00EB50F4">
        <w:rPr>
          <w:rFonts w:asciiTheme="minorHAnsi" w:eastAsiaTheme="minorHAnsi" w:hAnsiTheme="minorHAnsi" w:cstheme="minorHAnsi"/>
          <w:lang w:val="en-GB" w:eastAsia="en-US"/>
        </w:rPr>
        <w:t xml:space="preserve"> Relabel sequence identifiers (i.e., ‘</w:t>
      </w:r>
      <w:proofErr w:type="spellStart"/>
      <w:r w:rsidRPr="00EB50F4">
        <w:rPr>
          <w:rFonts w:asciiTheme="minorHAnsi" w:eastAsiaTheme="minorHAnsi" w:hAnsiTheme="minorHAnsi" w:cstheme="minorHAnsi"/>
          <w:i/>
          <w:iCs/>
          <w:lang w:val="en-GB" w:eastAsia="en-US"/>
        </w:rPr>
        <w:t>Otu</w:t>
      </w:r>
      <w:proofErr w:type="spellEnd"/>
      <w:r w:rsidRPr="00EB50F4">
        <w:rPr>
          <w:rFonts w:asciiTheme="minorHAnsi" w:eastAsiaTheme="minorHAnsi" w:hAnsiTheme="minorHAnsi" w:cstheme="minorHAnsi"/>
          <w:i/>
          <w:iCs/>
          <w:lang w:val="en-GB" w:eastAsia="en-US"/>
        </w:rPr>
        <w:t>.</w:t>
      </w:r>
      <w:r w:rsidRPr="00EB50F4">
        <w:rPr>
          <w:rFonts w:asciiTheme="minorHAnsi" w:eastAsiaTheme="minorHAnsi" w:hAnsiTheme="minorHAnsi" w:cstheme="minorHAnsi"/>
          <w:lang w:val="en-GB" w:eastAsia="en-US"/>
        </w:rPr>
        <w:t>’) in the output files produced by</w:t>
      </w:r>
    </w:p>
    <w:p w14:paraId="74C3988F" w14:textId="77777777" w:rsidR="00EB50F4" w:rsidRPr="00EB50F4" w:rsidRDefault="00EB50F4" w:rsidP="003C48BC">
      <w:pPr>
        <w:autoSpaceDE w:val="0"/>
        <w:autoSpaceDN w:val="0"/>
        <w:adjustRightInd w:val="0"/>
        <w:rPr>
          <w:rFonts w:asciiTheme="minorHAnsi" w:eastAsiaTheme="minorHAnsi" w:hAnsiTheme="minorHAnsi" w:cstheme="minorHAnsi"/>
          <w:lang w:val="en-GB" w:eastAsia="en-US"/>
        </w:rPr>
      </w:pPr>
      <w:r w:rsidRPr="00EB50F4">
        <w:rPr>
          <w:rFonts w:asciiTheme="minorHAnsi" w:eastAsiaTheme="minorHAnsi" w:hAnsiTheme="minorHAnsi" w:cstheme="minorHAnsi"/>
          <w:b/>
          <w:bCs/>
          <w:lang w:val="en-GB" w:eastAsia="en-US"/>
        </w:rPr>
        <w:t>--centroids</w:t>
      </w:r>
      <w:r w:rsidRPr="00EB50F4">
        <w:rPr>
          <w:rFonts w:asciiTheme="minorHAnsi" w:eastAsiaTheme="minorHAnsi" w:hAnsiTheme="minorHAnsi" w:cstheme="minorHAnsi"/>
          <w:lang w:val="en-GB" w:eastAsia="en-US"/>
        </w:rPr>
        <w:t xml:space="preserve">. </w:t>
      </w:r>
    </w:p>
    <w:p w14:paraId="0EC0ACF9" w14:textId="77777777" w:rsidR="00EB50F4" w:rsidRPr="00EB50F4" w:rsidRDefault="00EB50F4" w:rsidP="003C48BC">
      <w:pPr>
        <w:autoSpaceDE w:val="0"/>
        <w:autoSpaceDN w:val="0"/>
        <w:adjustRightInd w:val="0"/>
        <w:rPr>
          <w:rFonts w:asciiTheme="minorHAnsi" w:eastAsiaTheme="minorHAnsi" w:hAnsiTheme="minorHAnsi" w:cstheme="minorHAnsi"/>
          <w:i/>
          <w:iCs/>
          <w:lang w:val="en-GB" w:eastAsia="en-US"/>
        </w:rPr>
      </w:pPr>
      <w:r w:rsidRPr="00EB50F4">
        <w:rPr>
          <w:rFonts w:asciiTheme="minorHAnsi" w:eastAsiaTheme="minorHAnsi" w:hAnsiTheme="minorHAnsi" w:cstheme="minorHAnsi"/>
          <w:b/>
          <w:bCs/>
          <w:lang w:val="en-GB" w:eastAsia="en-US"/>
        </w:rPr>
        <w:t>--id</w:t>
      </w:r>
      <w:r w:rsidRPr="00EB50F4">
        <w:rPr>
          <w:rFonts w:asciiTheme="minorHAnsi" w:eastAsiaTheme="minorHAnsi" w:hAnsiTheme="minorHAnsi" w:cstheme="minorHAnsi"/>
          <w:lang w:val="en-GB" w:eastAsia="en-US"/>
        </w:rPr>
        <w:t xml:space="preserve"> </w:t>
      </w:r>
      <w:proofErr w:type="gramStart"/>
      <w:r w:rsidRPr="00EB50F4">
        <w:rPr>
          <w:rFonts w:asciiTheme="minorHAnsi" w:eastAsiaTheme="minorHAnsi" w:hAnsiTheme="minorHAnsi" w:cstheme="minorHAnsi"/>
          <w:i/>
          <w:iCs/>
          <w:lang w:val="en-GB" w:eastAsia="en-US"/>
        </w:rPr>
        <w:t>value</w:t>
      </w:r>
      <w:r w:rsidRPr="00EB50F4">
        <w:rPr>
          <w:rFonts w:asciiTheme="minorHAnsi" w:eastAsiaTheme="minorHAnsi" w:hAnsiTheme="minorHAnsi" w:cstheme="minorHAnsi"/>
          <w:lang w:val="en-GB" w:eastAsia="en-US"/>
        </w:rPr>
        <w:t xml:space="preserve"> :</w:t>
      </w:r>
      <w:proofErr w:type="gramEnd"/>
      <w:r w:rsidRPr="00EB50F4">
        <w:rPr>
          <w:rFonts w:asciiTheme="minorHAnsi" w:eastAsiaTheme="minorHAnsi" w:hAnsiTheme="minorHAnsi" w:cstheme="minorHAnsi"/>
          <w:lang w:val="en-GB" w:eastAsia="en-US"/>
        </w:rPr>
        <w:t xml:space="preserve"> Reject the sequence match if the </w:t>
      </w:r>
      <w:proofErr w:type="spellStart"/>
      <w:r w:rsidRPr="00EB50F4">
        <w:rPr>
          <w:rFonts w:asciiTheme="minorHAnsi" w:eastAsiaTheme="minorHAnsi" w:hAnsiTheme="minorHAnsi" w:cstheme="minorHAnsi"/>
          <w:lang w:val="en-GB" w:eastAsia="en-US"/>
        </w:rPr>
        <w:t>pairwaise</w:t>
      </w:r>
      <w:proofErr w:type="spellEnd"/>
      <w:r w:rsidRPr="00EB50F4">
        <w:rPr>
          <w:rFonts w:asciiTheme="minorHAnsi" w:eastAsiaTheme="minorHAnsi" w:hAnsiTheme="minorHAnsi" w:cstheme="minorHAnsi"/>
          <w:lang w:val="en-GB" w:eastAsia="en-US"/>
        </w:rPr>
        <w:t xml:space="preserve"> identity is lower than the specified value (value ranging from 0.0 to 1.0), i.e., </w:t>
      </w:r>
      <w:r w:rsidRPr="00EB50F4">
        <w:rPr>
          <w:rFonts w:asciiTheme="minorHAnsi" w:eastAsiaTheme="minorHAnsi" w:hAnsiTheme="minorHAnsi" w:cstheme="minorHAnsi"/>
          <w:i/>
          <w:iCs/>
          <w:lang w:val="en-GB" w:eastAsia="en-US"/>
        </w:rPr>
        <w:t>0.97</w:t>
      </w:r>
    </w:p>
    <w:p w14:paraId="10B88C39" w14:textId="77777777" w:rsidR="00EB50F4" w:rsidRPr="00EB50F4" w:rsidRDefault="00EB50F4" w:rsidP="003C48BC">
      <w:pPr>
        <w:autoSpaceDE w:val="0"/>
        <w:autoSpaceDN w:val="0"/>
        <w:adjustRightInd w:val="0"/>
        <w:rPr>
          <w:rFonts w:asciiTheme="minorHAnsi" w:eastAsiaTheme="minorHAnsi" w:hAnsiTheme="minorHAnsi" w:cstheme="minorHAnsi"/>
          <w:lang w:val="en-GB" w:eastAsia="en-US"/>
        </w:rPr>
      </w:pPr>
      <w:r w:rsidRPr="00EB50F4">
        <w:rPr>
          <w:rFonts w:asciiTheme="minorHAnsi" w:eastAsiaTheme="minorHAnsi" w:hAnsiTheme="minorHAnsi" w:cstheme="minorHAnsi"/>
          <w:b/>
          <w:bCs/>
          <w:lang w:val="en-GB" w:eastAsia="en-US"/>
        </w:rPr>
        <w:t>--</w:t>
      </w:r>
      <w:proofErr w:type="spellStart"/>
      <w:proofErr w:type="gramStart"/>
      <w:r w:rsidRPr="00EB50F4">
        <w:rPr>
          <w:rFonts w:asciiTheme="minorHAnsi" w:eastAsiaTheme="minorHAnsi" w:hAnsiTheme="minorHAnsi" w:cstheme="minorHAnsi"/>
          <w:b/>
          <w:bCs/>
          <w:lang w:val="en-GB" w:eastAsia="en-US"/>
        </w:rPr>
        <w:t>sizeout</w:t>
      </w:r>
      <w:proofErr w:type="spellEnd"/>
      <w:r w:rsidRPr="00EB50F4">
        <w:rPr>
          <w:rFonts w:asciiTheme="minorHAnsi" w:eastAsiaTheme="minorHAnsi" w:hAnsiTheme="minorHAnsi" w:cstheme="minorHAnsi"/>
          <w:b/>
          <w:bCs/>
          <w:lang w:val="en-GB" w:eastAsia="en-US"/>
        </w:rPr>
        <w:t xml:space="preserve"> </w:t>
      </w:r>
      <w:r w:rsidRPr="00EB50F4">
        <w:rPr>
          <w:rFonts w:asciiTheme="minorHAnsi" w:eastAsiaTheme="minorHAnsi" w:hAnsiTheme="minorHAnsi" w:cstheme="minorHAnsi"/>
          <w:lang w:val="en-GB" w:eastAsia="en-US"/>
        </w:rPr>
        <w:t>:</w:t>
      </w:r>
      <w:proofErr w:type="gramEnd"/>
      <w:r w:rsidRPr="00EB50F4">
        <w:rPr>
          <w:rFonts w:asciiTheme="minorHAnsi" w:eastAsiaTheme="minorHAnsi" w:hAnsiTheme="minorHAnsi" w:cstheme="minorHAnsi"/>
          <w:b/>
          <w:bCs/>
          <w:lang w:val="en-GB" w:eastAsia="en-US"/>
        </w:rPr>
        <w:t xml:space="preserve"> </w:t>
      </w:r>
      <w:r w:rsidRPr="00EB50F4">
        <w:rPr>
          <w:rFonts w:asciiTheme="minorHAnsi" w:eastAsiaTheme="minorHAnsi" w:hAnsiTheme="minorHAnsi" w:cstheme="minorHAnsi"/>
          <w:lang w:val="en-GB" w:eastAsia="en-US"/>
        </w:rPr>
        <w:t>Add abundance annotations to the output file</w:t>
      </w:r>
    </w:p>
    <w:p w14:paraId="12E8304A" w14:textId="77777777" w:rsidR="00EB50F4" w:rsidRPr="00EB50F4" w:rsidRDefault="00EB50F4" w:rsidP="003C48BC">
      <w:pPr>
        <w:autoSpaceDE w:val="0"/>
        <w:autoSpaceDN w:val="0"/>
        <w:adjustRightInd w:val="0"/>
        <w:rPr>
          <w:rFonts w:asciiTheme="minorHAnsi" w:eastAsiaTheme="minorHAnsi" w:hAnsiTheme="minorHAnsi" w:cstheme="minorHAnsi"/>
          <w:lang w:val="en-GB" w:eastAsia="en-US"/>
        </w:rPr>
      </w:pPr>
    </w:p>
    <w:p w14:paraId="7091489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6. Find and remove chimera sequences</w:t>
      </w:r>
    </w:p>
    <w:p w14:paraId="109AD48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1ED7E256" w14:textId="77777777" w:rsidR="00EB50F4" w:rsidRPr="00EB50F4" w:rsidRDefault="00EB50F4" w:rsidP="003C48BC">
      <w:pPr>
        <w:rPr>
          <w:rFonts w:asciiTheme="minorHAnsi" w:hAnsiTheme="minorHAnsi" w:cstheme="minorHAnsi"/>
          <w:lang w:val="es-CL"/>
        </w:rPr>
      </w:pPr>
      <w:proofErr w:type="spellStart"/>
      <w:r w:rsidRPr="00EB50F4">
        <w:rPr>
          <w:rFonts w:asciiTheme="minorHAnsi" w:hAnsiTheme="minorHAnsi" w:cstheme="minorHAnsi"/>
          <w:lang w:val="es-CL"/>
        </w:rPr>
        <w:t>vsearch</w:t>
      </w:r>
      <w:proofErr w:type="spellEnd"/>
      <w:r w:rsidRPr="00EB50F4">
        <w:rPr>
          <w:rFonts w:asciiTheme="minorHAnsi" w:hAnsiTheme="minorHAnsi" w:cstheme="minorHAnsi"/>
          <w:lang w:val="es-CL"/>
        </w:rPr>
        <w:t xml:space="preserve"> --uchime3_denovo </w:t>
      </w:r>
      <w:proofErr w:type="spellStart"/>
      <w:r w:rsidRPr="00EB50F4">
        <w:rPr>
          <w:rFonts w:asciiTheme="minorHAnsi" w:hAnsiTheme="minorHAnsi" w:cstheme="minorHAnsi"/>
          <w:lang w:val="es-CL"/>
        </w:rPr>
        <w:t>otus.fasta</w:t>
      </w:r>
      <w:proofErr w:type="spellEnd"/>
      <w:r w:rsidRPr="00EB50F4">
        <w:rPr>
          <w:rFonts w:asciiTheme="minorHAnsi" w:hAnsiTheme="minorHAnsi" w:cstheme="minorHAnsi"/>
          <w:lang w:val="es-CL"/>
        </w:rPr>
        <w:t xml:space="preserve"> --</w:t>
      </w:r>
      <w:proofErr w:type="spellStart"/>
      <w:r w:rsidRPr="00EB50F4">
        <w:rPr>
          <w:rFonts w:asciiTheme="minorHAnsi" w:hAnsiTheme="minorHAnsi" w:cstheme="minorHAnsi"/>
          <w:lang w:val="es-CL"/>
        </w:rPr>
        <w:t>nonchimeras</w:t>
      </w:r>
      <w:proofErr w:type="spellEnd"/>
      <w:r w:rsidRPr="00EB50F4">
        <w:rPr>
          <w:rFonts w:asciiTheme="minorHAnsi" w:hAnsiTheme="minorHAnsi" w:cstheme="minorHAnsi"/>
          <w:lang w:val="es-CL"/>
        </w:rPr>
        <w:t xml:space="preserve"> </w:t>
      </w:r>
      <w:proofErr w:type="spellStart"/>
      <w:r w:rsidRPr="00EB50F4">
        <w:rPr>
          <w:rFonts w:asciiTheme="minorHAnsi" w:hAnsiTheme="minorHAnsi" w:cstheme="minorHAnsi"/>
          <w:lang w:val="es-CL"/>
        </w:rPr>
        <w:t>otus_chimeras_removed.fasta</w:t>
      </w:r>
      <w:proofErr w:type="spellEnd"/>
      <w:r w:rsidRPr="00EB50F4">
        <w:rPr>
          <w:rFonts w:asciiTheme="minorHAnsi" w:hAnsiTheme="minorHAnsi" w:cstheme="minorHAnsi"/>
          <w:lang w:val="es-CL"/>
        </w:rPr>
        <w:t xml:space="preserve"> --</w:t>
      </w:r>
      <w:proofErr w:type="spellStart"/>
      <w:r w:rsidRPr="00EB50F4">
        <w:rPr>
          <w:rFonts w:asciiTheme="minorHAnsi" w:hAnsiTheme="minorHAnsi" w:cstheme="minorHAnsi"/>
          <w:lang w:val="es-CL"/>
        </w:rPr>
        <w:t>chimeras</w:t>
      </w:r>
      <w:proofErr w:type="spellEnd"/>
      <w:r w:rsidRPr="00EB50F4">
        <w:rPr>
          <w:rFonts w:asciiTheme="minorHAnsi" w:hAnsiTheme="minorHAnsi" w:cstheme="minorHAnsi"/>
          <w:lang w:val="es-CL"/>
        </w:rPr>
        <w:t xml:space="preserve"> </w:t>
      </w:r>
      <w:proofErr w:type="spellStart"/>
      <w:r w:rsidRPr="00EB50F4">
        <w:rPr>
          <w:rFonts w:asciiTheme="minorHAnsi" w:hAnsiTheme="minorHAnsi" w:cstheme="minorHAnsi"/>
          <w:lang w:val="es-CL"/>
        </w:rPr>
        <w:t>chimeras.fasta</w:t>
      </w:r>
      <w:proofErr w:type="spellEnd"/>
    </w:p>
    <w:p w14:paraId="5B12C5EC"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 </w:t>
      </w:r>
    </w:p>
    <w:p w14:paraId="7A3FCFEA"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--uchime3_denovo</w:t>
      </w:r>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detect chimeras present in the FASTA-formatted file (i.e., </w:t>
      </w:r>
      <w:proofErr w:type="spellStart"/>
      <w:r w:rsidRPr="00EB50F4">
        <w:rPr>
          <w:rFonts w:asciiTheme="minorHAnsi" w:hAnsiTheme="minorHAnsi" w:cstheme="minorHAnsi"/>
          <w:i/>
          <w:iCs/>
          <w:lang w:val="en-GB"/>
        </w:rPr>
        <w:t>otus.fasta</w:t>
      </w:r>
      <w:proofErr w:type="spellEnd"/>
      <w:r w:rsidRPr="00EB50F4">
        <w:rPr>
          <w:rFonts w:asciiTheme="minorHAnsi" w:hAnsiTheme="minorHAnsi" w:cstheme="minorHAnsi"/>
          <w:lang w:val="en-GB"/>
        </w:rPr>
        <w:t xml:space="preserve">), using the UCHIME2 algorithm. The default minimum abundance skew value is 16.0, which means that the parents should be at least 16 times more abundant than their chimera. </w:t>
      </w:r>
    </w:p>
    <w:p w14:paraId="7D183466"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nonchimeras</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output non-chimeric sequences to </w:t>
      </w:r>
      <w:r w:rsidRPr="00EB50F4">
        <w:rPr>
          <w:rFonts w:asciiTheme="minorHAnsi" w:hAnsiTheme="minorHAnsi" w:cstheme="minorHAnsi"/>
          <w:i/>
          <w:iCs/>
          <w:lang w:val="en-GB"/>
        </w:rPr>
        <w:t xml:space="preserve">filename </w:t>
      </w:r>
      <w:r w:rsidRPr="00EB50F4">
        <w:rPr>
          <w:rFonts w:asciiTheme="minorHAnsi" w:hAnsiTheme="minorHAnsi" w:cstheme="minorHAnsi"/>
          <w:lang w:val="en-GB"/>
        </w:rPr>
        <w:t xml:space="preserve">in FASTA format, i.e., </w:t>
      </w:r>
      <w:proofErr w:type="spellStart"/>
      <w:r w:rsidRPr="00EB50F4">
        <w:rPr>
          <w:rFonts w:asciiTheme="minorHAnsi" w:hAnsiTheme="minorHAnsi" w:cstheme="minorHAnsi"/>
          <w:i/>
          <w:iCs/>
          <w:lang w:val="en-GB"/>
        </w:rPr>
        <w:t>otus_chimeras_removed.fasta</w:t>
      </w:r>
      <w:proofErr w:type="spellEnd"/>
    </w:p>
    <w:p w14:paraId="249F1894" w14:textId="77777777" w:rsidR="00EB50F4" w:rsidRPr="00EB50F4" w:rsidRDefault="00EB50F4" w:rsidP="003C48BC">
      <w:pPr>
        <w:rPr>
          <w:rFonts w:asciiTheme="minorHAnsi" w:hAnsiTheme="minorHAnsi" w:cstheme="minorHAnsi"/>
          <w:i/>
          <w:iCs/>
          <w:lang w:val="en-GB"/>
        </w:rPr>
      </w:pPr>
      <w:r w:rsidRPr="00EB50F4">
        <w:rPr>
          <w:rFonts w:asciiTheme="minorHAnsi" w:hAnsiTheme="minorHAnsi" w:cstheme="minorHAnsi"/>
          <w:b/>
          <w:bCs/>
          <w:lang w:val="en-GB"/>
        </w:rPr>
        <w:t>--chimeras</w:t>
      </w:r>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lang w:val="en-GB"/>
        </w:rPr>
        <w:t xml:space="preserve"> : output chimeric sequences to </w:t>
      </w:r>
      <w:r w:rsidRPr="00EB50F4">
        <w:rPr>
          <w:rFonts w:asciiTheme="minorHAnsi" w:hAnsiTheme="minorHAnsi" w:cstheme="minorHAnsi"/>
          <w:i/>
          <w:iCs/>
          <w:lang w:val="en-GB"/>
        </w:rPr>
        <w:t>filename</w:t>
      </w:r>
      <w:r w:rsidRPr="00EB50F4">
        <w:rPr>
          <w:rFonts w:asciiTheme="minorHAnsi" w:hAnsiTheme="minorHAnsi" w:cstheme="minorHAnsi"/>
          <w:lang w:val="en-GB"/>
        </w:rPr>
        <w:t xml:space="preserve"> in FASTA format, i.e., </w:t>
      </w:r>
      <w:proofErr w:type="spellStart"/>
      <w:r w:rsidRPr="00EB50F4">
        <w:rPr>
          <w:rFonts w:asciiTheme="minorHAnsi" w:hAnsiTheme="minorHAnsi" w:cstheme="minorHAnsi"/>
          <w:i/>
          <w:iCs/>
          <w:lang w:val="en-GB"/>
        </w:rPr>
        <w:t>chimeras.fasta</w:t>
      </w:r>
      <w:proofErr w:type="spellEnd"/>
    </w:p>
    <w:p w14:paraId="067EB26C" w14:textId="77777777" w:rsidR="00EB50F4" w:rsidRPr="00EB50F4" w:rsidRDefault="00EB50F4" w:rsidP="003C48BC">
      <w:pPr>
        <w:rPr>
          <w:rFonts w:asciiTheme="minorHAnsi" w:hAnsiTheme="minorHAnsi" w:cstheme="minorHAnsi"/>
          <w:lang w:val="en-GB"/>
        </w:rPr>
      </w:pPr>
    </w:p>
    <w:p w14:paraId="458F85BE"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7. Generate OTU table</w:t>
      </w:r>
    </w:p>
    <w:p w14:paraId="2E0A9FD1"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68A1EDF0" w14:textId="77777777" w:rsidR="00EB50F4" w:rsidRPr="00EB50F4" w:rsidRDefault="00EB50F4" w:rsidP="003C48BC">
      <w:pPr>
        <w:rPr>
          <w:rFonts w:asciiTheme="minorHAnsi" w:hAnsiTheme="minorHAnsi" w:cstheme="minorHAnsi"/>
          <w:lang w:val="en-GB"/>
        </w:rPr>
      </w:pPr>
      <w:proofErr w:type="spellStart"/>
      <w:r w:rsidRPr="00EB50F4">
        <w:rPr>
          <w:rFonts w:asciiTheme="minorHAnsi" w:hAnsiTheme="minorHAnsi" w:cstheme="minorHAnsi"/>
          <w:lang w:val="en-GB"/>
        </w:rPr>
        <w:t>vsearch</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usearch_global</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lang w:val="en-GB"/>
        </w:rPr>
        <w:t>filtered.fasta</w:t>
      </w:r>
      <w:proofErr w:type="spellEnd"/>
      <w:proofErr w:type="gram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db</w:t>
      </w:r>
      <w:proofErr w:type="spellEnd"/>
      <w:r w:rsidRPr="00EB50F4">
        <w:rPr>
          <w:rFonts w:asciiTheme="minorHAnsi" w:hAnsiTheme="minorHAnsi" w:cstheme="minorHAnsi"/>
          <w:lang w:val="en-GB"/>
        </w:rPr>
        <w:t xml:space="preserve"> </w:t>
      </w:r>
      <w:proofErr w:type="spellStart"/>
      <w:r w:rsidRPr="00EB50F4">
        <w:rPr>
          <w:rFonts w:asciiTheme="minorHAnsi" w:hAnsiTheme="minorHAnsi" w:cstheme="minorHAnsi"/>
          <w:lang w:val="en-GB"/>
        </w:rPr>
        <w:t>otus_chimeras_removed.fasta</w:t>
      </w:r>
      <w:proofErr w:type="spellEnd"/>
      <w:r w:rsidRPr="00EB50F4">
        <w:rPr>
          <w:rFonts w:asciiTheme="minorHAnsi" w:hAnsiTheme="minorHAnsi" w:cstheme="minorHAnsi"/>
          <w:lang w:val="en-GB"/>
        </w:rPr>
        <w:t xml:space="preserve"> --strand plus --</w:t>
      </w:r>
      <w:proofErr w:type="spellStart"/>
      <w:r w:rsidRPr="00EB50F4">
        <w:rPr>
          <w:rFonts w:asciiTheme="minorHAnsi" w:hAnsiTheme="minorHAnsi" w:cstheme="minorHAnsi"/>
          <w:lang w:val="en-GB"/>
        </w:rPr>
        <w:t>otutabout</w:t>
      </w:r>
      <w:proofErr w:type="spellEnd"/>
      <w:r w:rsidRPr="00EB50F4">
        <w:rPr>
          <w:rFonts w:asciiTheme="minorHAnsi" w:hAnsiTheme="minorHAnsi" w:cstheme="minorHAnsi"/>
          <w:lang w:val="en-GB"/>
        </w:rPr>
        <w:t xml:space="preserve"> otutable.txt --id 0.97</w:t>
      </w:r>
    </w:p>
    <w:p w14:paraId="2732084D"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w:t>
      </w:r>
    </w:p>
    <w:p w14:paraId="45752BF8"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usearch_global</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lang w:val="en-GB"/>
        </w:rPr>
        <w:t xml:space="preserve"> : compare target sequences (i.e., </w:t>
      </w:r>
      <w:proofErr w:type="spellStart"/>
      <w:r w:rsidRPr="00EB50F4">
        <w:rPr>
          <w:rFonts w:asciiTheme="minorHAnsi" w:hAnsiTheme="minorHAnsi" w:cstheme="minorHAnsi"/>
          <w:i/>
          <w:iCs/>
          <w:lang w:val="en-GB"/>
        </w:rPr>
        <w:t>otus_chimeras_removed.fasa</w:t>
      </w:r>
      <w:proofErr w:type="spellEnd"/>
      <w:r w:rsidRPr="00EB50F4">
        <w:rPr>
          <w:rFonts w:asciiTheme="minorHAnsi" w:hAnsiTheme="minorHAnsi" w:cstheme="minorHAnsi"/>
          <w:i/>
          <w:iCs/>
          <w:lang w:val="en-GB"/>
        </w:rPr>
        <w:t>; --</w:t>
      </w:r>
      <w:proofErr w:type="spellStart"/>
      <w:r w:rsidRPr="00EB50F4">
        <w:rPr>
          <w:rFonts w:asciiTheme="minorHAnsi" w:hAnsiTheme="minorHAnsi" w:cstheme="minorHAnsi"/>
          <w:i/>
          <w:iCs/>
          <w:lang w:val="en-GB"/>
        </w:rPr>
        <w:t>db</w:t>
      </w:r>
      <w:proofErr w:type="spellEnd"/>
      <w:r w:rsidRPr="00EB50F4">
        <w:rPr>
          <w:rFonts w:asciiTheme="minorHAnsi" w:hAnsiTheme="minorHAnsi" w:cstheme="minorHAnsi"/>
          <w:lang w:val="en-GB"/>
        </w:rPr>
        <w:t xml:space="preserve">) to the FASTA-formatted query sequences contained in </w:t>
      </w:r>
      <w:proofErr w:type="spellStart"/>
      <w:r w:rsidRPr="00EB50F4">
        <w:rPr>
          <w:rFonts w:asciiTheme="minorHAnsi" w:hAnsiTheme="minorHAnsi" w:cstheme="minorHAnsi"/>
          <w:i/>
          <w:iCs/>
          <w:lang w:val="en-GB"/>
        </w:rPr>
        <w:t>filename</w:t>
      </w:r>
      <w:r w:rsidRPr="00EB50F4">
        <w:rPr>
          <w:rFonts w:asciiTheme="minorHAnsi" w:hAnsiTheme="minorHAnsi" w:cstheme="minorHAnsi"/>
          <w:lang w:val="en-GB"/>
        </w:rPr>
        <w:t>.</w:t>
      </w:r>
      <w:r w:rsidRPr="00EB50F4">
        <w:rPr>
          <w:rFonts w:asciiTheme="minorHAnsi" w:hAnsiTheme="minorHAnsi" w:cstheme="minorHAnsi"/>
          <w:i/>
          <w:iCs/>
          <w:lang w:val="en-GB"/>
        </w:rPr>
        <w:t>fasta</w:t>
      </w:r>
      <w:proofErr w:type="spellEnd"/>
      <w:r w:rsidRPr="00EB50F4">
        <w:rPr>
          <w:rFonts w:asciiTheme="minorHAnsi" w:hAnsiTheme="minorHAnsi" w:cstheme="minorHAnsi"/>
          <w:lang w:val="en-GB"/>
        </w:rPr>
        <w:t xml:space="preserve"> (i.e., </w:t>
      </w:r>
      <w:proofErr w:type="spellStart"/>
      <w:r w:rsidRPr="00EB50F4">
        <w:rPr>
          <w:rFonts w:asciiTheme="minorHAnsi" w:hAnsiTheme="minorHAnsi" w:cstheme="minorHAnsi"/>
          <w:i/>
          <w:iCs/>
          <w:lang w:val="en-GB"/>
        </w:rPr>
        <w:t>filtered.fasta</w:t>
      </w:r>
      <w:proofErr w:type="spellEnd"/>
      <w:r w:rsidRPr="00EB50F4">
        <w:rPr>
          <w:rFonts w:asciiTheme="minorHAnsi" w:hAnsiTheme="minorHAnsi" w:cstheme="minorHAnsi"/>
          <w:lang w:val="en-GB"/>
        </w:rPr>
        <w:t>), using global pairwise alignment</w:t>
      </w:r>
    </w:p>
    <w:p w14:paraId="3B249333" w14:textId="77777777" w:rsidR="00EB50F4" w:rsidRPr="00EB50F4" w:rsidRDefault="00EB50F4" w:rsidP="003C48BC">
      <w:pPr>
        <w:autoSpaceDE w:val="0"/>
        <w:autoSpaceDN w:val="0"/>
        <w:adjustRightInd w:val="0"/>
        <w:rPr>
          <w:rFonts w:asciiTheme="minorHAnsi" w:eastAsiaTheme="minorHAnsi" w:hAnsiTheme="minorHAnsi" w:cstheme="minorHAnsi"/>
          <w:lang w:val="en-GB" w:eastAsia="en-US"/>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db</w:t>
      </w:r>
      <w:proofErr w:type="spellEnd"/>
      <w:r w:rsidRPr="00EB50F4">
        <w:rPr>
          <w:rFonts w:asciiTheme="minorHAnsi" w:hAnsiTheme="minorHAnsi" w:cstheme="minorHAnsi"/>
          <w:lang w:val="en-GB"/>
        </w:rPr>
        <w:t xml:space="preserve"> </w:t>
      </w:r>
      <w:proofErr w:type="spellStart"/>
      <w:proofErr w:type="gramStart"/>
      <w:r w:rsidRPr="00EB50F4">
        <w:rPr>
          <w:rFonts w:asciiTheme="minorHAnsi" w:hAnsiTheme="minorHAnsi" w:cstheme="minorHAnsi"/>
          <w:i/>
          <w:iCs/>
          <w:lang w:val="en-GB"/>
        </w:rPr>
        <w:t>filename.fasta</w:t>
      </w:r>
      <w:proofErr w:type="spellEnd"/>
      <w:proofErr w:type="gramEnd"/>
      <w:r w:rsidRPr="00EB50F4">
        <w:rPr>
          <w:rFonts w:asciiTheme="minorHAnsi" w:hAnsiTheme="minorHAnsi" w:cstheme="minorHAnsi"/>
          <w:i/>
          <w:iCs/>
          <w:lang w:val="en-GB"/>
        </w:rPr>
        <w:t xml:space="preserve"> </w:t>
      </w:r>
      <w:r w:rsidRPr="00EB50F4">
        <w:rPr>
          <w:rFonts w:asciiTheme="minorHAnsi" w:hAnsiTheme="minorHAnsi" w:cstheme="minorHAnsi"/>
          <w:lang w:val="en-GB"/>
        </w:rPr>
        <w:t xml:space="preserve">: </w:t>
      </w:r>
      <w:r w:rsidRPr="00EB50F4">
        <w:rPr>
          <w:rFonts w:asciiTheme="minorHAnsi" w:eastAsiaTheme="minorHAnsi" w:hAnsiTheme="minorHAnsi" w:cstheme="minorHAnsi"/>
          <w:lang w:val="en-GB" w:eastAsia="en-US"/>
        </w:rPr>
        <w:t xml:space="preserve">Compare query sequences specified with </w:t>
      </w:r>
      <w:r w:rsidRPr="00EB50F4">
        <w:rPr>
          <w:rFonts w:asciiTheme="minorHAnsi" w:eastAsiaTheme="minorHAnsi" w:hAnsiTheme="minorHAnsi" w:cstheme="minorHAnsi"/>
          <w:i/>
          <w:iCs/>
          <w:lang w:val="en-GB" w:eastAsia="en-US"/>
        </w:rPr>
        <w:t>--</w:t>
      </w:r>
      <w:proofErr w:type="spellStart"/>
      <w:r w:rsidRPr="00EB50F4">
        <w:rPr>
          <w:rFonts w:asciiTheme="minorHAnsi" w:eastAsiaTheme="minorHAnsi" w:hAnsiTheme="minorHAnsi" w:cstheme="minorHAnsi"/>
          <w:i/>
          <w:iCs/>
          <w:lang w:val="en-GB" w:eastAsia="en-US"/>
        </w:rPr>
        <w:t>usearch_global</w:t>
      </w:r>
      <w:proofErr w:type="spellEnd"/>
      <w:r w:rsidRPr="00EB50F4">
        <w:rPr>
          <w:rFonts w:asciiTheme="minorHAnsi" w:eastAsiaTheme="minorHAnsi" w:hAnsiTheme="minorHAnsi" w:cstheme="minorHAnsi"/>
          <w:lang w:val="en-GB" w:eastAsia="en-US"/>
        </w:rPr>
        <w:t xml:space="preserve"> (i.e., </w:t>
      </w:r>
      <w:proofErr w:type="spellStart"/>
      <w:r w:rsidRPr="00EB50F4">
        <w:rPr>
          <w:rFonts w:asciiTheme="minorHAnsi" w:eastAsiaTheme="minorHAnsi" w:hAnsiTheme="minorHAnsi" w:cstheme="minorHAnsi"/>
          <w:i/>
          <w:iCs/>
          <w:lang w:val="en-GB" w:eastAsia="en-US"/>
        </w:rPr>
        <w:t>filtered.fasta</w:t>
      </w:r>
      <w:proofErr w:type="spellEnd"/>
      <w:r w:rsidRPr="00EB50F4">
        <w:rPr>
          <w:rFonts w:asciiTheme="minorHAnsi" w:eastAsiaTheme="minorHAnsi" w:hAnsiTheme="minorHAnsi" w:cstheme="minorHAnsi"/>
          <w:lang w:val="en-GB" w:eastAsia="en-US"/>
        </w:rPr>
        <w:t xml:space="preserve">) to the FASTA-formatted target sequences contained in </w:t>
      </w:r>
      <w:proofErr w:type="spellStart"/>
      <w:r w:rsidRPr="00EB50F4">
        <w:rPr>
          <w:rFonts w:asciiTheme="minorHAnsi" w:eastAsiaTheme="minorHAnsi" w:hAnsiTheme="minorHAnsi" w:cstheme="minorHAnsi"/>
          <w:i/>
          <w:iCs/>
          <w:lang w:val="en-GB" w:eastAsia="en-US"/>
        </w:rPr>
        <w:t>filename.fasta</w:t>
      </w:r>
      <w:proofErr w:type="spellEnd"/>
      <w:r w:rsidRPr="00EB50F4">
        <w:rPr>
          <w:rFonts w:asciiTheme="minorHAnsi" w:eastAsiaTheme="minorHAnsi" w:hAnsiTheme="minorHAnsi" w:cstheme="minorHAnsi"/>
          <w:i/>
          <w:iCs/>
          <w:lang w:val="en-GB" w:eastAsia="en-US"/>
        </w:rPr>
        <w:t xml:space="preserve"> </w:t>
      </w:r>
      <w:r w:rsidRPr="00EB50F4">
        <w:rPr>
          <w:rFonts w:asciiTheme="minorHAnsi" w:hAnsiTheme="minorHAnsi" w:cstheme="minorHAnsi"/>
          <w:lang w:val="en-GB"/>
        </w:rPr>
        <w:t xml:space="preserve">(i.e., </w:t>
      </w:r>
      <w:proofErr w:type="spellStart"/>
      <w:r w:rsidRPr="00EB50F4">
        <w:rPr>
          <w:rFonts w:asciiTheme="minorHAnsi" w:hAnsiTheme="minorHAnsi" w:cstheme="minorHAnsi"/>
          <w:i/>
          <w:iCs/>
          <w:lang w:val="en-GB"/>
        </w:rPr>
        <w:t>otus_chimeras_removed.fasa</w:t>
      </w:r>
      <w:proofErr w:type="spellEnd"/>
      <w:r w:rsidRPr="00EB50F4">
        <w:rPr>
          <w:rFonts w:asciiTheme="minorHAnsi" w:hAnsiTheme="minorHAnsi" w:cstheme="minorHAnsi"/>
          <w:i/>
          <w:iCs/>
          <w:lang w:val="en-GB"/>
        </w:rPr>
        <w:t>)</w:t>
      </w:r>
      <w:r w:rsidRPr="00EB50F4">
        <w:rPr>
          <w:rFonts w:asciiTheme="minorHAnsi" w:eastAsiaTheme="minorHAnsi" w:hAnsiTheme="minorHAnsi" w:cstheme="minorHAnsi"/>
          <w:lang w:val="en-GB" w:eastAsia="en-US"/>
        </w:rPr>
        <w:t xml:space="preserve">, using global pairwise alignment. </w:t>
      </w:r>
    </w:p>
    <w:p w14:paraId="052FD7A9" w14:textId="77777777" w:rsidR="00EB50F4" w:rsidRPr="00EB50F4" w:rsidRDefault="00EB50F4" w:rsidP="003C48BC">
      <w:pPr>
        <w:autoSpaceDE w:val="0"/>
        <w:autoSpaceDN w:val="0"/>
        <w:adjustRightInd w:val="0"/>
        <w:rPr>
          <w:rFonts w:asciiTheme="minorHAnsi" w:hAnsiTheme="minorHAnsi" w:cstheme="minorHAnsi"/>
          <w:lang w:val="en-GB"/>
        </w:rPr>
      </w:pPr>
      <w:r w:rsidRPr="00EB50F4">
        <w:rPr>
          <w:rFonts w:asciiTheme="minorHAnsi" w:eastAsiaTheme="minorHAnsi" w:hAnsiTheme="minorHAnsi" w:cstheme="minorHAnsi"/>
          <w:b/>
          <w:bCs/>
          <w:lang w:val="en-GB" w:eastAsia="en-US"/>
        </w:rPr>
        <w:t xml:space="preserve">--strand </w:t>
      </w:r>
      <w:proofErr w:type="gramStart"/>
      <w:r w:rsidRPr="00EB50F4">
        <w:rPr>
          <w:rFonts w:asciiTheme="minorHAnsi" w:eastAsiaTheme="minorHAnsi" w:hAnsiTheme="minorHAnsi" w:cstheme="minorHAnsi"/>
          <w:i/>
          <w:iCs/>
          <w:lang w:val="en-GB" w:eastAsia="en-US"/>
        </w:rPr>
        <w:t>plus</w:t>
      </w:r>
      <w:r w:rsidRPr="00EB50F4">
        <w:rPr>
          <w:rFonts w:asciiTheme="minorHAnsi" w:eastAsiaTheme="minorHAnsi" w:hAnsiTheme="minorHAnsi" w:cstheme="minorHAnsi"/>
          <w:lang w:val="en-GB" w:eastAsia="en-US"/>
        </w:rPr>
        <w:t xml:space="preserve"> :</w:t>
      </w:r>
      <w:proofErr w:type="gramEnd"/>
      <w:r w:rsidRPr="00EB50F4">
        <w:rPr>
          <w:rFonts w:asciiTheme="minorHAnsi" w:eastAsiaTheme="minorHAnsi" w:hAnsiTheme="minorHAnsi" w:cstheme="minorHAnsi"/>
          <w:lang w:val="en-GB" w:eastAsia="en-US"/>
        </w:rPr>
        <w:t xml:space="preserve"> when searching for similar sequences, check the </w:t>
      </w:r>
      <w:r w:rsidRPr="00EB50F4">
        <w:rPr>
          <w:rFonts w:asciiTheme="minorHAnsi" w:eastAsiaTheme="minorHAnsi" w:hAnsiTheme="minorHAnsi" w:cstheme="minorHAnsi"/>
          <w:i/>
          <w:iCs/>
          <w:lang w:val="en-GB" w:eastAsia="en-US"/>
        </w:rPr>
        <w:t>plus</w:t>
      </w:r>
      <w:r w:rsidRPr="00EB50F4">
        <w:rPr>
          <w:rFonts w:asciiTheme="minorHAnsi" w:eastAsiaTheme="minorHAnsi" w:hAnsiTheme="minorHAnsi" w:cstheme="minorHAnsi"/>
          <w:lang w:val="en-GB" w:eastAsia="en-US"/>
        </w:rPr>
        <w:t xml:space="preserve"> strand only (default) </w:t>
      </w:r>
    </w:p>
    <w:p w14:paraId="1771107D"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b/>
          <w:bCs/>
          <w:lang w:val="en-GB"/>
        </w:rPr>
        <w:t>--</w:t>
      </w:r>
      <w:proofErr w:type="spellStart"/>
      <w:r w:rsidRPr="00EB50F4">
        <w:rPr>
          <w:rFonts w:asciiTheme="minorHAnsi" w:hAnsiTheme="minorHAnsi" w:cstheme="minorHAnsi"/>
          <w:b/>
          <w:bCs/>
          <w:lang w:val="en-GB"/>
        </w:rPr>
        <w:t>otutabout</w:t>
      </w:r>
      <w:proofErr w:type="spellEnd"/>
      <w:r w:rsidRPr="00EB50F4">
        <w:rPr>
          <w:rFonts w:asciiTheme="minorHAnsi" w:hAnsiTheme="minorHAnsi" w:cstheme="minorHAnsi"/>
          <w:lang w:val="en-GB"/>
        </w:rPr>
        <w:t xml:space="preserve"> </w:t>
      </w:r>
      <w:proofErr w:type="gramStart"/>
      <w:r w:rsidRPr="00EB50F4">
        <w:rPr>
          <w:rFonts w:asciiTheme="minorHAnsi" w:hAnsiTheme="minorHAnsi" w:cstheme="minorHAnsi"/>
          <w:i/>
          <w:iCs/>
          <w:lang w:val="en-GB"/>
        </w:rPr>
        <w:t xml:space="preserve">filename </w:t>
      </w:r>
      <w:r w:rsidRPr="00EB50F4">
        <w:rPr>
          <w:rFonts w:asciiTheme="minorHAnsi" w:hAnsiTheme="minorHAnsi" w:cstheme="minorHAnsi"/>
          <w:lang w:val="en-GB"/>
        </w:rPr>
        <w:t>:</w:t>
      </w:r>
      <w:proofErr w:type="gramEnd"/>
      <w:r w:rsidRPr="00EB50F4">
        <w:rPr>
          <w:rFonts w:asciiTheme="minorHAnsi" w:hAnsiTheme="minorHAnsi" w:cstheme="minorHAnsi"/>
          <w:lang w:val="en-GB"/>
        </w:rPr>
        <w:t xml:space="preserve"> output an OTU table in the classic tab-separated plain text format as a matrix containing the abundances of the OTUs in the different samples</w:t>
      </w:r>
    </w:p>
    <w:p w14:paraId="679257AF" w14:textId="77777777" w:rsidR="00EB50F4" w:rsidRPr="00EB50F4" w:rsidRDefault="00EB50F4" w:rsidP="003C48BC">
      <w:pPr>
        <w:rPr>
          <w:rFonts w:asciiTheme="minorHAnsi" w:hAnsiTheme="minorHAnsi" w:cstheme="minorHAnsi"/>
          <w:lang w:val="en-GB"/>
        </w:rPr>
      </w:pPr>
    </w:p>
    <w:p w14:paraId="743AD154"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See the following websites for further details on the usage of each Software:</w:t>
      </w:r>
    </w:p>
    <w:p w14:paraId="0F7D6DEB" w14:textId="77777777" w:rsidR="00EB50F4" w:rsidRPr="00EB50F4" w:rsidRDefault="00EB50F4" w:rsidP="003C48BC">
      <w:pPr>
        <w:rPr>
          <w:rFonts w:asciiTheme="minorHAnsi" w:hAnsiTheme="minorHAnsi" w:cstheme="minorHAnsi"/>
          <w:lang w:val="en-GB"/>
        </w:rPr>
      </w:pPr>
    </w:p>
    <w:p w14:paraId="59EE8126" w14:textId="77777777" w:rsidR="00EB50F4" w:rsidRPr="00EB50F4" w:rsidRDefault="00EB50F4" w:rsidP="003C48BC">
      <w:pPr>
        <w:rPr>
          <w:rFonts w:asciiTheme="minorHAnsi" w:hAnsiTheme="minorHAnsi" w:cstheme="minorHAnsi"/>
          <w:lang w:val="es-CL"/>
        </w:rPr>
      </w:pPr>
      <w:r w:rsidRPr="00EB50F4">
        <w:rPr>
          <w:rFonts w:asciiTheme="minorHAnsi" w:hAnsiTheme="minorHAnsi" w:cstheme="minorHAnsi"/>
          <w:lang w:val="es-CL"/>
        </w:rPr>
        <w:t xml:space="preserve">CUTADAPT </w:t>
      </w:r>
      <w:hyperlink r:id="rId14" w:history="1">
        <w:r w:rsidRPr="00EB50F4">
          <w:rPr>
            <w:rStyle w:val="Hyperlink"/>
            <w:rFonts w:asciiTheme="minorHAnsi" w:hAnsiTheme="minorHAnsi" w:cstheme="minorHAnsi"/>
            <w:lang w:val="es-CL"/>
          </w:rPr>
          <w:t>https://cutadapt.readthedocs.io/en/stable/guide.html</w:t>
        </w:r>
      </w:hyperlink>
      <w:r w:rsidRPr="00EB50F4">
        <w:rPr>
          <w:rFonts w:asciiTheme="minorHAnsi" w:hAnsiTheme="minorHAnsi" w:cstheme="minorHAnsi"/>
          <w:lang w:val="es-CL"/>
        </w:rPr>
        <w:t xml:space="preserve"> </w:t>
      </w:r>
    </w:p>
    <w:p w14:paraId="2DDD7229"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PEAR </w:t>
      </w:r>
      <w:hyperlink r:id="rId15" w:history="1">
        <w:r w:rsidRPr="00EB50F4">
          <w:rPr>
            <w:rStyle w:val="Hyperlink"/>
            <w:rFonts w:asciiTheme="minorHAnsi" w:hAnsiTheme="minorHAnsi" w:cstheme="minorHAnsi"/>
            <w:lang w:val="en-GB"/>
          </w:rPr>
          <w:t>https://cme.h-its.org/exelixis/web/software/pear/doc.html</w:t>
        </w:r>
      </w:hyperlink>
      <w:r w:rsidRPr="00EB50F4">
        <w:rPr>
          <w:rFonts w:asciiTheme="minorHAnsi" w:hAnsiTheme="minorHAnsi" w:cstheme="minorHAnsi"/>
          <w:lang w:val="en-GB"/>
        </w:rPr>
        <w:t xml:space="preserve"> </w:t>
      </w:r>
    </w:p>
    <w:p w14:paraId="23716331"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GENEIOUS </w:t>
      </w:r>
      <w:hyperlink r:id="rId16" w:history="1">
        <w:r w:rsidRPr="00EB50F4">
          <w:rPr>
            <w:rStyle w:val="Hyperlink"/>
            <w:rFonts w:asciiTheme="minorHAnsi" w:hAnsiTheme="minorHAnsi" w:cstheme="minorHAnsi"/>
            <w:lang w:val="en-GB"/>
          </w:rPr>
          <w:t>https://www.geneious.com/</w:t>
        </w:r>
      </w:hyperlink>
    </w:p>
    <w:p w14:paraId="4FF70F8A" w14:textId="77777777" w:rsidR="00EB50F4" w:rsidRPr="00EB50F4" w:rsidRDefault="00EB50F4" w:rsidP="003C48BC">
      <w:pPr>
        <w:rPr>
          <w:rFonts w:asciiTheme="minorHAnsi" w:hAnsiTheme="minorHAnsi" w:cstheme="minorHAnsi"/>
          <w:lang w:val="en-GB"/>
        </w:rPr>
      </w:pPr>
      <w:r w:rsidRPr="00EB50F4">
        <w:rPr>
          <w:rFonts w:asciiTheme="minorHAnsi" w:hAnsiTheme="minorHAnsi" w:cstheme="minorHAnsi"/>
          <w:lang w:val="en-GB"/>
        </w:rPr>
        <w:t xml:space="preserve">VSEARCH </w:t>
      </w:r>
      <w:hyperlink r:id="rId17" w:history="1">
        <w:r w:rsidRPr="00EB50F4">
          <w:rPr>
            <w:rStyle w:val="Hyperlink"/>
            <w:rFonts w:asciiTheme="minorHAnsi" w:hAnsiTheme="minorHAnsi" w:cstheme="minorHAnsi"/>
            <w:lang w:val="en-GB"/>
          </w:rPr>
          <w:t>https://usermanual.wiki/Document/vsearchmanual.523130275/html</w:t>
        </w:r>
      </w:hyperlink>
    </w:p>
    <w:p w14:paraId="1B9F5F60" w14:textId="1307281E" w:rsidR="00EB50F4" w:rsidRDefault="00EB50F4">
      <w:pPr>
        <w:rPr>
          <w:rFonts w:asciiTheme="minorHAnsi" w:hAnsiTheme="minorHAnsi" w:cstheme="minorHAnsi"/>
          <w:b/>
          <w:bCs/>
          <w:lang w:val="en-GB"/>
        </w:rPr>
      </w:pPr>
    </w:p>
    <w:p w14:paraId="62C7E529" w14:textId="77777777" w:rsidR="00CD6F14" w:rsidRDefault="00CD6F14" w:rsidP="00CD6F14">
      <w:pPr>
        <w:rPr>
          <w:rFonts w:asciiTheme="minorHAnsi" w:hAnsiTheme="minorHAnsi" w:cstheme="minorHAnsi"/>
          <w:lang w:val="en-GB"/>
        </w:rPr>
      </w:pPr>
    </w:p>
    <w:p w14:paraId="46365260" w14:textId="77777777" w:rsidR="00CD6F14" w:rsidRDefault="00CD6F14" w:rsidP="00CD6F14">
      <w:pPr>
        <w:rPr>
          <w:rFonts w:asciiTheme="minorHAnsi" w:hAnsiTheme="minorHAnsi" w:cstheme="minorHAnsi"/>
          <w:lang w:val="en-GB"/>
        </w:rPr>
      </w:pPr>
    </w:p>
    <w:p w14:paraId="681FAC69" w14:textId="77777777" w:rsidR="00CD6F14" w:rsidRDefault="00CD6F14" w:rsidP="00CD6F14">
      <w:pPr>
        <w:rPr>
          <w:rFonts w:asciiTheme="minorHAnsi" w:hAnsiTheme="minorHAnsi" w:cstheme="minorHAnsi"/>
          <w:lang w:val="en-GB"/>
        </w:rPr>
      </w:pPr>
    </w:p>
    <w:p w14:paraId="2AB7B4C5" w14:textId="77777777" w:rsidR="00CD6F14" w:rsidRDefault="00CD6F14" w:rsidP="00CD6F14">
      <w:pPr>
        <w:rPr>
          <w:rFonts w:asciiTheme="minorHAnsi" w:hAnsiTheme="minorHAnsi" w:cstheme="minorHAnsi"/>
          <w:lang w:val="en-GB"/>
        </w:rPr>
      </w:pPr>
    </w:p>
    <w:p w14:paraId="38AD0A9C" w14:textId="77777777" w:rsidR="00CD6F14" w:rsidRDefault="00CD6F14" w:rsidP="00CD6F14">
      <w:pPr>
        <w:rPr>
          <w:rFonts w:asciiTheme="minorHAnsi" w:hAnsiTheme="minorHAnsi" w:cstheme="minorHAnsi"/>
          <w:lang w:val="en-GB"/>
        </w:rPr>
      </w:pPr>
    </w:p>
    <w:p w14:paraId="0EA2D993" w14:textId="77777777" w:rsidR="00CD6F14" w:rsidRDefault="00CD6F14" w:rsidP="00CD6F14">
      <w:pPr>
        <w:rPr>
          <w:rFonts w:asciiTheme="minorHAnsi" w:hAnsiTheme="minorHAnsi" w:cstheme="minorHAnsi"/>
          <w:lang w:val="en-GB"/>
        </w:rPr>
      </w:pPr>
    </w:p>
    <w:p w14:paraId="3EFAAB15" w14:textId="77777777" w:rsidR="00CD6F14" w:rsidRDefault="00CD6F14" w:rsidP="00CD6F14">
      <w:pPr>
        <w:rPr>
          <w:rFonts w:asciiTheme="minorHAnsi" w:hAnsiTheme="minorHAnsi" w:cstheme="minorHAnsi"/>
          <w:lang w:val="en-GB"/>
        </w:rPr>
      </w:pPr>
    </w:p>
    <w:p w14:paraId="6581CE2A" w14:textId="77777777" w:rsidR="00CD6F14" w:rsidRDefault="00CD6F14" w:rsidP="00CD6F14">
      <w:pPr>
        <w:rPr>
          <w:rFonts w:asciiTheme="minorHAnsi" w:hAnsiTheme="minorHAnsi" w:cstheme="minorHAnsi"/>
          <w:lang w:val="en-GB"/>
        </w:rPr>
      </w:pPr>
    </w:p>
    <w:p w14:paraId="046C69C6" w14:textId="016927F3" w:rsidR="00CD6F14" w:rsidRPr="00CD6F14" w:rsidRDefault="00CD6F14" w:rsidP="00CD6F14">
      <w:pPr>
        <w:rPr>
          <w:rFonts w:asciiTheme="minorHAnsi" w:hAnsiTheme="minorHAnsi" w:cstheme="minorHAnsi"/>
          <w:b/>
          <w:bCs/>
          <w:lang w:val="en-GB"/>
        </w:rPr>
      </w:pPr>
      <w:r>
        <w:rPr>
          <w:rFonts w:asciiTheme="minorHAnsi" w:hAnsiTheme="minorHAnsi" w:cstheme="minorHAnsi"/>
          <w:b/>
          <w:bCs/>
          <w:lang w:val="en-GB"/>
        </w:rPr>
        <w:lastRenderedPageBreak/>
        <w:t>STATISTICAL ANALYSES</w:t>
      </w:r>
    </w:p>
    <w:p w14:paraId="023059C0" w14:textId="77777777" w:rsidR="00CD6F14" w:rsidRDefault="00CD6F14" w:rsidP="00CD6F14">
      <w:pPr>
        <w:rPr>
          <w:rFonts w:asciiTheme="minorHAnsi" w:hAnsiTheme="minorHAnsi" w:cstheme="minorHAnsi"/>
          <w:lang w:val="en-GB"/>
        </w:rPr>
      </w:pPr>
    </w:p>
    <w:p w14:paraId="140A0D27" w14:textId="3FCF07D6"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w:t>
      </w:r>
    </w:p>
    <w:p w14:paraId="60A73BA7" w14:textId="5A381B90"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xml:space="preserve">## </w:t>
      </w:r>
      <w:r>
        <w:rPr>
          <w:rFonts w:asciiTheme="minorHAnsi" w:hAnsiTheme="minorHAnsi" w:cstheme="minorHAnsi"/>
          <w:lang w:val="en-GB"/>
        </w:rPr>
        <w:t xml:space="preserve">     </w:t>
      </w:r>
      <w:r w:rsidRPr="00CD6F14">
        <w:rPr>
          <w:rFonts w:asciiTheme="minorHAnsi" w:hAnsiTheme="minorHAnsi" w:cstheme="minorHAnsi"/>
          <w:lang w:val="en-GB"/>
        </w:rPr>
        <w:t xml:space="preserve">Beta Diversity </w:t>
      </w:r>
      <w:r>
        <w:rPr>
          <w:rFonts w:asciiTheme="minorHAnsi" w:hAnsiTheme="minorHAnsi" w:cstheme="minorHAnsi"/>
          <w:lang w:val="en-GB"/>
        </w:rPr>
        <w:t xml:space="preserve">   </w:t>
      </w:r>
      <w:r w:rsidRPr="00CD6F14">
        <w:rPr>
          <w:rFonts w:asciiTheme="minorHAnsi" w:hAnsiTheme="minorHAnsi" w:cstheme="minorHAnsi"/>
          <w:lang w:val="en-GB"/>
        </w:rPr>
        <w:t>##</w:t>
      </w:r>
    </w:p>
    <w:p w14:paraId="0AA84F23"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w:t>
      </w:r>
    </w:p>
    <w:p w14:paraId="75F0A08B" w14:textId="77777777" w:rsidR="00CD6F14" w:rsidRPr="00CD6F14" w:rsidRDefault="00CD6F14" w:rsidP="00CD6F14">
      <w:pPr>
        <w:rPr>
          <w:rFonts w:asciiTheme="minorHAnsi" w:hAnsiTheme="minorHAnsi" w:cstheme="minorHAnsi"/>
          <w:lang w:val="en-GB"/>
        </w:rPr>
      </w:pPr>
    </w:p>
    <w:p w14:paraId="2B4BE27E"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Load Data</w:t>
      </w:r>
    </w:p>
    <w:p w14:paraId="193CC821"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OTU # OTU table where columns are treatments and rows OTUs</w:t>
      </w:r>
    </w:p>
    <w:p w14:paraId="4BD650FC" w14:textId="77777777" w:rsidR="00CD6F14" w:rsidRPr="00CD6F14" w:rsidRDefault="00CD6F14" w:rsidP="00CD6F14">
      <w:pPr>
        <w:rPr>
          <w:rFonts w:asciiTheme="minorHAnsi" w:hAnsiTheme="minorHAnsi" w:cstheme="minorHAnsi"/>
          <w:lang w:val="en-GB"/>
        </w:rPr>
      </w:pPr>
      <w:proofErr w:type="gramStart"/>
      <w:r w:rsidRPr="00CD6F14">
        <w:rPr>
          <w:rFonts w:asciiTheme="minorHAnsi" w:hAnsiTheme="minorHAnsi" w:cstheme="minorHAnsi"/>
          <w:lang w:val="en-GB"/>
        </w:rPr>
        <w:t>ID  #</w:t>
      </w:r>
      <w:proofErr w:type="gramEnd"/>
      <w:r w:rsidRPr="00CD6F14">
        <w:rPr>
          <w:rFonts w:asciiTheme="minorHAnsi" w:hAnsiTheme="minorHAnsi" w:cstheme="minorHAnsi"/>
          <w:lang w:val="en-GB"/>
        </w:rPr>
        <w:t xml:space="preserve"> metadata for each factor (e.g. qPCR, extraction and sampling) </w:t>
      </w:r>
    </w:p>
    <w:p w14:paraId="77EDB9D2" w14:textId="77777777" w:rsidR="00CD6F14" w:rsidRPr="00CD6F14" w:rsidRDefault="00CD6F14" w:rsidP="00CD6F14">
      <w:pPr>
        <w:rPr>
          <w:rFonts w:asciiTheme="minorHAnsi" w:hAnsiTheme="minorHAnsi" w:cstheme="minorHAnsi"/>
          <w:lang w:val="en-GB"/>
        </w:rPr>
      </w:pPr>
    </w:p>
    <w:p w14:paraId="75FEAB2A"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Libraries</w:t>
      </w:r>
    </w:p>
    <w:p w14:paraId="45F97074"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library(vegan)</w:t>
      </w:r>
    </w:p>
    <w:p w14:paraId="0D5BF845" w14:textId="77777777" w:rsidR="00CD6F14" w:rsidRPr="00CD6F14" w:rsidRDefault="00CD6F14" w:rsidP="00CD6F14">
      <w:pPr>
        <w:rPr>
          <w:rFonts w:asciiTheme="minorHAnsi" w:hAnsiTheme="minorHAnsi" w:cstheme="minorHAnsi"/>
          <w:lang w:val="en-GB"/>
        </w:rPr>
      </w:pPr>
    </w:p>
    <w:p w14:paraId="1C5038A6"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Ordination table</w:t>
      </w:r>
    </w:p>
    <w:p w14:paraId="4C99FA04" w14:textId="77777777" w:rsidR="00CD6F14" w:rsidRPr="00CD6F14" w:rsidRDefault="00CD6F14" w:rsidP="00CD6F14">
      <w:pPr>
        <w:rPr>
          <w:rFonts w:asciiTheme="minorHAnsi" w:hAnsiTheme="minorHAnsi" w:cstheme="minorHAnsi"/>
          <w:lang w:val="en-GB"/>
        </w:rPr>
      </w:pPr>
      <w:proofErr w:type="spellStart"/>
      <w:proofErr w:type="gramStart"/>
      <w:r w:rsidRPr="00CD6F14">
        <w:rPr>
          <w:rFonts w:asciiTheme="minorHAnsi" w:hAnsiTheme="minorHAnsi" w:cstheme="minorHAnsi"/>
          <w:lang w:val="en-GB"/>
        </w:rPr>
        <w:t>ordination.table</w:t>
      </w:r>
      <w:proofErr w:type="spellEnd"/>
      <w:proofErr w:type="gramEnd"/>
      <w:r w:rsidRPr="00CD6F14">
        <w:rPr>
          <w:rFonts w:asciiTheme="minorHAnsi" w:hAnsiTheme="minorHAnsi" w:cstheme="minorHAnsi"/>
          <w:lang w:val="en-GB"/>
        </w:rPr>
        <w:t xml:space="preserve"> &lt;- t(OTU)#transpose binary table</w:t>
      </w:r>
    </w:p>
    <w:p w14:paraId="4A1950C2" w14:textId="77777777" w:rsidR="00CD6F14" w:rsidRPr="00CD6F14" w:rsidRDefault="00CD6F14" w:rsidP="00CD6F14">
      <w:pPr>
        <w:rPr>
          <w:rFonts w:asciiTheme="minorHAnsi" w:hAnsiTheme="minorHAnsi" w:cstheme="minorHAnsi"/>
          <w:lang w:val="en-GB"/>
        </w:rPr>
      </w:pPr>
      <w:proofErr w:type="spellStart"/>
      <w:proofErr w:type="gramStart"/>
      <w:r w:rsidRPr="00CD6F14">
        <w:rPr>
          <w:rFonts w:asciiTheme="minorHAnsi" w:hAnsiTheme="minorHAnsi" w:cstheme="minorHAnsi"/>
          <w:lang w:val="en-GB"/>
        </w:rPr>
        <w:t>ordination.distance</w:t>
      </w:r>
      <w:proofErr w:type="spellEnd"/>
      <w:proofErr w:type="gramEnd"/>
      <w:r w:rsidRPr="00CD6F14">
        <w:rPr>
          <w:rFonts w:asciiTheme="minorHAnsi" w:hAnsiTheme="minorHAnsi" w:cstheme="minorHAnsi"/>
          <w:lang w:val="en-GB"/>
        </w:rPr>
        <w:t xml:space="preserve"> &lt;- </w:t>
      </w:r>
      <w:proofErr w:type="spellStart"/>
      <w:r w:rsidRPr="00CD6F14">
        <w:rPr>
          <w:rFonts w:asciiTheme="minorHAnsi" w:hAnsiTheme="minorHAnsi" w:cstheme="minorHAnsi"/>
          <w:lang w:val="en-GB"/>
        </w:rPr>
        <w:t>vegdist</w:t>
      </w:r>
      <w:proofErr w:type="spellEnd"/>
      <w:r w:rsidRPr="00CD6F14">
        <w:rPr>
          <w:rFonts w:asciiTheme="minorHAnsi" w:hAnsiTheme="minorHAnsi" w:cstheme="minorHAnsi"/>
          <w:lang w:val="en-GB"/>
        </w:rPr>
        <w:t>(</w:t>
      </w:r>
      <w:proofErr w:type="spellStart"/>
      <w:r w:rsidRPr="00CD6F14">
        <w:rPr>
          <w:rFonts w:asciiTheme="minorHAnsi" w:hAnsiTheme="minorHAnsi" w:cstheme="minorHAnsi"/>
          <w:lang w:val="en-GB"/>
        </w:rPr>
        <w:t>ordination.table</w:t>
      </w:r>
      <w:proofErr w:type="spellEnd"/>
      <w:r w:rsidRPr="00CD6F14">
        <w:rPr>
          <w:rFonts w:asciiTheme="minorHAnsi" w:hAnsiTheme="minorHAnsi" w:cstheme="minorHAnsi"/>
          <w:lang w:val="en-GB"/>
        </w:rPr>
        <w:t>, method = "</w:t>
      </w:r>
      <w:proofErr w:type="spellStart"/>
      <w:r w:rsidRPr="00CD6F14">
        <w:rPr>
          <w:rFonts w:asciiTheme="minorHAnsi" w:hAnsiTheme="minorHAnsi" w:cstheme="minorHAnsi"/>
          <w:lang w:val="en-GB"/>
        </w:rPr>
        <w:t>jaccard</w:t>
      </w:r>
      <w:proofErr w:type="spellEnd"/>
      <w:r w:rsidRPr="00CD6F14">
        <w:rPr>
          <w:rFonts w:asciiTheme="minorHAnsi" w:hAnsiTheme="minorHAnsi" w:cstheme="minorHAnsi"/>
          <w:lang w:val="en-GB"/>
        </w:rPr>
        <w:t xml:space="preserve">") </w:t>
      </w:r>
    </w:p>
    <w:p w14:paraId="483BEC22"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ordination_mds</w:t>
      </w:r>
      <w:proofErr w:type="spellEnd"/>
      <w:r w:rsidRPr="00CD6F14">
        <w:rPr>
          <w:rFonts w:asciiTheme="minorHAnsi" w:hAnsiTheme="minorHAnsi" w:cstheme="minorHAnsi"/>
          <w:lang w:val="en-GB"/>
        </w:rPr>
        <w:t xml:space="preserve"> &lt;- </w:t>
      </w:r>
      <w:proofErr w:type="spellStart"/>
      <w:proofErr w:type="gramStart"/>
      <w:r w:rsidRPr="00CD6F14">
        <w:rPr>
          <w:rFonts w:asciiTheme="minorHAnsi" w:hAnsiTheme="minorHAnsi" w:cstheme="minorHAnsi"/>
          <w:lang w:val="en-GB"/>
        </w:rPr>
        <w:t>wcmdscale</w:t>
      </w:r>
      <w:proofErr w:type="spellEnd"/>
      <w:r w:rsidRPr="00CD6F14">
        <w:rPr>
          <w:rFonts w:asciiTheme="minorHAnsi" w:hAnsiTheme="minorHAnsi" w:cstheme="minorHAnsi"/>
          <w:lang w:val="en-GB"/>
        </w:rPr>
        <w:t>(</w:t>
      </w:r>
      <w:proofErr w:type="spellStart"/>
      <w:proofErr w:type="gramEnd"/>
      <w:r w:rsidRPr="00CD6F14">
        <w:rPr>
          <w:rFonts w:asciiTheme="minorHAnsi" w:hAnsiTheme="minorHAnsi" w:cstheme="minorHAnsi"/>
          <w:lang w:val="en-GB"/>
        </w:rPr>
        <w:t>ordination.distance</w:t>
      </w:r>
      <w:proofErr w:type="spellEnd"/>
      <w:r w:rsidRPr="00CD6F14">
        <w:rPr>
          <w:rFonts w:asciiTheme="minorHAnsi" w:hAnsiTheme="minorHAnsi" w:cstheme="minorHAnsi"/>
          <w:lang w:val="en-GB"/>
        </w:rPr>
        <w:t xml:space="preserve">, </w:t>
      </w:r>
      <w:proofErr w:type="spellStart"/>
      <w:r w:rsidRPr="00CD6F14">
        <w:rPr>
          <w:rFonts w:asciiTheme="minorHAnsi" w:hAnsiTheme="minorHAnsi" w:cstheme="minorHAnsi"/>
          <w:lang w:val="en-GB"/>
        </w:rPr>
        <w:t>eig</w:t>
      </w:r>
      <w:proofErr w:type="spellEnd"/>
      <w:r w:rsidRPr="00CD6F14">
        <w:rPr>
          <w:rFonts w:asciiTheme="minorHAnsi" w:hAnsiTheme="minorHAnsi" w:cstheme="minorHAnsi"/>
          <w:lang w:val="en-GB"/>
        </w:rPr>
        <w:t xml:space="preserve"> = TRUE)</w:t>
      </w:r>
    </w:p>
    <w:p w14:paraId="3DDE9D08"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ordination_eigen</w:t>
      </w:r>
      <w:proofErr w:type="spellEnd"/>
      <w:r w:rsidRPr="00CD6F14">
        <w:rPr>
          <w:rFonts w:asciiTheme="minorHAnsi" w:hAnsiTheme="minorHAnsi" w:cstheme="minorHAnsi"/>
          <w:lang w:val="en-GB"/>
        </w:rPr>
        <w:t xml:space="preserve"> &lt;- </w:t>
      </w:r>
      <w:proofErr w:type="spellStart"/>
      <w:r w:rsidRPr="00CD6F14">
        <w:rPr>
          <w:rFonts w:asciiTheme="minorHAnsi" w:hAnsiTheme="minorHAnsi" w:cstheme="minorHAnsi"/>
          <w:lang w:val="en-GB"/>
        </w:rPr>
        <w:t>ordination_mds$eig</w:t>
      </w:r>
      <w:proofErr w:type="spellEnd"/>
    </w:p>
    <w:p w14:paraId="203B1D17"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Eigen values</w:t>
      </w:r>
    </w:p>
    <w:p w14:paraId="16D7C563"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ordination_eigenvalue</w:t>
      </w:r>
      <w:proofErr w:type="spellEnd"/>
      <w:r w:rsidRPr="00CD6F14">
        <w:rPr>
          <w:rFonts w:asciiTheme="minorHAnsi" w:hAnsiTheme="minorHAnsi" w:cstheme="minorHAnsi"/>
          <w:lang w:val="en-GB"/>
        </w:rPr>
        <w:t xml:space="preserve"> &lt;- </w:t>
      </w:r>
      <w:proofErr w:type="spellStart"/>
      <w:r w:rsidRPr="00CD6F14">
        <w:rPr>
          <w:rFonts w:asciiTheme="minorHAnsi" w:hAnsiTheme="minorHAnsi" w:cstheme="minorHAnsi"/>
          <w:lang w:val="en-GB"/>
        </w:rPr>
        <w:t>ordination_eigen</w:t>
      </w:r>
      <w:proofErr w:type="spellEnd"/>
      <w:r w:rsidRPr="00CD6F14">
        <w:rPr>
          <w:rFonts w:asciiTheme="minorHAnsi" w:hAnsiTheme="minorHAnsi" w:cstheme="minorHAnsi"/>
          <w:lang w:val="en-GB"/>
        </w:rPr>
        <w:t>/sum(</w:t>
      </w:r>
      <w:proofErr w:type="spellStart"/>
      <w:r w:rsidRPr="00CD6F14">
        <w:rPr>
          <w:rFonts w:asciiTheme="minorHAnsi" w:hAnsiTheme="minorHAnsi" w:cstheme="minorHAnsi"/>
          <w:lang w:val="en-GB"/>
        </w:rPr>
        <w:t>ordination_eigen</w:t>
      </w:r>
      <w:proofErr w:type="spellEnd"/>
      <w:r w:rsidRPr="00CD6F14">
        <w:rPr>
          <w:rFonts w:asciiTheme="minorHAnsi" w:hAnsiTheme="minorHAnsi" w:cstheme="minorHAnsi"/>
          <w:lang w:val="en-GB"/>
        </w:rPr>
        <w:t>)</w:t>
      </w:r>
    </w:p>
    <w:p w14:paraId="6EBC2C1F"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ordination_eigen_frame</w:t>
      </w:r>
      <w:proofErr w:type="spellEnd"/>
      <w:r w:rsidRPr="00CD6F14">
        <w:rPr>
          <w:rFonts w:asciiTheme="minorHAnsi" w:hAnsiTheme="minorHAnsi" w:cstheme="minorHAnsi"/>
          <w:lang w:val="en-GB"/>
        </w:rPr>
        <w:t xml:space="preserve"> &lt;- </w:t>
      </w:r>
      <w:proofErr w:type="spellStart"/>
      <w:proofErr w:type="gramStart"/>
      <w:r w:rsidRPr="00CD6F14">
        <w:rPr>
          <w:rFonts w:asciiTheme="minorHAnsi" w:hAnsiTheme="minorHAnsi" w:cstheme="minorHAnsi"/>
          <w:lang w:val="en-GB"/>
        </w:rPr>
        <w:t>data.frame</w:t>
      </w:r>
      <w:proofErr w:type="spellEnd"/>
      <w:proofErr w:type="gramEnd"/>
      <w:r w:rsidRPr="00CD6F14">
        <w:rPr>
          <w:rFonts w:asciiTheme="minorHAnsi" w:hAnsiTheme="minorHAnsi" w:cstheme="minorHAnsi"/>
          <w:lang w:val="en-GB"/>
        </w:rPr>
        <w:t xml:space="preserve">(Inertia = </w:t>
      </w:r>
      <w:proofErr w:type="spellStart"/>
      <w:r w:rsidRPr="00CD6F14">
        <w:rPr>
          <w:rFonts w:asciiTheme="minorHAnsi" w:hAnsiTheme="minorHAnsi" w:cstheme="minorHAnsi"/>
          <w:lang w:val="en-GB"/>
        </w:rPr>
        <w:t>ordination_eigenvalue</w:t>
      </w:r>
      <w:proofErr w:type="spellEnd"/>
      <w:r w:rsidRPr="00CD6F14">
        <w:rPr>
          <w:rFonts w:asciiTheme="minorHAnsi" w:hAnsiTheme="minorHAnsi" w:cstheme="minorHAnsi"/>
          <w:lang w:val="en-GB"/>
        </w:rPr>
        <w:t>*100, Axes = c(1:204))</w:t>
      </w:r>
    </w:p>
    <w:p w14:paraId="43F59434" w14:textId="77777777" w:rsidR="00CD6F14" w:rsidRPr="00CD6F14" w:rsidRDefault="00CD6F14" w:rsidP="00CD6F14">
      <w:pPr>
        <w:rPr>
          <w:rFonts w:asciiTheme="minorHAnsi" w:hAnsiTheme="minorHAnsi" w:cstheme="minorHAnsi"/>
          <w:lang w:val="en-GB"/>
        </w:rPr>
      </w:pPr>
    </w:p>
    <w:p w14:paraId="3F435AF1"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PERMANOVA</w:t>
      </w:r>
    </w:p>
    <w:p w14:paraId="1604B767"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adonis_abund</w:t>
      </w:r>
      <w:proofErr w:type="spellEnd"/>
      <w:r w:rsidRPr="00CD6F14">
        <w:rPr>
          <w:rFonts w:asciiTheme="minorHAnsi" w:hAnsiTheme="minorHAnsi" w:cstheme="minorHAnsi"/>
          <w:lang w:val="en-GB"/>
        </w:rPr>
        <w:t xml:space="preserve"> &lt;- </w:t>
      </w:r>
      <w:proofErr w:type="spellStart"/>
      <w:proofErr w:type="gramStart"/>
      <w:r w:rsidRPr="00CD6F14">
        <w:rPr>
          <w:rFonts w:asciiTheme="minorHAnsi" w:hAnsiTheme="minorHAnsi" w:cstheme="minorHAnsi"/>
          <w:lang w:val="en-GB"/>
        </w:rPr>
        <w:t>adonis</w:t>
      </w:r>
      <w:proofErr w:type="spellEnd"/>
      <w:r w:rsidRPr="00CD6F14">
        <w:rPr>
          <w:rFonts w:asciiTheme="minorHAnsi" w:hAnsiTheme="minorHAnsi" w:cstheme="minorHAnsi"/>
          <w:lang w:val="en-GB"/>
        </w:rPr>
        <w:t>(</w:t>
      </w:r>
      <w:proofErr w:type="spellStart"/>
      <w:proofErr w:type="gramEnd"/>
      <w:r w:rsidRPr="00CD6F14">
        <w:rPr>
          <w:rFonts w:asciiTheme="minorHAnsi" w:hAnsiTheme="minorHAnsi" w:cstheme="minorHAnsi"/>
          <w:lang w:val="en-GB"/>
        </w:rPr>
        <w:t>ordination.distance</w:t>
      </w:r>
      <w:proofErr w:type="spellEnd"/>
      <w:r w:rsidRPr="00CD6F14">
        <w:rPr>
          <w:rFonts w:asciiTheme="minorHAnsi" w:hAnsiTheme="minorHAnsi" w:cstheme="minorHAnsi"/>
          <w:lang w:val="en-GB"/>
        </w:rPr>
        <w:t xml:space="preserve"> ~ qPCR + </w:t>
      </w:r>
      <w:proofErr w:type="spellStart"/>
      <w:r w:rsidRPr="00CD6F14">
        <w:rPr>
          <w:rFonts w:asciiTheme="minorHAnsi" w:hAnsiTheme="minorHAnsi" w:cstheme="minorHAnsi"/>
          <w:lang w:val="en-GB"/>
        </w:rPr>
        <w:t>extraction+sampling</w:t>
      </w:r>
      <w:proofErr w:type="spellEnd"/>
      <w:r w:rsidRPr="00CD6F14">
        <w:rPr>
          <w:rFonts w:asciiTheme="minorHAnsi" w:hAnsiTheme="minorHAnsi" w:cstheme="minorHAnsi"/>
          <w:lang w:val="en-GB"/>
        </w:rPr>
        <w:t>, data = ID, method = "</w:t>
      </w:r>
      <w:proofErr w:type="spellStart"/>
      <w:r w:rsidRPr="00CD6F14">
        <w:rPr>
          <w:rFonts w:asciiTheme="minorHAnsi" w:hAnsiTheme="minorHAnsi" w:cstheme="minorHAnsi"/>
          <w:lang w:val="en-GB"/>
        </w:rPr>
        <w:t>jaccard</w:t>
      </w:r>
      <w:proofErr w:type="spellEnd"/>
      <w:r w:rsidRPr="00CD6F14">
        <w:rPr>
          <w:rFonts w:asciiTheme="minorHAnsi" w:hAnsiTheme="minorHAnsi" w:cstheme="minorHAnsi"/>
          <w:lang w:val="en-GB"/>
        </w:rPr>
        <w:t>")</w:t>
      </w:r>
    </w:p>
    <w:p w14:paraId="4DFCBAD1"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adonis_abund</w:t>
      </w:r>
      <w:proofErr w:type="spellEnd"/>
    </w:p>
    <w:p w14:paraId="7397B9F1" w14:textId="77777777" w:rsidR="00CD6F14" w:rsidRPr="00CD6F14" w:rsidRDefault="00CD6F14" w:rsidP="00CD6F14">
      <w:pPr>
        <w:rPr>
          <w:rFonts w:asciiTheme="minorHAnsi" w:hAnsiTheme="minorHAnsi" w:cstheme="minorHAnsi"/>
          <w:lang w:val="en-GB"/>
        </w:rPr>
      </w:pPr>
    </w:p>
    <w:p w14:paraId="1EC54079"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PERMDISP</w:t>
      </w:r>
    </w:p>
    <w:p w14:paraId="1047276B"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beta_pcr</w:t>
      </w:r>
      <w:proofErr w:type="spellEnd"/>
      <w:r w:rsidRPr="00CD6F14">
        <w:rPr>
          <w:rFonts w:asciiTheme="minorHAnsi" w:hAnsiTheme="minorHAnsi" w:cstheme="minorHAnsi"/>
          <w:lang w:val="en-GB"/>
        </w:rPr>
        <w:t xml:space="preserve"> &lt;- </w:t>
      </w:r>
      <w:proofErr w:type="spellStart"/>
      <w:proofErr w:type="gramStart"/>
      <w:r w:rsidRPr="00CD6F14">
        <w:rPr>
          <w:rFonts w:asciiTheme="minorHAnsi" w:hAnsiTheme="minorHAnsi" w:cstheme="minorHAnsi"/>
          <w:lang w:val="en-GB"/>
        </w:rPr>
        <w:t>betadisper</w:t>
      </w:r>
      <w:proofErr w:type="spellEnd"/>
      <w:r w:rsidRPr="00CD6F14">
        <w:rPr>
          <w:rFonts w:asciiTheme="minorHAnsi" w:hAnsiTheme="minorHAnsi" w:cstheme="minorHAnsi"/>
          <w:lang w:val="en-GB"/>
        </w:rPr>
        <w:t>(</w:t>
      </w:r>
      <w:proofErr w:type="spellStart"/>
      <w:proofErr w:type="gramEnd"/>
      <w:r w:rsidRPr="00CD6F14">
        <w:rPr>
          <w:rFonts w:asciiTheme="minorHAnsi" w:hAnsiTheme="minorHAnsi" w:cstheme="minorHAnsi"/>
          <w:lang w:val="en-GB"/>
        </w:rPr>
        <w:t>ordination.distance</w:t>
      </w:r>
      <w:proofErr w:type="spellEnd"/>
      <w:r w:rsidRPr="00CD6F14">
        <w:rPr>
          <w:rFonts w:asciiTheme="minorHAnsi" w:hAnsiTheme="minorHAnsi" w:cstheme="minorHAnsi"/>
          <w:lang w:val="en-GB"/>
        </w:rPr>
        <w:t xml:space="preserve">, </w:t>
      </w:r>
      <w:proofErr w:type="spellStart"/>
      <w:r w:rsidRPr="00CD6F14">
        <w:rPr>
          <w:rFonts w:asciiTheme="minorHAnsi" w:hAnsiTheme="minorHAnsi" w:cstheme="minorHAnsi"/>
          <w:lang w:val="en-GB"/>
        </w:rPr>
        <w:t>ID$qPCR</w:t>
      </w:r>
      <w:proofErr w:type="spellEnd"/>
      <w:r w:rsidRPr="00CD6F14">
        <w:rPr>
          <w:rFonts w:asciiTheme="minorHAnsi" w:hAnsiTheme="minorHAnsi" w:cstheme="minorHAnsi"/>
          <w:lang w:val="en-GB"/>
        </w:rPr>
        <w:t>) #example for 'qPCR' factor</w:t>
      </w:r>
    </w:p>
    <w:p w14:paraId="14BFF5F6"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permutest</w:t>
      </w:r>
      <w:proofErr w:type="spellEnd"/>
      <w:r w:rsidRPr="00CD6F14">
        <w:rPr>
          <w:rFonts w:asciiTheme="minorHAnsi" w:hAnsiTheme="minorHAnsi" w:cstheme="minorHAnsi"/>
          <w:lang w:val="en-GB"/>
        </w:rPr>
        <w:t>(</w:t>
      </w:r>
      <w:proofErr w:type="spellStart"/>
      <w:r w:rsidRPr="00CD6F14">
        <w:rPr>
          <w:rFonts w:asciiTheme="minorHAnsi" w:hAnsiTheme="minorHAnsi" w:cstheme="minorHAnsi"/>
          <w:lang w:val="en-GB"/>
        </w:rPr>
        <w:t>beta_pcr</w:t>
      </w:r>
      <w:proofErr w:type="spellEnd"/>
      <w:r w:rsidRPr="00CD6F14">
        <w:rPr>
          <w:rFonts w:asciiTheme="minorHAnsi" w:hAnsiTheme="minorHAnsi" w:cstheme="minorHAnsi"/>
          <w:lang w:val="en-GB"/>
        </w:rPr>
        <w:t>)</w:t>
      </w:r>
    </w:p>
    <w:p w14:paraId="26578F6F" w14:textId="77777777" w:rsidR="00CD6F14" w:rsidRPr="00CD6F14" w:rsidRDefault="00CD6F14" w:rsidP="00CD6F14">
      <w:pPr>
        <w:rPr>
          <w:rFonts w:asciiTheme="minorHAnsi" w:hAnsiTheme="minorHAnsi" w:cstheme="minorHAnsi"/>
          <w:lang w:val="en-GB"/>
        </w:rPr>
      </w:pPr>
    </w:p>
    <w:p w14:paraId="08265FE2"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w:t>
      </w:r>
    </w:p>
    <w:p w14:paraId="43390A50" w14:textId="1EACEAB0"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xml:space="preserve">## </w:t>
      </w:r>
      <w:r>
        <w:rPr>
          <w:rFonts w:asciiTheme="minorHAnsi" w:hAnsiTheme="minorHAnsi" w:cstheme="minorHAnsi"/>
          <w:lang w:val="en-GB"/>
        </w:rPr>
        <w:t xml:space="preserve">    </w:t>
      </w:r>
      <w:r w:rsidRPr="00CD6F14">
        <w:rPr>
          <w:rFonts w:asciiTheme="minorHAnsi" w:hAnsiTheme="minorHAnsi" w:cstheme="minorHAnsi"/>
          <w:lang w:val="en-GB"/>
        </w:rPr>
        <w:t xml:space="preserve">Alpha diversity </w:t>
      </w:r>
      <w:r>
        <w:rPr>
          <w:rFonts w:asciiTheme="minorHAnsi" w:hAnsiTheme="minorHAnsi" w:cstheme="minorHAnsi"/>
          <w:lang w:val="en-GB"/>
        </w:rPr>
        <w:t xml:space="preserve">     </w:t>
      </w:r>
      <w:r w:rsidRPr="00CD6F14">
        <w:rPr>
          <w:rFonts w:asciiTheme="minorHAnsi" w:hAnsiTheme="minorHAnsi" w:cstheme="minorHAnsi"/>
          <w:lang w:val="en-GB"/>
        </w:rPr>
        <w:t>##</w:t>
      </w:r>
    </w:p>
    <w:p w14:paraId="7E4D7527"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w:t>
      </w:r>
    </w:p>
    <w:p w14:paraId="7C944E0D" w14:textId="77777777" w:rsidR="00CD6F14" w:rsidRPr="00CD6F14" w:rsidRDefault="00CD6F14" w:rsidP="00CD6F14">
      <w:pPr>
        <w:rPr>
          <w:rFonts w:asciiTheme="minorHAnsi" w:hAnsiTheme="minorHAnsi" w:cstheme="minorHAnsi"/>
          <w:lang w:val="en-GB"/>
        </w:rPr>
      </w:pPr>
    </w:p>
    <w:p w14:paraId="608356B6"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Required Libraries</w:t>
      </w:r>
    </w:p>
    <w:p w14:paraId="29A2660D"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xml:space="preserve">library(stats) </w:t>
      </w:r>
    </w:p>
    <w:p w14:paraId="5631C3B5" w14:textId="77777777" w:rsidR="00CD6F14" w:rsidRPr="00CD6F14" w:rsidRDefault="00CD6F14" w:rsidP="00CD6F14">
      <w:pPr>
        <w:rPr>
          <w:rFonts w:asciiTheme="minorHAnsi" w:hAnsiTheme="minorHAnsi" w:cstheme="minorHAnsi"/>
          <w:lang w:val="en-GB"/>
        </w:rPr>
      </w:pPr>
    </w:p>
    <w:p w14:paraId="4E2DDF6E"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 Load Data</w:t>
      </w:r>
    </w:p>
    <w:p w14:paraId="50E14F49" w14:textId="77777777" w:rsidR="00CD6F14" w:rsidRPr="00CD6F14" w:rsidRDefault="00CD6F14" w:rsidP="00CD6F14">
      <w:pPr>
        <w:rPr>
          <w:rFonts w:asciiTheme="minorHAnsi" w:hAnsiTheme="minorHAnsi" w:cstheme="minorHAnsi"/>
          <w:lang w:val="en-GB"/>
        </w:rPr>
      </w:pPr>
      <w:r w:rsidRPr="00CD6F14">
        <w:rPr>
          <w:rFonts w:asciiTheme="minorHAnsi" w:hAnsiTheme="minorHAnsi" w:cstheme="minorHAnsi"/>
          <w:lang w:val="en-GB"/>
        </w:rPr>
        <w:t>data # Number of OTUs for each treatment (</w:t>
      </w:r>
      <w:proofErr w:type="gramStart"/>
      <w:r w:rsidRPr="00CD6F14">
        <w:rPr>
          <w:rFonts w:asciiTheme="minorHAnsi" w:hAnsiTheme="minorHAnsi" w:cstheme="minorHAnsi"/>
          <w:lang w:val="en-GB"/>
        </w:rPr>
        <w:t>i.e.</w:t>
      </w:r>
      <w:proofErr w:type="gramEnd"/>
      <w:r w:rsidRPr="00CD6F14">
        <w:rPr>
          <w:rFonts w:asciiTheme="minorHAnsi" w:hAnsiTheme="minorHAnsi" w:cstheme="minorHAnsi"/>
          <w:lang w:val="en-GB"/>
        </w:rPr>
        <w:t xml:space="preserve"> presence)</w:t>
      </w:r>
    </w:p>
    <w:p w14:paraId="6EAB7291" w14:textId="77777777" w:rsidR="00CD6F14" w:rsidRPr="00CD6F14" w:rsidRDefault="00CD6F14" w:rsidP="00CD6F14">
      <w:pPr>
        <w:rPr>
          <w:rFonts w:asciiTheme="minorHAnsi" w:hAnsiTheme="minorHAnsi" w:cstheme="minorHAnsi"/>
          <w:lang w:val="en-GB"/>
        </w:rPr>
      </w:pPr>
    </w:p>
    <w:p w14:paraId="425716B8" w14:textId="77777777" w:rsidR="00CD6F14" w:rsidRPr="00CD6F14" w:rsidRDefault="00CD6F14" w:rsidP="00CD6F14">
      <w:pPr>
        <w:rPr>
          <w:rFonts w:asciiTheme="minorHAnsi" w:hAnsiTheme="minorHAnsi" w:cstheme="minorHAnsi"/>
          <w:lang w:val="en-GB"/>
        </w:rPr>
      </w:pPr>
      <w:proofErr w:type="spellStart"/>
      <w:r w:rsidRPr="00CD6F14">
        <w:rPr>
          <w:rFonts w:asciiTheme="minorHAnsi" w:hAnsiTheme="minorHAnsi" w:cstheme="minorHAnsi"/>
          <w:lang w:val="en-GB"/>
        </w:rPr>
        <w:t>kruskal.</w:t>
      </w:r>
      <w:proofErr w:type="gramStart"/>
      <w:r w:rsidRPr="00CD6F14">
        <w:rPr>
          <w:rFonts w:asciiTheme="minorHAnsi" w:hAnsiTheme="minorHAnsi" w:cstheme="minorHAnsi"/>
          <w:lang w:val="en-GB"/>
        </w:rPr>
        <w:t>test</w:t>
      </w:r>
      <w:proofErr w:type="spellEnd"/>
      <w:r w:rsidRPr="00CD6F14">
        <w:rPr>
          <w:rFonts w:asciiTheme="minorHAnsi" w:hAnsiTheme="minorHAnsi" w:cstheme="minorHAnsi"/>
          <w:lang w:val="en-GB"/>
        </w:rPr>
        <w:t>(</w:t>
      </w:r>
      <w:proofErr w:type="spellStart"/>
      <w:proofErr w:type="gramEnd"/>
      <w:r w:rsidRPr="00CD6F14">
        <w:rPr>
          <w:rFonts w:asciiTheme="minorHAnsi" w:hAnsiTheme="minorHAnsi" w:cstheme="minorHAnsi"/>
          <w:lang w:val="en-GB"/>
        </w:rPr>
        <w:t>OTU_total</w:t>
      </w:r>
      <w:proofErr w:type="spellEnd"/>
      <w:r w:rsidRPr="00CD6F14">
        <w:rPr>
          <w:rFonts w:asciiTheme="minorHAnsi" w:hAnsiTheme="minorHAnsi" w:cstheme="minorHAnsi"/>
          <w:lang w:val="en-GB"/>
        </w:rPr>
        <w:t xml:space="preserve"> ~ extraction, data = data) </w:t>
      </w:r>
    </w:p>
    <w:p w14:paraId="220F5601" w14:textId="77777777" w:rsidR="00CD6F14" w:rsidRPr="00CD6F14" w:rsidRDefault="00CD6F14" w:rsidP="00CD6F14">
      <w:pPr>
        <w:rPr>
          <w:rFonts w:asciiTheme="minorHAnsi" w:hAnsiTheme="minorHAnsi" w:cstheme="minorHAnsi"/>
          <w:lang w:val="en-GB"/>
        </w:rPr>
      </w:pPr>
    </w:p>
    <w:p w14:paraId="416330F1" w14:textId="77777777" w:rsidR="00CD6F14" w:rsidRPr="00CD6F14" w:rsidRDefault="00CD6F14" w:rsidP="00CD6F14">
      <w:pPr>
        <w:rPr>
          <w:rFonts w:asciiTheme="minorHAnsi" w:hAnsiTheme="minorHAnsi" w:cstheme="minorHAnsi"/>
          <w:lang w:val="en-GB"/>
        </w:rPr>
      </w:pPr>
      <w:proofErr w:type="spellStart"/>
      <w:proofErr w:type="gramStart"/>
      <w:r w:rsidRPr="00CD6F14">
        <w:rPr>
          <w:rFonts w:asciiTheme="minorHAnsi" w:hAnsiTheme="minorHAnsi" w:cstheme="minorHAnsi"/>
          <w:lang w:val="en-GB"/>
        </w:rPr>
        <w:t>pairwise.wilcox</w:t>
      </w:r>
      <w:proofErr w:type="gramEnd"/>
      <w:r w:rsidRPr="00CD6F14">
        <w:rPr>
          <w:rFonts w:asciiTheme="minorHAnsi" w:hAnsiTheme="minorHAnsi" w:cstheme="minorHAnsi"/>
          <w:lang w:val="en-GB"/>
        </w:rPr>
        <w:t>.test</w:t>
      </w:r>
      <w:proofErr w:type="spellEnd"/>
      <w:r w:rsidRPr="00CD6F14">
        <w:rPr>
          <w:rFonts w:asciiTheme="minorHAnsi" w:hAnsiTheme="minorHAnsi" w:cstheme="minorHAnsi"/>
          <w:lang w:val="en-GB"/>
        </w:rPr>
        <w:t>(</w:t>
      </w:r>
      <w:proofErr w:type="spellStart"/>
      <w:r w:rsidRPr="00CD6F14">
        <w:rPr>
          <w:rFonts w:asciiTheme="minorHAnsi" w:hAnsiTheme="minorHAnsi" w:cstheme="minorHAnsi"/>
          <w:lang w:val="en-GB"/>
        </w:rPr>
        <w:t>data$OTU_total</w:t>
      </w:r>
      <w:proofErr w:type="spellEnd"/>
      <w:r w:rsidRPr="00CD6F14">
        <w:rPr>
          <w:rFonts w:asciiTheme="minorHAnsi" w:hAnsiTheme="minorHAnsi" w:cstheme="minorHAnsi"/>
          <w:lang w:val="en-GB"/>
        </w:rPr>
        <w:t xml:space="preserve">, </w:t>
      </w:r>
      <w:proofErr w:type="spellStart"/>
      <w:r w:rsidRPr="00CD6F14">
        <w:rPr>
          <w:rFonts w:asciiTheme="minorHAnsi" w:hAnsiTheme="minorHAnsi" w:cstheme="minorHAnsi"/>
          <w:lang w:val="en-GB"/>
        </w:rPr>
        <w:t>data$extraction</w:t>
      </w:r>
      <w:proofErr w:type="spellEnd"/>
      <w:r w:rsidRPr="00CD6F14">
        <w:rPr>
          <w:rFonts w:asciiTheme="minorHAnsi" w:hAnsiTheme="minorHAnsi" w:cstheme="minorHAnsi"/>
          <w:lang w:val="en-GB"/>
        </w:rPr>
        <w:t>,</w:t>
      </w:r>
    </w:p>
    <w:p w14:paraId="2DFE6976" w14:textId="77777777" w:rsidR="00CD6F14" w:rsidRDefault="00CD6F14">
      <w:pPr>
        <w:rPr>
          <w:rFonts w:asciiTheme="minorHAnsi" w:hAnsiTheme="minorHAnsi" w:cstheme="minorHAnsi"/>
          <w:lang w:val="en-GB"/>
        </w:rPr>
      </w:pPr>
      <w:r w:rsidRPr="00CD6F14">
        <w:rPr>
          <w:rFonts w:asciiTheme="minorHAnsi" w:hAnsiTheme="minorHAnsi" w:cstheme="minorHAnsi"/>
          <w:lang w:val="en-GB"/>
        </w:rPr>
        <w:t xml:space="preserve">                     </w:t>
      </w:r>
      <w:proofErr w:type="spellStart"/>
      <w:proofErr w:type="gramStart"/>
      <w:r w:rsidRPr="00CD6F14">
        <w:rPr>
          <w:rFonts w:asciiTheme="minorHAnsi" w:hAnsiTheme="minorHAnsi" w:cstheme="minorHAnsi"/>
          <w:lang w:val="en-GB"/>
        </w:rPr>
        <w:t>p.adjust</w:t>
      </w:r>
      <w:proofErr w:type="gramEnd"/>
      <w:r w:rsidRPr="00CD6F14">
        <w:rPr>
          <w:rFonts w:asciiTheme="minorHAnsi" w:hAnsiTheme="minorHAnsi" w:cstheme="minorHAnsi"/>
          <w:lang w:val="en-GB"/>
        </w:rPr>
        <w:t>.method</w:t>
      </w:r>
      <w:proofErr w:type="spellEnd"/>
      <w:r w:rsidRPr="00CD6F14">
        <w:rPr>
          <w:rFonts w:asciiTheme="minorHAnsi" w:hAnsiTheme="minorHAnsi" w:cstheme="minorHAnsi"/>
          <w:lang w:val="en-GB"/>
        </w:rPr>
        <w:t xml:space="preserve"> = "BH")</w:t>
      </w:r>
    </w:p>
    <w:p w14:paraId="541BF893" w14:textId="1EBF5A78" w:rsidR="00EE783C" w:rsidRPr="00CD6F14" w:rsidRDefault="00EB50F4">
      <w:pPr>
        <w:rPr>
          <w:rFonts w:asciiTheme="minorHAnsi" w:hAnsiTheme="minorHAnsi" w:cstheme="minorHAnsi"/>
          <w:lang w:val="en-GB"/>
        </w:rPr>
      </w:pPr>
      <w:r w:rsidRPr="00EB50F4">
        <w:rPr>
          <w:rFonts w:asciiTheme="minorHAnsi" w:hAnsiTheme="minorHAnsi" w:cstheme="minorHAnsi"/>
          <w:b/>
          <w:bCs/>
          <w:lang w:val="en-GB"/>
        </w:rPr>
        <w:lastRenderedPageBreak/>
        <w:t>REFERENCES</w:t>
      </w:r>
    </w:p>
    <w:p w14:paraId="36FABB05" w14:textId="4BE5746D" w:rsidR="00EB50F4" w:rsidRDefault="00EB50F4">
      <w:pPr>
        <w:rPr>
          <w:rFonts w:asciiTheme="minorHAnsi" w:hAnsiTheme="minorHAnsi" w:cstheme="minorHAnsi"/>
          <w:b/>
          <w:bCs/>
          <w:lang w:val="en-GB"/>
        </w:rPr>
      </w:pPr>
    </w:p>
    <w:p w14:paraId="5988BF9F" w14:textId="77777777" w:rsidR="00704FBD" w:rsidRPr="00704FBD" w:rsidRDefault="00EB50F4" w:rsidP="00704FBD">
      <w:pPr>
        <w:pStyle w:val="Bibliography"/>
        <w:rPr>
          <w:rFonts w:ascii="Calibri" w:hAnsi="Calibri" w:cs="Calibri"/>
        </w:rPr>
      </w:pPr>
      <w:r>
        <w:rPr>
          <w:rFonts w:asciiTheme="minorHAnsi" w:hAnsiTheme="minorHAnsi" w:cstheme="minorHAnsi"/>
          <w:b/>
          <w:bCs/>
          <w:lang w:val="en-GB"/>
        </w:rPr>
        <w:fldChar w:fldCharType="begin"/>
      </w:r>
      <w:r w:rsidR="00704FBD">
        <w:rPr>
          <w:rFonts w:asciiTheme="minorHAnsi" w:hAnsiTheme="minorHAnsi" w:cstheme="minorHAnsi"/>
          <w:b/>
          <w:bCs/>
          <w:lang w:val="en-GB"/>
        </w:rPr>
        <w:instrText xml:space="preserve"> ADDIN ZOTERO_BIBL {"uncited":[],"omitted":[],"custom":[]} CSL_BIBLIOGRAPHY </w:instrText>
      </w:r>
      <w:r>
        <w:rPr>
          <w:rFonts w:asciiTheme="minorHAnsi" w:hAnsiTheme="minorHAnsi" w:cstheme="minorHAnsi"/>
          <w:b/>
          <w:bCs/>
          <w:lang w:val="en-GB"/>
        </w:rPr>
        <w:fldChar w:fldCharType="separate"/>
      </w:r>
      <w:r w:rsidR="00704FBD" w:rsidRPr="00704FBD">
        <w:rPr>
          <w:rFonts w:ascii="Calibri" w:hAnsi="Calibri" w:cs="Calibri"/>
          <w:smallCaps/>
        </w:rPr>
        <w:t>Agerbo Rasmussen</w:t>
      </w:r>
      <w:r w:rsidR="00704FBD" w:rsidRPr="00704FBD">
        <w:rPr>
          <w:rFonts w:ascii="Calibri" w:hAnsi="Calibri" w:cs="Calibri"/>
        </w:rPr>
        <w:t xml:space="preserve">, </w:t>
      </w:r>
      <w:r w:rsidR="00704FBD" w:rsidRPr="00704FBD">
        <w:rPr>
          <w:rFonts w:ascii="Calibri" w:hAnsi="Calibri" w:cs="Calibri"/>
          <w:smallCaps/>
        </w:rPr>
        <w:t>J.</w:t>
      </w:r>
      <w:r w:rsidR="00704FBD" w:rsidRPr="00704FBD">
        <w:rPr>
          <w:rFonts w:ascii="Calibri" w:hAnsi="Calibri" w:cs="Calibri"/>
        </w:rPr>
        <w:t xml:space="preserve">, </w:t>
      </w:r>
      <w:r w:rsidR="00704FBD" w:rsidRPr="00704FBD">
        <w:rPr>
          <w:rFonts w:ascii="Calibri" w:hAnsi="Calibri" w:cs="Calibri"/>
          <w:smallCaps/>
        </w:rPr>
        <w:t>Nielsen</w:t>
      </w:r>
      <w:r w:rsidR="00704FBD" w:rsidRPr="00704FBD">
        <w:rPr>
          <w:rFonts w:ascii="Calibri" w:hAnsi="Calibri" w:cs="Calibri"/>
        </w:rPr>
        <w:t xml:space="preserve">, </w:t>
      </w:r>
      <w:r w:rsidR="00704FBD" w:rsidRPr="00704FBD">
        <w:rPr>
          <w:rFonts w:ascii="Calibri" w:hAnsi="Calibri" w:cs="Calibri"/>
          <w:smallCaps/>
        </w:rPr>
        <w:t>M.</w:t>
      </w:r>
      <w:r w:rsidR="00704FBD" w:rsidRPr="00704FBD">
        <w:rPr>
          <w:rFonts w:ascii="Calibri" w:hAnsi="Calibri" w:cs="Calibri"/>
        </w:rPr>
        <w:t xml:space="preserve">, </w:t>
      </w:r>
      <w:r w:rsidR="00704FBD" w:rsidRPr="00704FBD">
        <w:rPr>
          <w:rFonts w:ascii="Calibri" w:hAnsi="Calibri" w:cs="Calibri"/>
          <w:smallCaps/>
        </w:rPr>
        <w:t>Mak</w:t>
      </w:r>
      <w:r w:rsidR="00704FBD" w:rsidRPr="00704FBD">
        <w:rPr>
          <w:rFonts w:ascii="Calibri" w:hAnsi="Calibri" w:cs="Calibri"/>
        </w:rPr>
        <w:t xml:space="preserve">, </w:t>
      </w:r>
      <w:r w:rsidR="00704FBD" w:rsidRPr="00704FBD">
        <w:rPr>
          <w:rFonts w:ascii="Calibri" w:hAnsi="Calibri" w:cs="Calibri"/>
          <w:smallCaps/>
        </w:rPr>
        <w:t>S.S.T.</w:t>
      </w:r>
      <w:r w:rsidR="00704FBD" w:rsidRPr="00704FBD">
        <w:rPr>
          <w:rFonts w:ascii="Calibri" w:hAnsi="Calibri" w:cs="Calibri"/>
        </w:rPr>
        <w:t xml:space="preserve">, </w:t>
      </w:r>
      <w:r w:rsidR="00704FBD" w:rsidRPr="00704FBD">
        <w:rPr>
          <w:rFonts w:ascii="Calibri" w:hAnsi="Calibri" w:cs="Calibri"/>
          <w:smallCaps/>
        </w:rPr>
        <w:t>Döring</w:t>
      </w:r>
      <w:r w:rsidR="00704FBD" w:rsidRPr="00704FBD">
        <w:rPr>
          <w:rFonts w:ascii="Calibri" w:hAnsi="Calibri" w:cs="Calibri"/>
        </w:rPr>
        <w:t xml:space="preserve">, </w:t>
      </w:r>
      <w:r w:rsidR="00704FBD" w:rsidRPr="00704FBD">
        <w:rPr>
          <w:rFonts w:ascii="Calibri" w:hAnsi="Calibri" w:cs="Calibri"/>
          <w:smallCaps/>
        </w:rPr>
        <w:t>J.</w:t>
      </w:r>
      <w:r w:rsidR="00704FBD" w:rsidRPr="00704FBD">
        <w:rPr>
          <w:rFonts w:ascii="Calibri" w:hAnsi="Calibri" w:cs="Calibri"/>
        </w:rPr>
        <w:t xml:space="preserve">, </w:t>
      </w:r>
      <w:r w:rsidR="00704FBD" w:rsidRPr="00704FBD">
        <w:rPr>
          <w:rFonts w:ascii="Calibri" w:hAnsi="Calibri" w:cs="Calibri"/>
          <w:smallCaps/>
        </w:rPr>
        <w:t>Klincke</w:t>
      </w:r>
      <w:r w:rsidR="00704FBD" w:rsidRPr="00704FBD">
        <w:rPr>
          <w:rFonts w:ascii="Calibri" w:hAnsi="Calibri" w:cs="Calibri"/>
        </w:rPr>
        <w:t xml:space="preserve">, </w:t>
      </w:r>
      <w:r w:rsidR="00704FBD" w:rsidRPr="00704FBD">
        <w:rPr>
          <w:rFonts w:ascii="Calibri" w:hAnsi="Calibri" w:cs="Calibri"/>
          <w:smallCaps/>
        </w:rPr>
        <w:t>F.</w:t>
      </w:r>
      <w:r w:rsidR="00704FBD" w:rsidRPr="00704FBD">
        <w:rPr>
          <w:rFonts w:ascii="Calibri" w:hAnsi="Calibri" w:cs="Calibri"/>
        </w:rPr>
        <w:t xml:space="preserve">, </w:t>
      </w:r>
      <w:r w:rsidR="00704FBD" w:rsidRPr="00704FBD">
        <w:rPr>
          <w:rFonts w:ascii="Calibri" w:hAnsi="Calibri" w:cs="Calibri"/>
          <w:smallCaps/>
        </w:rPr>
        <w:t>Gopalakrishnan</w:t>
      </w:r>
      <w:r w:rsidR="00704FBD" w:rsidRPr="00704FBD">
        <w:rPr>
          <w:rFonts w:ascii="Calibri" w:hAnsi="Calibri" w:cs="Calibri"/>
        </w:rPr>
        <w:t xml:space="preserve">, </w:t>
      </w:r>
      <w:r w:rsidR="00704FBD" w:rsidRPr="00704FBD">
        <w:rPr>
          <w:rFonts w:ascii="Calibri" w:hAnsi="Calibri" w:cs="Calibri"/>
          <w:smallCaps/>
        </w:rPr>
        <w:t>S.</w:t>
      </w:r>
      <w:r w:rsidR="00704FBD" w:rsidRPr="00704FBD">
        <w:rPr>
          <w:rFonts w:ascii="Calibri" w:hAnsi="Calibri" w:cs="Calibri"/>
        </w:rPr>
        <w:t xml:space="preserve">, </w:t>
      </w:r>
      <w:r w:rsidR="00704FBD" w:rsidRPr="00704FBD">
        <w:rPr>
          <w:rFonts w:ascii="Calibri" w:hAnsi="Calibri" w:cs="Calibri"/>
          <w:smallCaps/>
        </w:rPr>
        <w:t>Dunn</w:t>
      </w:r>
      <w:r w:rsidR="00704FBD" w:rsidRPr="00704FBD">
        <w:rPr>
          <w:rFonts w:ascii="Calibri" w:hAnsi="Calibri" w:cs="Calibri"/>
        </w:rPr>
        <w:t xml:space="preserve">, </w:t>
      </w:r>
      <w:r w:rsidR="00704FBD" w:rsidRPr="00704FBD">
        <w:rPr>
          <w:rFonts w:ascii="Calibri" w:hAnsi="Calibri" w:cs="Calibri"/>
          <w:smallCaps/>
        </w:rPr>
        <w:t>R.R.</w:t>
      </w:r>
      <w:r w:rsidR="00704FBD" w:rsidRPr="00704FBD">
        <w:rPr>
          <w:rFonts w:ascii="Calibri" w:hAnsi="Calibri" w:cs="Calibri"/>
        </w:rPr>
        <w:t xml:space="preserve">, </w:t>
      </w:r>
      <w:r w:rsidR="00704FBD" w:rsidRPr="00704FBD">
        <w:rPr>
          <w:rFonts w:ascii="Calibri" w:hAnsi="Calibri" w:cs="Calibri"/>
          <w:smallCaps/>
        </w:rPr>
        <w:t>Kauer</w:t>
      </w:r>
      <w:r w:rsidR="00704FBD" w:rsidRPr="00704FBD">
        <w:rPr>
          <w:rFonts w:ascii="Calibri" w:hAnsi="Calibri" w:cs="Calibri"/>
        </w:rPr>
        <w:t xml:space="preserve">, </w:t>
      </w:r>
      <w:r w:rsidR="00704FBD" w:rsidRPr="00704FBD">
        <w:rPr>
          <w:rFonts w:ascii="Calibri" w:hAnsi="Calibri" w:cs="Calibri"/>
          <w:smallCaps/>
        </w:rPr>
        <w:t>R.</w:t>
      </w:r>
      <w:r w:rsidR="00704FBD" w:rsidRPr="00704FBD">
        <w:rPr>
          <w:rFonts w:ascii="Calibri" w:hAnsi="Calibri" w:cs="Calibri"/>
        </w:rPr>
        <w:t xml:space="preserve"> &amp; </w:t>
      </w:r>
      <w:r w:rsidR="00704FBD" w:rsidRPr="00704FBD">
        <w:rPr>
          <w:rFonts w:ascii="Calibri" w:hAnsi="Calibri" w:cs="Calibri"/>
          <w:smallCaps/>
        </w:rPr>
        <w:t>Gilbert</w:t>
      </w:r>
      <w:r w:rsidR="00704FBD" w:rsidRPr="00704FBD">
        <w:rPr>
          <w:rFonts w:ascii="Calibri" w:hAnsi="Calibri" w:cs="Calibri"/>
        </w:rPr>
        <w:t xml:space="preserve">, </w:t>
      </w:r>
      <w:r w:rsidR="00704FBD" w:rsidRPr="00704FBD">
        <w:rPr>
          <w:rFonts w:ascii="Calibri" w:hAnsi="Calibri" w:cs="Calibri"/>
          <w:smallCaps/>
        </w:rPr>
        <w:t>M.T.P.</w:t>
      </w:r>
      <w:r w:rsidR="00704FBD" w:rsidRPr="00704FBD">
        <w:rPr>
          <w:rFonts w:ascii="Calibri" w:hAnsi="Calibri" w:cs="Calibri"/>
        </w:rPr>
        <w:t xml:space="preserve"> 2021. eDNA‐based biomonitoring at an experimental German vineyard to characterize how management regimes shape ecosystem diversity. </w:t>
      </w:r>
      <w:r w:rsidR="00704FBD" w:rsidRPr="00704FBD">
        <w:rPr>
          <w:rFonts w:ascii="Calibri" w:hAnsi="Calibri" w:cs="Calibri"/>
          <w:i/>
          <w:iCs/>
        </w:rPr>
        <w:t>Environmental DNA (Hoboken, N.J.)</w:t>
      </w:r>
      <w:r w:rsidR="00704FBD" w:rsidRPr="00704FBD">
        <w:rPr>
          <w:rFonts w:ascii="Calibri" w:hAnsi="Calibri" w:cs="Calibri"/>
        </w:rPr>
        <w:t xml:space="preserve">, </w:t>
      </w:r>
      <w:r w:rsidR="00704FBD" w:rsidRPr="00704FBD">
        <w:rPr>
          <w:rFonts w:ascii="Calibri" w:hAnsi="Calibri" w:cs="Calibri"/>
          <w:b/>
          <w:bCs/>
        </w:rPr>
        <w:t>3</w:t>
      </w:r>
      <w:r w:rsidR="00704FBD" w:rsidRPr="00704FBD">
        <w:rPr>
          <w:rFonts w:ascii="Calibri" w:hAnsi="Calibri" w:cs="Calibri"/>
        </w:rPr>
        <w:t>, 70–82, 10.1002/edn3.131.</w:t>
      </w:r>
    </w:p>
    <w:p w14:paraId="6E2C1984" w14:textId="77777777" w:rsidR="00704FBD" w:rsidRPr="00704FBD" w:rsidRDefault="00704FBD" w:rsidP="00704FBD">
      <w:pPr>
        <w:pStyle w:val="Bibliography"/>
        <w:rPr>
          <w:rFonts w:ascii="Calibri" w:hAnsi="Calibri" w:cs="Calibri"/>
        </w:rPr>
      </w:pPr>
      <w:r w:rsidRPr="00704FBD">
        <w:rPr>
          <w:rFonts w:ascii="Calibri" w:hAnsi="Calibri" w:cs="Calibri"/>
          <w:smallCaps/>
        </w:rPr>
        <w:t>Amaral-Zettler</w:t>
      </w:r>
      <w:r w:rsidRPr="00704FBD">
        <w:rPr>
          <w:rFonts w:ascii="Calibri" w:hAnsi="Calibri" w:cs="Calibri"/>
        </w:rPr>
        <w:t xml:space="preserve">, </w:t>
      </w:r>
      <w:r w:rsidRPr="00704FBD">
        <w:rPr>
          <w:rFonts w:ascii="Calibri" w:hAnsi="Calibri" w:cs="Calibri"/>
          <w:smallCaps/>
        </w:rPr>
        <w:t>L.A.</w:t>
      </w:r>
      <w:r w:rsidRPr="00704FBD">
        <w:rPr>
          <w:rFonts w:ascii="Calibri" w:hAnsi="Calibri" w:cs="Calibri"/>
        </w:rPr>
        <w:t xml:space="preserve">, </w:t>
      </w:r>
      <w:r w:rsidRPr="00704FBD">
        <w:rPr>
          <w:rFonts w:ascii="Calibri" w:hAnsi="Calibri" w:cs="Calibri"/>
          <w:smallCaps/>
        </w:rPr>
        <w:t>Bauer</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Berg-Lyons</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Betley</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Caporaso</w:t>
      </w:r>
      <w:r w:rsidRPr="00704FBD">
        <w:rPr>
          <w:rFonts w:ascii="Calibri" w:hAnsi="Calibri" w:cs="Calibri"/>
        </w:rPr>
        <w:t xml:space="preserve">, </w:t>
      </w:r>
      <w:r w:rsidRPr="00704FBD">
        <w:rPr>
          <w:rFonts w:ascii="Calibri" w:hAnsi="Calibri" w:cs="Calibri"/>
          <w:smallCaps/>
        </w:rPr>
        <w:t>G.J.</w:t>
      </w:r>
      <w:r w:rsidRPr="00704FBD">
        <w:rPr>
          <w:rFonts w:ascii="Calibri" w:hAnsi="Calibri" w:cs="Calibri"/>
        </w:rPr>
        <w:t xml:space="preserve">, </w:t>
      </w:r>
      <w:r w:rsidRPr="00704FBD">
        <w:rPr>
          <w:rFonts w:ascii="Calibri" w:hAnsi="Calibri" w:cs="Calibri"/>
          <w:smallCaps/>
        </w:rPr>
        <w:t>Ducklow</w:t>
      </w:r>
      <w:r w:rsidRPr="00704FBD">
        <w:rPr>
          <w:rFonts w:ascii="Calibri" w:hAnsi="Calibri" w:cs="Calibri"/>
        </w:rPr>
        <w:t xml:space="preserve">, </w:t>
      </w:r>
      <w:r w:rsidRPr="00704FBD">
        <w:rPr>
          <w:rFonts w:ascii="Calibri" w:hAnsi="Calibri" w:cs="Calibri"/>
          <w:smallCaps/>
        </w:rPr>
        <w:t>H.W.</w:t>
      </w:r>
      <w:r w:rsidRPr="00704FBD">
        <w:rPr>
          <w:rFonts w:ascii="Calibri" w:hAnsi="Calibri" w:cs="Calibri"/>
        </w:rPr>
        <w:t xml:space="preserve">, </w:t>
      </w:r>
      <w:r w:rsidRPr="00704FBD">
        <w:rPr>
          <w:rFonts w:ascii="Calibri" w:hAnsi="Calibri" w:cs="Calibri"/>
          <w:smallCaps/>
        </w:rPr>
        <w:t>Fierer</w:t>
      </w:r>
      <w:r w:rsidRPr="00704FBD">
        <w:rPr>
          <w:rFonts w:ascii="Calibri" w:hAnsi="Calibri" w:cs="Calibri"/>
        </w:rPr>
        <w:t xml:space="preserve">, </w:t>
      </w:r>
      <w:r w:rsidRPr="00704FBD">
        <w:rPr>
          <w:rFonts w:ascii="Calibri" w:hAnsi="Calibri" w:cs="Calibri"/>
          <w:smallCaps/>
        </w:rPr>
        <w:t>N.</w:t>
      </w:r>
      <w:r w:rsidRPr="00704FBD">
        <w:rPr>
          <w:rFonts w:ascii="Calibri" w:hAnsi="Calibri" w:cs="Calibri"/>
        </w:rPr>
        <w:t>, et al. 2018. EMP 18S Illumina Amplicon Protocol, 10.17504/protocols.io.nuvdew6.</w:t>
      </w:r>
    </w:p>
    <w:p w14:paraId="2CDBC63B" w14:textId="77777777" w:rsidR="00704FBD" w:rsidRPr="00704FBD" w:rsidRDefault="00704FBD" w:rsidP="00704FBD">
      <w:pPr>
        <w:pStyle w:val="Bibliography"/>
        <w:rPr>
          <w:rFonts w:ascii="Calibri" w:hAnsi="Calibri" w:cs="Calibri"/>
        </w:rPr>
      </w:pPr>
      <w:r w:rsidRPr="00704FBD">
        <w:rPr>
          <w:rFonts w:ascii="Calibri" w:hAnsi="Calibri" w:cs="Calibri"/>
          <w:smallCaps/>
        </w:rPr>
        <w:t>Andersen</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w:t>
      </w:r>
      <w:r w:rsidRPr="00704FBD">
        <w:rPr>
          <w:rFonts w:ascii="Calibri" w:hAnsi="Calibri" w:cs="Calibri"/>
          <w:smallCaps/>
        </w:rPr>
        <w:t>Bird</w:t>
      </w:r>
      <w:r w:rsidRPr="00704FBD">
        <w:rPr>
          <w:rFonts w:ascii="Calibri" w:hAnsi="Calibri" w:cs="Calibri"/>
        </w:rPr>
        <w:t xml:space="preserve">, </w:t>
      </w:r>
      <w:r w:rsidRPr="00704FBD">
        <w:rPr>
          <w:rFonts w:ascii="Calibri" w:hAnsi="Calibri" w:cs="Calibri"/>
          <w:smallCaps/>
        </w:rPr>
        <w:t>K.L.</w:t>
      </w:r>
      <w:r w:rsidRPr="00704FBD">
        <w:rPr>
          <w:rFonts w:ascii="Calibri" w:hAnsi="Calibri" w:cs="Calibri"/>
        </w:rPr>
        <w:t xml:space="preserve">, </w:t>
      </w:r>
      <w:r w:rsidRPr="00704FBD">
        <w:rPr>
          <w:rFonts w:ascii="Calibri" w:hAnsi="Calibri" w:cs="Calibri"/>
          <w:smallCaps/>
        </w:rPr>
        <w:t>Rasmussen</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Haile</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Breuning-Madsen</w:t>
      </w:r>
      <w:r w:rsidRPr="00704FBD">
        <w:rPr>
          <w:rFonts w:ascii="Calibri" w:hAnsi="Calibri" w:cs="Calibri"/>
        </w:rPr>
        <w:t xml:space="preserve">, </w:t>
      </w:r>
      <w:r w:rsidRPr="00704FBD">
        <w:rPr>
          <w:rFonts w:ascii="Calibri" w:hAnsi="Calibri" w:cs="Calibri"/>
          <w:smallCaps/>
        </w:rPr>
        <w:t>H.</w:t>
      </w:r>
      <w:r w:rsidRPr="00704FBD">
        <w:rPr>
          <w:rFonts w:ascii="Calibri" w:hAnsi="Calibri" w:cs="Calibri"/>
        </w:rPr>
        <w:t xml:space="preserve">, </w:t>
      </w:r>
      <w:r w:rsidRPr="00704FBD">
        <w:rPr>
          <w:rFonts w:ascii="Calibri" w:hAnsi="Calibri" w:cs="Calibri"/>
          <w:smallCaps/>
        </w:rPr>
        <w:t>Kjaer</w:t>
      </w:r>
      <w:r w:rsidRPr="00704FBD">
        <w:rPr>
          <w:rFonts w:ascii="Calibri" w:hAnsi="Calibri" w:cs="Calibri"/>
        </w:rPr>
        <w:t xml:space="preserve">, </w:t>
      </w:r>
      <w:r w:rsidRPr="00704FBD">
        <w:rPr>
          <w:rFonts w:ascii="Calibri" w:hAnsi="Calibri" w:cs="Calibri"/>
          <w:smallCaps/>
        </w:rPr>
        <w:t>K.H.</w:t>
      </w:r>
      <w:r w:rsidRPr="00704FBD">
        <w:rPr>
          <w:rFonts w:ascii="Calibri" w:hAnsi="Calibri" w:cs="Calibri"/>
        </w:rPr>
        <w:t xml:space="preserve">, </w:t>
      </w:r>
      <w:r w:rsidRPr="00704FBD">
        <w:rPr>
          <w:rFonts w:ascii="Calibri" w:hAnsi="Calibri" w:cs="Calibri"/>
          <w:smallCaps/>
        </w:rPr>
        <w:t>Orlando</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Gilbert</w:t>
      </w:r>
      <w:r w:rsidRPr="00704FBD">
        <w:rPr>
          <w:rFonts w:ascii="Calibri" w:hAnsi="Calibri" w:cs="Calibri"/>
        </w:rPr>
        <w:t xml:space="preserve">, </w:t>
      </w:r>
      <w:r w:rsidRPr="00704FBD">
        <w:rPr>
          <w:rFonts w:ascii="Calibri" w:hAnsi="Calibri" w:cs="Calibri"/>
          <w:smallCaps/>
        </w:rPr>
        <w:t>M.T.P.</w:t>
      </w:r>
      <w:r w:rsidRPr="00704FBD">
        <w:rPr>
          <w:rFonts w:ascii="Calibri" w:hAnsi="Calibri" w:cs="Calibri"/>
        </w:rPr>
        <w:t xml:space="preserve"> &amp; </w:t>
      </w:r>
      <w:r w:rsidRPr="00704FBD">
        <w:rPr>
          <w:rFonts w:ascii="Calibri" w:hAnsi="Calibri" w:cs="Calibri"/>
          <w:smallCaps/>
        </w:rPr>
        <w:t>Willerslev</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2012. Meta-barcoding of ‘dirt’DNA from soil reflects vertebrate biodiversity. </w:t>
      </w:r>
      <w:r w:rsidRPr="00704FBD">
        <w:rPr>
          <w:rFonts w:ascii="Calibri" w:hAnsi="Calibri" w:cs="Calibri"/>
          <w:i/>
          <w:iCs/>
        </w:rPr>
        <w:t>Molecular Ecology</w:t>
      </w:r>
      <w:r w:rsidRPr="00704FBD">
        <w:rPr>
          <w:rFonts w:ascii="Calibri" w:hAnsi="Calibri" w:cs="Calibri"/>
        </w:rPr>
        <w:t xml:space="preserve">, </w:t>
      </w:r>
      <w:r w:rsidRPr="00704FBD">
        <w:rPr>
          <w:rFonts w:ascii="Calibri" w:hAnsi="Calibri" w:cs="Calibri"/>
          <w:b/>
          <w:bCs/>
        </w:rPr>
        <w:t>21</w:t>
      </w:r>
      <w:r w:rsidRPr="00704FBD">
        <w:rPr>
          <w:rFonts w:ascii="Calibri" w:hAnsi="Calibri" w:cs="Calibri"/>
        </w:rPr>
        <w:t>, 1966–1979.</w:t>
      </w:r>
    </w:p>
    <w:p w14:paraId="065080DB" w14:textId="77777777" w:rsidR="00704FBD" w:rsidRPr="00704FBD" w:rsidRDefault="00704FBD" w:rsidP="00704FBD">
      <w:pPr>
        <w:pStyle w:val="Bibliography"/>
        <w:rPr>
          <w:rFonts w:ascii="Calibri" w:hAnsi="Calibri" w:cs="Calibri"/>
        </w:rPr>
      </w:pPr>
      <w:r w:rsidRPr="00704FBD">
        <w:rPr>
          <w:rFonts w:ascii="Calibri" w:hAnsi="Calibri" w:cs="Calibri"/>
          <w:smallCaps/>
        </w:rPr>
        <w:t>Barrett</w:t>
      </w:r>
      <w:r w:rsidRPr="00704FBD">
        <w:rPr>
          <w:rFonts w:ascii="Calibri" w:hAnsi="Calibri" w:cs="Calibri"/>
        </w:rPr>
        <w:t xml:space="preserve">, </w:t>
      </w:r>
      <w:r w:rsidRPr="00704FBD">
        <w:rPr>
          <w:rFonts w:ascii="Calibri" w:hAnsi="Calibri" w:cs="Calibri"/>
          <w:smallCaps/>
        </w:rPr>
        <w:t>J.E.</w:t>
      </w:r>
      <w:r w:rsidRPr="00704FBD">
        <w:rPr>
          <w:rFonts w:ascii="Calibri" w:hAnsi="Calibri" w:cs="Calibri"/>
        </w:rPr>
        <w:t xml:space="preserve">, </w:t>
      </w:r>
      <w:r w:rsidRPr="00704FBD">
        <w:rPr>
          <w:rFonts w:ascii="Calibri" w:hAnsi="Calibri" w:cs="Calibri"/>
          <w:smallCaps/>
        </w:rPr>
        <w:t>Virginia</w:t>
      </w:r>
      <w:r w:rsidRPr="00704FBD">
        <w:rPr>
          <w:rFonts w:ascii="Calibri" w:hAnsi="Calibri" w:cs="Calibri"/>
        </w:rPr>
        <w:t xml:space="preserve">, </w:t>
      </w:r>
      <w:r w:rsidRPr="00704FBD">
        <w:rPr>
          <w:rFonts w:ascii="Calibri" w:hAnsi="Calibri" w:cs="Calibri"/>
          <w:smallCaps/>
        </w:rPr>
        <w:t>R.A.</w:t>
      </w:r>
      <w:r w:rsidRPr="00704FBD">
        <w:rPr>
          <w:rFonts w:ascii="Calibri" w:hAnsi="Calibri" w:cs="Calibri"/>
        </w:rPr>
        <w:t xml:space="preserve">, </w:t>
      </w:r>
      <w:r w:rsidRPr="00704FBD">
        <w:rPr>
          <w:rFonts w:ascii="Calibri" w:hAnsi="Calibri" w:cs="Calibri"/>
          <w:smallCaps/>
        </w:rPr>
        <w:t>Wall</w:t>
      </w:r>
      <w:r w:rsidRPr="00704FBD">
        <w:rPr>
          <w:rFonts w:ascii="Calibri" w:hAnsi="Calibri" w:cs="Calibri"/>
        </w:rPr>
        <w:t xml:space="preserve">, </w:t>
      </w:r>
      <w:r w:rsidRPr="00704FBD">
        <w:rPr>
          <w:rFonts w:ascii="Calibri" w:hAnsi="Calibri" w:cs="Calibri"/>
          <w:smallCaps/>
        </w:rPr>
        <w:t>D.H.</w:t>
      </w:r>
      <w:r w:rsidRPr="00704FBD">
        <w:rPr>
          <w:rFonts w:ascii="Calibri" w:hAnsi="Calibri" w:cs="Calibri"/>
        </w:rPr>
        <w:t xml:space="preserve">, </w:t>
      </w:r>
      <w:r w:rsidRPr="00704FBD">
        <w:rPr>
          <w:rFonts w:ascii="Calibri" w:hAnsi="Calibri" w:cs="Calibri"/>
          <w:smallCaps/>
        </w:rPr>
        <w:t>Cary</w:t>
      </w:r>
      <w:r w:rsidRPr="00704FBD">
        <w:rPr>
          <w:rFonts w:ascii="Calibri" w:hAnsi="Calibri" w:cs="Calibri"/>
        </w:rPr>
        <w:t xml:space="preserve">, </w:t>
      </w:r>
      <w:r w:rsidRPr="00704FBD">
        <w:rPr>
          <w:rFonts w:ascii="Calibri" w:hAnsi="Calibri" w:cs="Calibri"/>
          <w:smallCaps/>
        </w:rPr>
        <w:t>S.C.</w:t>
      </w:r>
      <w:r w:rsidRPr="00704FBD">
        <w:rPr>
          <w:rFonts w:ascii="Calibri" w:hAnsi="Calibri" w:cs="Calibri"/>
        </w:rPr>
        <w:t xml:space="preserve">, </w:t>
      </w:r>
      <w:r w:rsidRPr="00704FBD">
        <w:rPr>
          <w:rFonts w:ascii="Calibri" w:hAnsi="Calibri" w:cs="Calibri"/>
          <w:smallCaps/>
        </w:rPr>
        <w:t>Adams</w:t>
      </w:r>
      <w:r w:rsidRPr="00704FBD">
        <w:rPr>
          <w:rFonts w:ascii="Calibri" w:hAnsi="Calibri" w:cs="Calibri"/>
        </w:rPr>
        <w:t xml:space="preserve">, </w:t>
      </w:r>
      <w:r w:rsidRPr="00704FBD">
        <w:rPr>
          <w:rFonts w:ascii="Calibri" w:hAnsi="Calibri" w:cs="Calibri"/>
          <w:smallCaps/>
        </w:rPr>
        <w:t>B.J.</w:t>
      </w:r>
      <w:r w:rsidRPr="00704FBD">
        <w:rPr>
          <w:rFonts w:ascii="Calibri" w:hAnsi="Calibri" w:cs="Calibri"/>
        </w:rPr>
        <w:t xml:space="preserve">, </w:t>
      </w:r>
      <w:r w:rsidRPr="00704FBD">
        <w:rPr>
          <w:rFonts w:ascii="Calibri" w:hAnsi="Calibri" w:cs="Calibri"/>
          <w:smallCaps/>
        </w:rPr>
        <w:t>Hacker</w:t>
      </w:r>
      <w:r w:rsidRPr="00704FBD">
        <w:rPr>
          <w:rFonts w:ascii="Calibri" w:hAnsi="Calibri" w:cs="Calibri"/>
        </w:rPr>
        <w:t xml:space="preserve">, </w:t>
      </w:r>
      <w:r w:rsidRPr="00704FBD">
        <w:rPr>
          <w:rFonts w:ascii="Calibri" w:hAnsi="Calibri" w:cs="Calibri"/>
          <w:smallCaps/>
        </w:rPr>
        <w:t>A.L.</w:t>
      </w:r>
      <w:r w:rsidRPr="00704FBD">
        <w:rPr>
          <w:rFonts w:ascii="Calibri" w:hAnsi="Calibri" w:cs="Calibri"/>
        </w:rPr>
        <w:t xml:space="preserve"> &amp; </w:t>
      </w:r>
      <w:r w:rsidRPr="00704FBD">
        <w:rPr>
          <w:rFonts w:ascii="Calibri" w:hAnsi="Calibri" w:cs="Calibri"/>
          <w:smallCaps/>
        </w:rPr>
        <w:t>Aislabie</w:t>
      </w:r>
      <w:r w:rsidRPr="00704FBD">
        <w:rPr>
          <w:rFonts w:ascii="Calibri" w:hAnsi="Calibri" w:cs="Calibri"/>
        </w:rPr>
        <w:t xml:space="preserve">, </w:t>
      </w:r>
      <w:r w:rsidRPr="00704FBD">
        <w:rPr>
          <w:rFonts w:ascii="Calibri" w:hAnsi="Calibri" w:cs="Calibri"/>
          <w:smallCaps/>
        </w:rPr>
        <w:t>J.M.</w:t>
      </w:r>
      <w:r w:rsidRPr="00704FBD">
        <w:rPr>
          <w:rFonts w:ascii="Calibri" w:hAnsi="Calibri" w:cs="Calibri"/>
        </w:rPr>
        <w:t xml:space="preserve"> 2006. Co-variation in soil biodiversity and biogeochemistry in northern and southern Victoria Land, Antarctica. </w:t>
      </w:r>
      <w:r w:rsidRPr="00704FBD">
        <w:rPr>
          <w:rFonts w:ascii="Calibri" w:hAnsi="Calibri" w:cs="Calibri"/>
          <w:i/>
          <w:iCs/>
        </w:rPr>
        <w:t>Antarctic Science</w:t>
      </w:r>
      <w:r w:rsidRPr="00704FBD">
        <w:rPr>
          <w:rFonts w:ascii="Calibri" w:hAnsi="Calibri" w:cs="Calibri"/>
        </w:rPr>
        <w:t xml:space="preserve">, </w:t>
      </w:r>
      <w:r w:rsidRPr="00704FBD">
        <w:rPr>
          <w:rFonts w:ascii="Calibri" w:hAnsi="Calibri" w:cs="Calibri"/>
          <w:b/>
          <w:bCs/>
        </w:rPr>
        <w:t>18</w:t>
      </w:r>
      <w:r w:rsidRPr="00704FBD">
        <w:rPr>
          <w:rFonts w:ascii="Calibri" w:hAnsi="Calibri" w:cs="Calibri"/>
        </w:rPr>
        <w:t>, 535–548.</w:t>
      </w:r>
    </w:p>
    <w:p w14:paraId="596C069B" w14:textId="77777777" w:rsidR="00704FBD" w:rsidRPr="00704FBD" w:rsidRDefault="00704FBD" w:rsidP="00704FBD">
      <w:pPr>
        <w:pStyle w:val="Bibliography"/>
        <w:rPr>
          <w:rFonts w:ascii="Calibri" w:hAnsi="Calibri" w:cs="Calibri"/>
        </w:rPr>
      </w:pPr>
      <w:r w:rsidRPr="00704FBD">
        <w:rPr>
          <w:rFonts w:ascii="Calibri" w:hAnsi="Calibri" w:cs="Calibri"/>
          <w:smallCaps/>
        </w:rPr>
        <w:t>Bienert</w:t>
      </w:r>
      <w:r w:rsidRPr="00704FBD">
        <w:rPr>
          <w:rFonts w:ascii="Calibri" w:hAnsi="Calibri" w:cs="Calibri"/>
        </w:rPr>
        <w:t xml:space="preserve">, </w:t>
      </w:r>
      <w:r w:rsidRPr="00704FBD">
        <w:rPr>
          <w:rFonts w:ascii="Calibri" w:hAnsi="Calibri" w:cs="Calibri"/>
          <w:smallCaps/>
        </w:rPr>
        <w:t>F.</w:t>
      </w:r>
      <w:r w:rsidRPr="00704FBD">
        <w:rPr>
          <w:rFonts w:ascii="Calibri" w:hAnsi="Calibri" w:cs="Calibri"/>
        </w:rPr>
        <w:t xml:space="preserve">, </w:t>
      </w:r>
      <w:r w:rsidRPr="00704FBD">
        <w:rPr>
          <w:rFonts w:ascii="Calibri" w:hAnsi="Calibri" w:cs="Calibri"/>
          <w:smallCaps/>
        </w:rPr>
        <w:t>De Danieli</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Miquel</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w:t>
      </w:r>
      <w:r w:rsidRPr="00704FBD">
        <w:rPr>
          <w:rFonts w:ascii="Calibri" w:hAnsi="Calibri" w:cs="Calibri"/>
          <w:smallCaps/>
        </w:rPr>
        <w:t>Coissac</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w:t>
      </w:r>
      <w:r w:rsidRPr="00704FBD">
        <w:rPr>
          <w:rFonts w:ascii="Calibri" w:hAnsi="Calibri" w:cs="Calibri"/>
          <w:smallCaps/>
        </w:rPr>
        <w:t>Poillot</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w:t>
      </w:r>
      <w:r w:rsidRPr="00704FBD">
        <w:rPr>
          <w:rFonts w:ascii="Calibri" w:hAnsi="Calibri" w:cs="Calibri"/>
          <w:smallCaps/>
        </w:rPr>
        <w:t>BRUN</w:t>
      </w:r>
      <w:r w:rsidRPr="00704FBD">
        <w:rPr>
          <w:rFonts w:ascii="Calibri" w:hAnsi="Calibri" w:cs="Calibri"/>
        </w:rPr>
        <w:t xml:space="preserve">, </w:t>
      </w:r>
      <w:r w:rsidRPr="00704FBD">
        <w:rPr>
          <w:rFonts w:ascii="Calibri" w:hAnsi="Calibri" w:cs="Calibri"/>
          <w:smallCaps/>
        </w:rPr>
        <w:t>J.-J.</w:t>
      </w:r>
      <w:r w:rsidRPr="00704FBD">
        <w:rPr>
          <w:rFonts w:ascii="Calibri" w:hAnsi="Calibri" w:cs="Calibri"/>
        </w:rPr>
        <w:t xml:space="preserve"> &amp; </w:t>
      </w:r>
      <w:r w:rsidRPr="00704FBD">
        <w:rPr>
          <w:rFonts w:ascii="Calibri" w:hAnsi="Calibri" w:cs="Calibri"/>
          <w:smallCaps/>
        </w:rPr>
        <w:t>Taberlet</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2012. Tracking earthworm communities from soil DNA. </w:t>
      </w:r>
      <w:r w:rsidRPr="00704FBD">
        <w:rPr>
          <w:rFonts w:ascii="Calibri" w:hAnsi="Calibri" w:cs="Calibri"/>
          <w:i/>
          <w:iCs/>
        </w:rPr>
        <w:t>Molecular Ecology</w:t>
      </w:r>
      <w:r w:rsidRPr="00704FBD">
        <w:rPr>
          <w:rFonts w:ascii="Calibri" w:hAnsi="Calibri" w:cs="Calibri"/>
        </w:rPr>
        <w:t xml:space="preserve">, </w:t>
      </w:r>
      <w:r w:rsidRPr="00704FBD">
        <w:rPr>
          <w:rFonts w:ascii="Calibri" w:hAnsi="Calibri" w:cs="Calibri"/>
          <w:b/>
          <w:bCs/>
        </w:rPr>
        <w:t>21</w:t>
      </w:r>
      <w:r w:rsidRPr="00704FBD">
        <w:rPr>
          <w:rFonts w:ascii="Calibri" w:hAnsi="Calibri" w:cs="Calibri"/>
        </w:rPr>
        <w:t>, 2017–2030.</w:t>
      </w:r>
    </w:p>
    <w:p w14:paraId="2046593A" w14:textId="77777777" w:rsidR="00704FBD" w:rsidRPr="00704FBD" w:rsidRDefault="00704FBD" w:rsidP="00704FBD">
      <w:pPr>
        <w:pStyle w:val="Bibliography"/>
        <w:rPr>
          <w:rFonts w:ascii="Calibri" w:hAnsi="Calibri" w:cs="Calibri"/>
        </w:rPr>
      </w:pPr>
      <w:r w:rsidRPr="00704FBD">
        <w:rPr>
          <w:rFonts w:ascii="Calibri" w:hAnsi="Calibri" w:cs="Calibri"/>
          <w:smallCaps/>
        </w:rPr>
        <w:t>Calderón-Sanou</w:t>
      </w:r>
      <w:r w:rsidRPr="00704FBD">
        <w:rPr>
          <w:rFonts w:ascii="Calibri" w:hAnsi="Calibri" w:cs="Calibri"/>
        </w:rPr>
        <w:t xml:space="preserve">, </w:t>
      </w:r>
      <w:r w:rsidRPr="00704FBD">
        <w:rPr>
          <w:rFonts w:ascii="Calibri" w:hAnsi="Calibri" w:cs="Calibri"/>
          <w:smallCaps/>
        </w:rPr>
        <w:t>I.</w:t>
      </w:r>
      <w:r w:rsidRPr="00704FBD">
        <w:rPr>
          <w:rFonts w:ascii="Calibri" w:hAnsi="Calibri" w:cs="Calibri"/>
        </w:rPr>
        <w:t xml:space="preserve">, </w:t>
      </w:r>
      <w:r w:rsidRPr="00704FBD">
        <w:rPr>
          <w:rFonts w:ascii="Calibri" w:hAnsi="Calibri" w:cs="Calibri"/>
          <w:smallCaps/>
        </w:rPr>
        <w:t>Münkemüller</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Zinger</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Schimann</w:t>
      </w:r>
      <w:r w:rsidRPr="00704FBD">
        <w:rPr>
          <w:rFonts w:ascii="Calibri" w:hAnsi="Calibri" w:cs="Calibri"/>
        </w:rPr>
        <w:t xml:space="preserve">, </w:t>
      </w:r>
      <w:r w:rsidRPr="00704FBD">
        <w:rPr>
          <w:rFonts w:ascii="Calibri" w:hAnsi="Calibri" w:cs="Calibri"/>
          <w:smallCaps/>
        </w:rPr>
        <w:t>H.</w:t>
      </w:r>
      <w:r w:rsidRPr="00704FBD">
        <w:rPr>
          <w:rFonts w:ascii="Calibri" w:hAnsi="Calibri" w:cs="Calibri"/>
        </w:rPr>
        <w:t xml:space="preserve">, </w:t>
      </w:r>
      <w:r w:rsidRPr="00704FBD">
        <w:rPr>
          <w:rFonts w:ascii="Calibri" w:hAnsi="Calibri" w:cs="Calibri"/>
          <w:smallCaps/>
        </w:rPr>
        <w:t>Yoccoz</w:t>
      </w:r>
      <w:r w:rsidRPr="00704FBD">
        <w:rPr>
          <w:rFonts w:ascii="Calibri" w:hAnsi="Calibri" w:cs="Calibri"/>
        </w:rPr>
        <w:t xml:space="preserve">, </w:t>
      </w:r>
      <w:r w:rsidRPr="00704FBD">
        <w:rPr>
          <w:rFonts w:ascii="Calibri" w:hAnsi="Calibri" w:cs="Calibri"/>
          <w:smallCaps/>
        </w:rPr>
        <w:t>N.G.</w:t>
      </w:r>
      <w:r w:rsidRPr="00704FBD">
        <w:rPr>
          <w:rFonts w:ascii="Calibri" w:hAnsi="Calibri" w:cs="Calibri"/>
        </w:rPr>
        <w:t xml:space="preserve">, </w:t>
      </w:r>
      <w:r w:rsidRPr="00704FBD">
        <w:rPr>
          <w:rFonts w:ascii="Calibri" w:hAnsi="Calibri" w:cs="Calibri"/>
          <w:smallCaps/>
        </w:rPr>
        <w:t>Gielly</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Foulquier</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et al. 2021. Cascading Effects of Moth Outbreaks on Subarctic Soil Food Web, 10.21203/rs.3.rs-228461/v1.</w:t>
      </w:r>
    </w:p>
    <w:p w14:paraId="45D9D5A5" w14:textId="77777777" w:rsidR="00704FBD" w:rsidRPr="00704FBD" w:rsidRDefault="00704FBD" w:rsidP="00704FBD">
      <w:pPr>
        <w:pStyle w:val="Bibliography"/>
        <w:rPr>
          <w:rFonts w:ascii="Calibri" w:hAnsi="Calibri" w:cs="Calibri"/>
        </w:rPr>
      </w:pPr>
      <w:r w:rsidRPr="00704FBD">
        <w:rPr>
          <w:rFonts w:ascii="Calibri" w:hAnsi="Calibri" w:cs="Calibri"/>
          <w:smallCaps/>
        </w:rPr>
        <w:t>Czechowski</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w:t>
      </w:r>
      <w:r w:rsidRPr="00704FBD">
        <w:rPr>
          <w:rFonts w:ascii="Calibri" w:hAnsi="Calibri" w:cs="Calibri"/>
          <w:smallCaps/>
        </w:rPr>
        <w:t>Clarke</w:t>
      </w:r>
      <w:r w:rsidRPr="00704FBD">
        <w:rPr>
          <w:rFonts w:ascii="Calibri" w:hAnsi="Calibri" w:cs="Calibri"/>
        </w:rPr>
        <w:t xml:space="preserve">, </w:t>
      </w:r>
      <w:r w:rsidRPr="00704FBD">
        <w:rPr>
          <w:rFonts w:ascii="Calibri" w:hAnsi="Calibri" w:cs="Calibri"/>
          <w:smallCaps/>
        </w:rPr>
        <w:t>L.J.</w:t>
      </w:r>
      <w:r w:rsidRPr="00704FBD">
        <w:rPr>
          <w:rFonts w:ascii="Calibri" w:hAnsi="Calibri" w:cs="Calibri"/>
        </w:rPr>
        <w:t xml:space="preserve">, </w:t>
      </w:r>
      <w:r w:rsidRPr="00704FBD">
        <w:rPr>
          <w:rFonts w:ascii="Calibri" w:hAnsi="Calibri" w:cs="Calibri"/>
          <w:smallCaps/>
        </w:rPr>
        <w:t>Breen</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Cooper</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&amp; </w:t>
      </w:r>
      <w:r w:rsidRPr="00704FBD">
        <w:rPr>
          <w:rFonts w:ascii="Calibri" w:hAnsi="Calibri" w:cs="Calibri"/>
          <w:smallCaps/>
        </w:rPr>
        <w:t>Stevens</w:t>
      </w:r>
      <w:r w:rsidRPr="00704FBD">
        <w:rPr>
          <w:rFonts w:ascii="Calibri" w:hAnsi="Calibri" w:cs="Calibri"/>
        </w:rPr>
        <w:t xml:space="preserve">, </w:t>
      </w:r>
      <w:r w:rsidRPr="00704FBD">
        <w:rPr>
          <w:rFonts w:ascii="Calibri" w:hAnsi="Calibri" w:cs="Calibri"/>
          <w:smallCaps/>
        </w:rPr>
        <w:t>M.I.</w:t>
      </w:r>
      <w:r w:rsidRPr="00704FBD">
        <w:rPr>
          <w:rFonts w:ascii="Calibri" w:hAnsi="Calibri" w:cs="Calibri"/>
        </w:rPr>
        <w:t xml:space="preserve"> 2016. Antarctic eukaryotic soil diversity of the Prince Charles Mountains revealed by high-throughput sequencing. </w:t>
      </w:r>
      <w:r w:rsidRPr="00704FBD">
        <w:rPr>
          <w:rFonts w:ascii="Calibri" w:hAnsi="Calibri" w:cs="Calibri"/>
          <w:i/>
          <w:iCs/>
        </w:rPr>
        <w:t>Soil biology &amp; biochemistry</w:t>
      </w:r>
      <w:r w:rsidRPr="00704FBD">
        <w:rPr>
          <w:rFonts w:ascii="Calibri" w:hAnsi="Calibri" w:cs="Calibri"/>
        </w:rPr>
        <w:t xml:space="preserve">, </w:t>
      </w:r>
      <w:r w:rsidRPr="00704FBD">
        <w:rPr>
          <w:rFonts w:ascii="Calibri" w:hAnsi="Calibri" w:cs="Calibri"/>
          <w:b/>
          <w:bCs/>
        </w:rPr>
        <w:t>95</w:t>
      </w:r>
      <w:r w:rsidRPr="00704FBD">
        <w:rPr>
          <w:rFonts w:ascii="Calibri" w:hAnsi="Calibri" w:cs="Calibri"/>
        </w:rPr>
        <w:t>, 112–121, 10.1016/j.soilbio.2015.12.013.</w:t>
      </w:r>
    </w:p>
    <w:p w14:paraId="50E5F109" w14:textId="77777777" w:rsidR="00704FBD" w:rsidRPr="00704FBD" w:rsidRDefault="00704FBD" w:rsidP="00704FBD">
      <w:pPr>
        <w:pStyle w:val="Bibliography"/>
        <w:rPr>
          <w:rFonts w:ascii="Calibri" w:hAnsi="Calibri" w:cs="Calibri"/>
        </w:rPr>
      </w:pPr>
      <w:r w:rsidRPr="00704FBD">
        <w:rPr>
          <w:rFonts w:ascii="Calibri" w:hAnsi="Calibri" w:cs="Calibri"/>
          <w:smallCaps/>
        </w:rPr>
        <w:t>Dopheide</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Xie</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Buckley</w:t>
      </w:r>
      <w:r w:rsidRPr="00704FBD">
        <w:rPr>
          <w:rFonts w:ascii="Calibri" w:hAnsi="Calibri" w:cs="Calibri"/>
        </w:rPr>
        <w:t xml:space="preserve">, </w:t>
      </w:r>
      <w:r w:rsidRPr="00704FBD">
        <w:rPr>
          <w:rFonts w:ascii="Calibri" w:hAnsi="Calibri" w:cs="Calibri"/>
          <w:smallCaps/>
        </w:rPr>
        <w:t>T.R.</w:t>
      </w:r>
      <w:r w:rsidRPr="00704FBD">
        <w:rPr>
          <w:rFonts w:ascii="Calibri" w:hAnsi="Calibri" w:cs="Calibri"/>
        </w:rPr>
        <w:t xml:space="preserve">, </w:t>
      </w:r>
      <w:r w:rsidRPr="00704FBD">
        <w:rPr>
          <w:rFonts w:ascii="Calibri" w:hAnsi="Calibri" w:cs="Calibri"/>
          <w:smallCaps/>
        </w:rPr>
        <w:t>Drummond</w:t>
      </w:r>
      <w:r w:rsidRPr="00704FBD">
        <w:rPr>
          <w:rFonts w:ascii="Calibri" w:hAnsi="Calibri" w:cs="Calibri"/>
        </w:rPr>
        <w:t xml:space="preserve">, </w:t>
      </w:r>
      <w:r w:rsidRPr="00704FBD">
        <w:rPr>
          <w:rFonts w:ascii="Calibri" w:hAnsi="Calibri" w:cs="Calibri"/>
          <w:smallCaps/>
        </w:rPr>
        <w:t>A.J.</w:t>
      </w:r>
      <w:r w:rsidRPr="00704FBD">
        <w:rPr>
          <w:rFonts w:ascii="Calibri" w:hAnsi="Calibri" w:cs="Calibri"/>
        </w:rPr>
        <w:t xml:space="preserve"> &amp; </w:t>
      </w:r>
      <w:r w:rsidRPr="00704FBD">
        <w:rPr>
          <w:rFonts w:ascii="Calibri" w:hAnsi="Calibri" w:cs="Calibri"/>
          <w:smallCaps/>
        </w:rPr>
        <w:t>Newcomb</w:t>
      </w:r>
      <w:r w:rsidRPr="00704FBD">
        <w:rPr>
          <w:rFonts w:ascii="Calibri" w:hAnsi="Calibri" w:cs="Calibri"/>
        </w:rPr>
        <w:t xml:space="preserve">, </w:t>
      </w:r>
      <w:r w:rsidRPr="00704FBD">
        <w:rPr>
          <w:rFonts w:ascii="Calibri" w:hAnsi="Calibri" w:cs="Calibri"/>
          <w:smallCaps/>
        </w:rPr>
        <w:t>R.D.</w:t>
      </w:r>
      <w:r w:rsidRPr="00704FBD">
        <w:rPr>
          <w:rFonts w:ascii="Calibri" w:hAnsi="Calibri" w:cs="Calibri"/>
        </w:rPr>
        <w:t xml:space="preserve"> 2019. Impacts of DNA extraction and PCR on DNA metabarcoding estimates of soil biodiversity. </w:t>
      </w:r>
      <w:r w:rsidRPr="00704FBD">
        <w:rPr>
          <w:rFonts w:ascii="Calibri" w:hAnsi="Calibri" w:cs="Calibri"/>
          <w:i/>
          <w:iCs/>
        </w:rPr>
        <w:t>Methods in Ecology and Evolution</w:t>
      </w:r>
      <w:r w:rsidRPr="00704FBD">
        <w:rPr>
          <w:rFonts w:ascii="Calibri" w:hAnsi="Calibri" w:cs="Calibri"/>
        </w:rPr>
        <w:t xml:space="preserve">, </w:t>
      </w:r>
      <w:r w:rsidRPr="00704FBD">
        <w:rPr>
          <w:rFonts w:ascii="Calibri" w:hAnsi="Calibri" w:cs="Calibri"/>
          <w:b/>
          <w:bCs/>
        </w:rPr>
        <w:t>10</w:t>
      </w:r>
      <w:r w:rsidRPr="00704FBD">
        <w:rPr>
          <w:rFonts w:ascii="Calibri" w:hAnsi="Calibri" w:cs="Calibri"/>
        </w:rPr>
        <w:t>, 120–133, 10.1111/2041-210X.13086.</w:t>
      </w:r>
    </w:p>
    <w:p w14:paraId="205CB4CC" w14:textId="77777777" w:rsidR="00704FBD" w:rsidRPr="00704FBD" w:rsidRDefault="00704FBD" w:rsidP="00704FBD">
      <w:pPr>
        <w:pStyle w:val="Bibliography"/>
        <w:rPr>
          <w:rFonts w:ascii="Calibri" w:hAnsi="Calibri" w:cs="Calibri"/>
        </w:rPr>
      </w:pPr>
      <w:r w:rsidRPr="00704FBD">
        <w:rPr>
          <w:rFonts w:ascii="Calibri" w:hAnsi="Calibri" w:cs="Calibri"/>
          <w:smallCaps/>
        </w:rPr>
        <w:t>Drummond</w:t>
      </w:r>
      <w:r w:rsidRPr="00704FBD">
        <w:rPr>
          <w:rFonts w:ascii="Calibri" w:hAnsi="Calibri" w:cs="Calibri"/>
        </w:rPr>
        <w:t xml:space="preserve">, </w:t>
      </w:r>
      <w:r w:rsidRPr="00704FBD">
        <w:rPr>
          <w:rFonts w:ascii="Calibri" w:hAnsi="Calibri" w:cs="Calibri"/>
          <w:smallCaps/>
        </w:rPr>
        <w:t>A.J.</w:t>
      </w:r>
      <w:r w:rsidRPr="00704FBD">
        <w:rPr>
          <w:rFonts w:ascii="Calibri" w:hAnsi="Calibri" w:cs="Calibri"/>
        </w:rPr>
        <w:t xml:space="preserve">, </w:t>
      </w:r>
      <w:r w:rsidRPr="00704FBD">
        <w:rPr>
          <w:rFonts w:ascii="Calibri" w:hAnsi="Calibri" w:cs="Calibri"/>
          <w:smallCaps/>
        </w:rPr>
        <w:t>Newcomb</w:t>
      </w:r>
      <w:r w:rsidRPr="00704FBD">
        <w:rPr>
          <w:rFonts w:ascii="Calibri" w:hAnsi="Calibri" w:cs="Calibri"/>
        </w:rPr>
        <w:t xml:space="preserve">, </w:t>
      </w:r>
      <w:r w:rsidRPr="00704FBD">
        <w:rPr>
          <w:rFonts w:ascii="Calibri" w:hAnsi="Calibri" w:cs="Calibri"/>
          <w:smallCaps/>
        </w:rPr>
        <w:t>R.D.</w:t>
      </w:r>
      <w:r w:rsidRPr="00704FBD">
        <w:rPr>
          <w:rFonts w:ascii="Calibri" w:hAnsi="Calibri" w:cs="Calibri"/>
        </w:rPr>
        <w:t xml:space="preserve">, </w:t>
      </w:r>
      <w:r w:rsidRPr="00704FBD">
        <w:rPr>
          <w:rFonts w:ascii="Calibri" w:hAnsi="Calibri" w:cs="Calibri"/>
          <w:smallCaps/>
        </w:rPr>
        <w:t>Buckley</w:t>
      </w:r>
      <w:r w:rsidRPr="00704FBD">
        <w:rPr>
          <w:rFonts w:ascii="Calibri" w:hAnsi="Calibri" w:cs="Calibri"/>
        </w:rPr>
        <w:t xml:space="preserve">, </w:t>
      </w:r>
      <w:r w:rsidRPr="00704FBD">
        <w:rPr>
          <w:rFonts w:ascii="Calibri" w:hAnsi="Calibri" w:cs="Calibri"/>
          <w:smallCaps/>
        </w:rPr>
        <w:t>T.R.</w:t>
      </w:r>
      <w:r w:rsidRPr="00704FBD">
        <w:rPr>
          <w:rFonts w:ascii="Calibri" w:hAnsi="Calibri" w:cs="Calibri"/>
        </w:rPr>
        <w:t xml:space="preserve">, </w:t>
      </w:r>
      <w:r w:rsidRPr="00704FBD">
        <w:rPr>
          <w:rFonts w:ascii="Calibri" w:hAnsi="Calibri" w:cs="Calibri"/>
          <w:smallCaps/>
        </w:rPr>
        <w:t>Xie</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Dopheide</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Potter</w:t>
      </w:r>
      <w:r w:rsidRPr="00704FBD">
        <w:rPr>
          <w:rFonts w:ascii="Calibri" w:hAnsi="Calibri" w:cs="Calibri"/>
        </w:rPr>
        <w:t xml:space="preserve">, </w:t>
      </w:r>
      <w:r w:rsidRPr="00704FBD">
        <w:rPr>
          <w:rFonts w:ascii="Calibri" w:hAnsi="Calibri" w:cs="Calibri"/>
          <w:smallCaps/>
        </w:rPr>
        <w:t>B.C.</w:t>
      </w:r>
      <w:r w:rsidRPr="00704FBD">
        <w:rPr>
          <w:rFonts w:ascii="Calibri" w:hAnsi="Calibri" w:cs="Calibri"/>
        </w:rPr>
        <w:t xml:space="preserve">, </w:t>
      </w:r>
      <w:r w:rsidRPr="00704FBD">
        <w:rPr>
          <w:rFonts w:ascii="Calibri" w:hAnsi="Calibri" w:cs="Calibri"/>
          <w:smallCaps/>
        </w:rPr>
        <w:t>Heled</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et al. 2015. Evaluating a multigene environmental DNA approach for biodiversity assessment. </w:t>
      </w:r>
      <w:r w:rsidRPr="00704FBD">
        <w:rPr>
          <w:rFonts w:ascii="Calibri" w:hAnsi="Calibri" w:cs="Calibri"/>
          <w:i/>
          <w:iCs/>
        </w:rPr>
        <w:t>Gigascience</w:t>
      </w:r>
      <w:r w:rsidRPr="00704FBD">
        <w:rPr>
          <w:rFonts w:ascii="Calibri" w:hAnsi="Calibri" w:cs="Calibri"/>
        </w:rPr>
        <w:t xml:space="preserve">, </w:t>
      </w:r>
      <w:r w:rsidRPr="00704FBD">
        <w:rPr>
          <w:rFonts w:ascii="Calibri" w:hAnsi="Calibri" w:cs="Calibri"/>
          <w:b/>
          <w:bCs/>
        </w:rPr>
        <w:t>4</w:t>
      </w:r>
      <w:r w:rsidRPr="00704FBD">
        <w:rPr>
          <w:rFonts w:ascii="Calibri" w:hAnsi="Calibri" w:cs="Calibri"/>
        </w:rPr>
        <w:t>, 46-, 10.1186/s13742-015-0086-1.</w:t>
      </w:r>
    </w:p>
    <w:p w14:paraId="1F90B760" w14:textId="77777777" w:rsidR="00704FBD" w:rsidRPr="00704FBD" w:rsidRDefault="00704FBD" w:rsidP="00704FBD">
      <w:pPr>
        <w:pStyle w:val="Bibliography"/>
        <w:rPr>
          <w:rFonts w:ascii="Calibri" w:hAnsi="Calibri" w:cs="Calibri"/>
        </w:rPr>
      </w:pPr>
      <w:r w:rsidRPr="00704FBD">
        <w:rPr>
          <w:rFonts w:ascii="Calibri" w:hAnsi="Calibri" w:cs="Calibri"/>
          <w:smallCaps/>
        </w:rPr>
        <w:t>Edwards</w:t>
      </w:r>
      <w:r w:rsidRPr="00704FBD">
        <w:rPr>
          <w:rFonts w:ascii="Calibri" w:hAnsi="Calibri" w:cs="Calibri"/>
        </w:rPr>
        <w:t xml:space="preserve">, </w:t>
      </w:r>
      <w:r w:rsidRPr="00704FBD">
        <w:rPr>
          <w:rFonts w:ascii="Calibri" w:hAnsi="Calibri" w:cs="Calibri"/>
          <w:smallCaps/>
        </w:rPr>
        <w:t>M.E.</w:t>
      </w:r>
      <w:r w:rsidRPr="00704FBD">
        <w:rPr>
          <w:rFonts w:ascii="Calibri" w:hAnsi="Calibri" w:cs="Calibri"/>
        </w:rPr>
        <w:t xml:space="preserve">, </w:t>
      </w:r>
      <w:r w:rsidRPr="00704FBD">
        <w:rPr>
          <w:rFonts w:ascii="Calibri" w:hAnsi="Calibri" w:cs="Calibri"/>
          <w:smallCaps/>
        </w:rPr>
        <w:t>Alsos</w:t>
      </w:r>
      <w:r w:rsidRPr="00704FBD">
        <w:rPr>
          <w:rFonts w:ascii="Calibri" w:hAnsi="Calibri" w:cs="Calibri"/>
        </w:rPr>
        <w:t xml:space="preserve">, </w:t>
      </w:r>
      <w:r w:rsidRPr="00704FBD">
        <w:rPr>
          <w:rFonts w:ascii="Calibri" w:hAnsi="Calibri" w:cs="Calibri"/>
          <w:smallCaps/>
        </w:rPr>
        <w:t>I.G.</w:t>
      </w:r>
      <w:r w:rsidRPr="00704FBD">
        <w:rPr>
          <w:rFonts w:ascii="Calibri" w:hAnsi="Calibri" w:cs="Calibri"/>
        </w:rPr>
        <w:t xml:space="preserve">, </w:t>
      </w:r>
      <w:r w:rsidRPr="00704FBD">
        <w:rPr>
          <w:rFonts w:ascii="Calibri" w:hAnsi="Calibri" w:cs="Calibri"/>
          <w:smallCaps/>
        </w:rPr>
        <w:t>Yoccoz</w:t>
      </w:r>
      <w:r w:rsidRPr="00704FBD">
        <w:rPr>
          <w:rFonts w:ascii="Calibri" w:hAnsi="Calibri" w:cs="Calibri"/>
        </w:rPr>
        <w:t xml:space="preserve">, </w:t>
      </w:r>
      <w:r w:rsidRPr="00704FBD">
        <w:rPr>
          <w:rFonts w:ascii="Calibri" w:hAnsi="Calibri" w:cs="Calibri"/>
          <w:smallCaps/>
        </w:rPr>
        <w:t>N.</w:t>
      </w:r>
      <w:r w:rsidRPr="00704FBD">
        <w:rPr>
          <w:rFonts w:ascii="Calibri" w:hAnsi="Calibri" w:cs="Calibri"/>
        </w:rPr>
        <w:t xml:space="preserve">, </w:t>
      </w:r>
      <w:r w:rsidRPr="00704FBD">
        <w:rPr>
          <w:rFonts w:ascii="Calibri" w:hAnsi="Calibri" w:cs="Calibri"/>
          <w:smallCaps/>
        </w:rPr>
        <w:t>Coissac</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w:t>
      </w:r>
      <w:r w:rsidRPr="00704FBD">
        <w:rPr>
          <w:rFonts w:ascii="Calibri" w:hAnsi="Calibri" w:cs="Calibri"/>
          <w:smallCaps/>
        </w:rPr>
        <w:t>Goslar</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Gielly</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Haile</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et al. 2018. Metabarcoding of modern soil DNA gives a highly local vegetation signal in Svalbard tundra. </w:t>
      </w:r>
      <w:r w:rsidRPr="00704FBD">
        <w:rPr>
          <w:rFonts w:ascii="Calibri" w:hAnsi="Calibri" w:cs="Calibri"/>
          <w:i/>
          <w:iCs/>
        </w:rPr>
        <w:t>Holocene (Sevenoaks)</w:t>
      </w:r>
      <w:r w:rsidRPr="00704FBD">
        <w:rPr>
          <w:rFonts w:ascii="Calibri" w:hAnsi="Calibri" w:cs="Calibri"/>
        </w:rPr>
        <w:t xml:space="preserve">, </w:t>
      </w:r>
      <w:r w:rsidRPr="00704FBD">
        <w:rPr>
          <w:rFonts w:ascii="Calibri" w:hAnsi="Calibri" w:cs="Calibri"/>
          <w:b/>
          <w:bCs/>
        </w:rPr>
        <w:t>28</w:t>
      </w:r>
      <w:r w:rsidRPr="00704FBD">
        <w:rPr>
          <w:rFonts w:ascii="Calibri" w:hAnsi="Calibri" w:cs="Calibri"/>
        </w:rPr>
        <w:t>, 2006–2016, 10.1177/0959683618798095.</w:t>
      </w:r>
    </w:p>
    <w:p w14:paraId="0DD7995F" w14:textId="77777777" w:rsidR="00704FBD" w:rsidRPr="00704FBD" w:rsidRDefault="00704FBD" w:rsidP="00704FBD">
      <w:pPr>
        <w:pStyle w:val="Bibliography"/>
        <w:rPr>
          <w:rFonts w:ascii="Calibri" w:hAnsi="Calibri" w:cs="Calibri"/>
        </w:rPr>
      </w:pPr>
      <w:r w:rsidRPr="00704FBD">
        <w:rPr>
          <w:rFonts w:ascii="Calibri" w:hAnsi="Calibri" w:cs="Calibri"/>
          <w:smallCaps/>
        </w:rPr>
        <w:t>Epp</w:t>
      </w:r>
      <w:r w:rsidRPr="00704FBD">
        <w:rPr>
          <w:rFonts w:ascii="Calibri" w:hAnsi="Calibri" w:cs="Calibri"/>
        </w:rPr>
        <w:t xml:space="preserve">, </w:t>
      </w:r>
      <w:r w:rsidRPr="00704FBD">
        <w:rPr>
          <w:rFonts w:ascii="Calibri" w:hAnsi="Calibri" w:cs="Calibri"/>
          <w:smallCaps/>
        </w:rPr>
        <w:t>L.S.</w:t>
      </w:r>
      <w:r w:rsidRPr="00704FBD">
        <w:rPr>
          <w:rFonts w:ascii="Calibri" w:hAnsi="Calibri" w:cs="Calibri"/>
        </w:rPr>
        <w:t xml:space="preserve">, </w:t>
      </w:r>
      <w:r w:rsidRPr="00704FBD">
        <w:rPr>
          <w:rFonts w:ascii="Calibri" w:hAnsi="Calibri" w:cs="Calibri"/>
          <w:smallCaps/>
        </w:rPr>
        <w:t>Boessenkool</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Bellemain</w:t>
      </w:r>
      <w:r w:rsidRPr="00704FBD">
        <w:rPr>
          <w:rFonts w:ascii="Calibri" w:hAnsi="Calibri" w:cs="Calibri"/>
        </w:rPr>
        <w:t xml:space="preserve">, </w:t>
      </w:r>
      <w:r w:rsidRPr="00704FBD">
        <w:rPr>
          <w:rFonts w:ascii="Calibri" w:hAnsi="Calibri" w:cs="Calibri"/>
          <w:smallCaps/>
        </w:rPr>
        <w:t>E.P.</w:t>
      </w:r>
      <w:r w:rsidRPr="00704FBD">
        <w:rPr>
          <w:rFonts w:ascii="Calibri" w:hAnsi="Calibri" w:cs="Calibri"/>
        </w:rPr>
        <w:t xml:space="preserve">, </w:t>
      </w:r>
      <w:r w:rsidRPr="00704FBD">
        <w:rPr>
          <w:rFonts w:ascii="Calibri" w:hAnsi="Calibri" w:cs="Calibri"/>
          <w:smallCaps/>
        </w:rPr>
        <w:t>Haile</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Esposito</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Riaz</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Erseus</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w:t>
      </w:r>
      <w:r w:rsidRPr="00704FBD">
        <w:rPr>
          <w:rFonts w:ascii="Calibri" w:hAnsi="Calibri" w:cs="Calibri"/>
          <w:smallCaps/>
        </w:rPr>
        <w:t>Gusarov</w:t>
      </w:r>
      <w:r w:rsidRPr="00704FBD">
        <w:rPr>
          <w:rFonts w:ascii="Calibri" w:hAnsi="Calibri" w:cs="Calibri"/>
        </w:rPr>
        <w:t xml:space="preserve">, </w:t>
      </w:r>
      <w:r w:rsidRPr="00704FBD">
        <w:rPr>
          <w:rFonts w:ascii="Calibri" w:hAnsi="Calibri" w:cs="Calibri"/>
          <w:smallCaps/>
        </w:rPr>
        <w:t>V.I.</w:t>
      </w:r>
      <w:r w:rsidRPr="00704FBD">
        <w:rPr>
          <w:rFonts w:ascii="Calibri" w:hAnsi="Calibri" w:cs="Calibri"/>
        </w:rPr>
        <w:t xml:space="preserve">, </w:t>
      </w:r>
      <w:r w:rsidRPr="00704FBD">
        <w:rPr>
          <w:rFonts w:ascii="Calibri" w:hAnsi="Calibri" w:cs="Calibri"/>
          <w:smallCaps/>
        </w:rPr>
        <w:t>Edwards</w:t>
      </w:r>
      <w:r w:rsidRPr="00704FBD">
        <w:rPr>
          <w:rFonts w:ascii="Calibri" w:hAnsi="Calibri" w:cs="Calibri"/>
        </w:rPr>
        <w:t xml:space="preserve">, </w:t>
      </w:r>
      <w:r w:rsidRPr="00704FBD">
        <w:rPr>
          <w:rFonts w:ascii="Calibri" w:hAnsi="Calibri" w:cs="Calibri"/>
          <w:smallCaps/>
        </w:rPr>
        <w:t>M.E.</w:t>
      </w:r>
      <w:r w:rsidRPr="00704FBD">
        <w:rPr>
          <w:rFonts w:ascii="Calibri" w:hAnsi="Calibri" w:cs="Calibri"/>
        </w:rPr>
        <w:t xml:space="preserve"> &amp; </w:t>
      </w:r>
      <w:r w:rsidRPr="00704FBD">
        <w:rPr>
          <w:rFonts w:ascii="Calibri" w:hAnsi="Calibri" w:cs="Calibri"/>
          <w:smallCaps/>
        </w:rPr>
        <w:t>Johnsen</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2012. New environmental metabarcodes for analysing soil DNA: potential for studying past and present ecosystems. </w:t>
      </w:r>
      <w:r w:rsidRPr="00704FBD">
        <w:rPr>
          <w:rFonts w:ascii="Calibri" w:hAnsi="Calibri" w:cs="Calibri"/>
          <w:i/>
          <w:iCs/>
        </w:rPr>
        <w:t>Molecular ecology</w:t>
      </w:r>
      <w:r w:rsidRPr="00704FBD">
        <w:rPr>
          <w:rFonts w:ascii="Calibri" w:hAnsi="Calibri" w:cs="Calibri"/>
        </w:rPr>
        <w:t xml:space="preserve">, </w:t>
      </w:r>
      <w:r w:rsidRPr="00704FBD">
        <w:rPr>
          <w:rFonts w:ascii="Calibri" w:hAnsi="Calibri" w:cs="Calibri"/>
          <w:b/>
          <w:bCs/>
        </w:rPr>
        <w:t>21</w:t>
      </w:r>
      <w:r w:rsidRPr="00704FBD">
        <w:rPr>
          <w:rFonts w:ascii="Calibri" w:hAnsi="Calibri" w:cs="Calibri"/>
        </w:rPr>
        <w:t>, 1821–1833.</w:t>
      </w:r>
    </w:p>
    <w:p w14:paraId="23238D88" w14:textId="77777777" w:rsidR="00704FBD" w:rsidRPr="00704FBD" w:rsidRDefault="00704FBD" w:rsidP="00704FBD">
      <w:pPr>
        <w:pStyle w:val="Bibliography"/>
        <w:rPr>
          <w:rFonts w:ascii="Calibri" w:hAnsi="Calibri" w:cs="Calibri"/>
        </w:rPr>
      </w:pPr>
      <w:r w:rsidRPr="00704FBD">
        <w:rPr>
          <w:rFonts w:ascii="Calibri" w:hAnsi="Calibri" w:cs="Calibri"/>
          <w:smallCaps/>
        </w:rPr>
        <w:lastRenderedPageBreak/>
        <w:t>Fløjgaard</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w:t>
      </w:r>
      <w:r w:rsidRPr="00704FBD">
        <w:rPr>
          <w:rFonts w:ascii="Calibri" w:hAnsi="Calibri" w:cs="Calibri"/>
          <w:smallCaps/>
        </w:rPr>
        <w:t>Frøslev</w:t>
      </w:r>
      <w:r w:rsidRPr="00704FBD">
        <w:rPr>
          <w:rFonts w:ascii="Calibri" w:hAnsi="Calibri" w:cs="Calibri"/>
        </w:rPr>
        <w:t xml:space="preserve">, </w:t>
      </w:r>
      <w:r w:rsidRPr="00704FBD">
        <w:rPr>
          <w:rFonts w:ascii="Calibri" w:hAnsi="Calibri" w:cs="Calibri"/>
          <w:smallCaps/>
        </w:rPr>
        <w:t>T.G.</w:t>
      </w:r>
      <w:r w:rsidRPr="00704FBD">
        <w:rPr>
          <w:rFonts w:ascii="Calibri" w:hAnsi="Calibri" w:cs="Calibri"/>
        </w:rPr>
        <w:t xml:space="preserve">, </w:t>
      </w:r>
      <w:r w:rsidRPr="00704FBD">
        <w:rPr>
          <w:rFonts w:ascii="Calibri" w:hAnsi="Calibri" w:cs="Calibri"/>
          <w:smallCaps/>
        </w:rPr>
        <w:t>Brunbjerg</w:t>
      </w:r>
      <w:r w:rsidRPr="00704FBD">
        <w:rPr>
          <w:rFonts w:ascii="Calibri" w:hAnsi="Calibri" w:cs="Calibri"/>
        </w:rPr>
        <w:t xml:space="preserve">, </w:t>
      </w:r>
      <w:r w:rsidRPr="00704FBD">
        <w:rPr>
          <w:rFonts w:ascii="Calibri" w:hAnsi="Calibri" w:cs="Calibri"/>
          <w:smallCaps/>
        </w:rPr>
        <w:t>A.K.</w:t>
      </w:r>
      <w:r w:rsidRPr="00704FBD">
        <w:rPr>
          <w:rFonts w:ascii="Calibri" w:hAnsi="Calibri" w:cs="Calibri"/>
        </w:rPr>
        <w:t xml:space="preserve">, </w:t>
      </w:r>
      <w:r w:rsidRPr="00704FBD">
        <w:rPr>
          <w:rFonts w:ascii="Calibri" w:hAnsi="Calibri" w:cs="Calibri"/>
          <w:smallCaps/>
        </w:rPr>
        <w:t>Bruun</w:t>
      </w:r>
      <w:r w:rsidRPr="00704FBD">
        <w:rPr>
          <w:rFonts w:ascii="Calibri" w:hAnsi="Calibri" w:cs="Calibri"/>
        </w:rPr>
        <w:t xml:space="preserve">, </w:t>
      </w:r>
      <w:r w:rsidRPr="00704FBD">
        <w:rPr>
          <w:rFonts w:ascii="Calibri" w:hAnsi="Calibri" w:cs="Calibri"/>
          <w:smallCaps/>
        </w:rPr>
        <w:t>H.H.</w:t>
      </w:r>
      <w:r w:rsidRPr="00704FBD">
        <w:rPr>
          <w:rFonts w:ascii="Calibri" w:hAnsi="Calibri" w:cs="Calibri"/>
        </w:rPr>
        <w:t xml:space="preserve">, </w:t>
      </w:r>
      <w:r w:rsidRPr="00704FBD">
        <w:rPr>
          <w:rFonts w:ascii="Calibri" w:hAnsi="Calibri" w:cs="Calibri"/>
          <w:smallCaps/>
        </w:rPr>
        <w:t>Moeslund</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Hansen</w:t>
      </w:r>
      <w:r w:rsidRPr="00704FBD">
        <w:rPr>
          <w:rFonts w:ascii="Calibri" w:hAnsi="Calibri" w:cs="Calibri"/>
        </w:rPr>
        <w:t xml:space="preserve">, </w:t>
      </w:r>
      <w:r w:rsidRPr="00704FBD">
        <w:rPr>
          <w:rFonts w:ascii="Calibri" w:hAnsi="Calibri" w:cs="Calibri"/>
          <w:smallCaps/>
        </w:rPr>
        <w:t>A.J.</w:t>
      </w:r>
      <w:r w:rsidRPr="00704FBD">
        <w:rPr>
          <w:rFonts w:ascii="Calibri" w:hAnsi="Calibri" w:cs="Calibri"/>
        </w:rPr>
        <w:t xml:space="preserve"> &amp; </w:t>
      </w:r>
      <w:r w:rsidRPr="00704FBD">
        <w:rPr>
          <w:rFonts w:ascii="Calibri" w:hAnsi="Calibri" w:cs="Calibri"/>
          <w:smallCaps/>
        </w:rPr>
        <w:t>Ejrnæs</w:t>
      </w:r>
      <w:r w:rsidRPr="00704FBD">
        <w:rPr>
          <w:rFonts w:ascii="Calibri" w:hAnsi="Calibri" w:cs="Calibri"/>
        </w:rPr>
        <w:t xml:space="preserve">, </w:t>
      </w:r>
      <w:r w:rsidRPr="00704FBD">
        <w:rPr>
          <w:rFonts w:ascii="Calibri" w:hAnsi="Calibri" w:cs="Calibri"/>
          <w:smallCaps/>
        </w:rPr>
        <w:t>R.</w:t>
      </w:r>
      <w:r w:rsidRPr="00704FBD">
        <w:rPr>
          <w:rFonts w:ascii="Calibri" w:hAnsi="Calibri" w:cs="Calibri"/>
        </w:rPr>
        <w:t xml:space="preserve"> 2019. Predicting provenance of forensic soil samples: Linking soil to ecological habitats by metabarcoding and supervised classification. </w:t>
      </w:r>
      <w:r w:rsidRPr="00704FBD">
        <w:rPr>
          <w:rFonts w:ascii="Calibri" w:hAnsi="Calibri" w:cs="Calibri"/>
          <w:i/>
          <w:iCs/>
        </w:rPr>
        <w:t>PloS one</w:t>
      </w:r>
      <w:r w:rsidRPr="00704FBD">
        <w:rPr>
          <w:rFonts w:ascii="Calibri" w:hAnsi="Calibri" w:cs="Calibri"/>
        </w:rPr>
        <w:t xml:space="preserve">, </w:t>
      </w:r>
      <w:r w:rsidRPr="00704FBD">
        <w:rPr>
          <w:rFonts w:ascii="Calibri" w:hAnsi="Calibri" w:cs="Calibri"/>
          <w:b/>
          <w:bCs/>
        </w:rPr>
        <w:t>14</w:t>
      </w:r>
      <w:r w:rsidRPr="00704FBD">
        <w:rPr>
          <w:rFonts w:ascii="Calibri" w:hAnsi="Calibri" w:cs="Calibri"/>
        </w:rPr>
        <w:t>, e0202844–e0202844, 10.1371/journal.pone.0202844.</w:t>
      </w:r>
    </w:p>
    <w:p w14:paraId="25F960D7" w14:textId="77777777" w:rsidR="00704FBD" w:rsidRPr="00704FBD" w:rsidRDefault="00704FBD" w:rsidP="00704FBD">
      <w:pPr>
        <w:pStyle w:val="Bibliography"/>
        <w:rPr>
          <w:rFonts w:ascii="Calibri" w:hAnsi="Calibri" w:cs="Calibri"/>
        </w:rPr>
      </w:pPr>
      <w:r w:rsidRPr="00704FBD">
        <w:rPr>
          <w:rFonts w:ascii="Calibri" w:hAnsi="Calibri" w:cs="Calibri"/>
          <w:smallCaps/>
        </w:rPr>
        <w:t>Fraser</w:t>
      </w:r>
      <w:r w:rsidRPr="00704FBD">
        <w:rPr>
          <w:rFonts w:ascii="Calibri" w:hAnsi="Calibri" w:cs="Calibri"/>
        </w:rPr>
        <w:t xml:space="preserve">, </w:t>
      </w:r>
      <w:r w:rsidRPr="00704FBD">
        <w:rPr>
          <w:rFonts w:ascii="Calibri" w:hAnsi="Calibri" w:cs="Calibri"/>
          <w:smallCaps/>
        </w:rPr>
        <w:t>C.I.</w:t>
      </w:r>
      <w:r w:rsidRPr="00704FBD">
        <w:rPr>
          <w:rFonts w:ascii="Calibri" w:hAnsi="Calibri" w:cs="Calibri"/>
        </w:rPr>
        <w:t xml:space="preserve">, </w:t>
      </w:r>
      <w:r w:rsidRPr="00704FBD">
        <w:rPr>
          <w:rFonts w:ascii="Calibri" w:hAnsi="Calibri" w:cs="Calibri"/>
          <w:smallCaps/>
        </w:rPr>
        <w:t>Connell</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Lee</w:t>
      </w:r>
      <w:r w:rsidRPr="00704FBD">
        <w:rPr>
          <w:rFonts w:ascii="Calibri" w:hAnsi="Calibri" w:cs="Calibri"/>
        </w:rPr>
        <w:t xml:space="preserve">, </w:t>
      </w:r>
      <w:r w:rsidRPr="00704FBD">
        <w:rPr>
          <w:rFonts w:ascii="Calibri" w:hAnsi="Calibri" w:cs="Calibri"/>
          <w:smallCaps/>
        </w:rPr>
        <w:t>C.K.</w:t>
      </w:r>
      <w:r w:rsidRPr="00704FBD">
        <w:rPr>
          <w:rFonts w:ascii="Calibri" w:hAnsi="Calibri" w:cs="Calibri"/>
        </w:rPr>
        <w:t xml:space="preserve"> &amp; </w:t>
      </w:r>
      <w:r w:rsidRPr="00704FBD">
        <w:rPr>
          <w:rFonts w:ascii="Calibri" w:hAnsi="Calibri" w:cs="Calibri"/>
          <w:smallCaps/>
        </w:rPr>
        <w:t>Cary</w:t>
      </w:r>
      <w:r w:rsidRPr="00704FBD">
        <w:rPr>
          <w:rFonts w:ascii="Calibri" w:hAnsi="Calibri" w:cs="Calibri"/>
        </w:rPr>
        <w:t xml:space="preserve">, </w:t>
      </w:r>
      <w:r w:rsidRPr="00704FBD">
        <w:rPr>
          <w:rFonts w:ascii="Calibri" w:hAnsi="Calibri" w:cs="Calibri"/>
          <w:smallCaps/>
        </w:rPr>
        <w:t>S.C.</w:t>
      </w:r>
      <w:r w:rsidRPr="00704FBD">
        <w:rPr>
          <w:rFonts w:ascii="Calibri" w:hAnsi="Calibri" w:cs="Calibri"/>
        </w:rPr>
        <w:t xml:space="preserve"> 2018. Evidence of plant and animal communities at exposed and subglacial (cave) geothermal sites in Antarctica. </w:t>
      </w:r>
      <w:r w:rsidRPr="00704FBD">
        <w:rPr>
          <w:rFonts w:ascii="Calibri" w:hAnsi="Calibri" w:cs="Calibri"/>
          <w:i/>
          <w:iCs/>
        </w:rPr>
        <w:t>Polar biology</w:t>
      </w:r>
      <w:r w:rsidRPr="00704FBD">
        <w:rPr>
          <w:rFonts w:ascii="Calibri" w:hAnsi="Calibri" w:cs="Calibri"/>
        </w:rPr>
        <w:t xml:space="preserve">, </w:t>
      </w:r>
      <w:r w:rsidRPr="00704FBD">
        <w:rPr>
          <w:rFonts w:ascii="Calibri" w:hAnsi="Calibri" w:cs="Calibri"/>
          <w:b/>
          <w:bCs/>
        </w:rPr>
        <w:t>41</w:t>
      </w:r>
      <w:r w:rsidRPr="00704FBD">
        <w:rPr>
          <w:rFonts w:ascii="Calibri" w:hAnsi="Calibri" w:cs="Calibri"/>
        </w:rPr>
        <w:t>, 417–421, 10.1007/s00300-017-2198-9.</w:t>
      </w:r>
    </w:p>
    <w:p w14:paraId="6B04E80D" w14:textId="77777777" w:rsidR="00704FBD" w:rsidRPr="00704FBD" w:rsidRDefault="00704FBD" w:rsidP="00704FBD">
      <w:pPr>
        <w:pStyle w:val="Bibliography"/>
        <w:rPr>
          <w:rFonts w:ascii="Calibri" w:hAnsi="Calibri" w:cs="Calibri"/>
        </w:rPr>
      </w:pPr>
      <w:r w:rsidRPr="00704FBD">
        <w:rPr>
          <w:rFonts w:ascii="Calibri" w:hAnsi="Calibri" w:cs="Calibri"/>
          <w:smallCaps/>
        </w:rPr>
        <w:t>George</w:t>
      </w:r>
      <w:r w:rsidRPr="00704FBD">
        <w:rPr>
          <w:rFonts w:ascii="Calibri" w:hAnsi="Calibri" w:cs="Calibri"/>
        </w:rPr>
        <w:t xml:space="preserve">, </w:t>
      </w:r>
      <w:r w:rsidRPr="00704FBD">
        <w:rPr>
          <w:rFonts w:ascii="Calibri" w:hAnsi="Calibri" w:cs="Calibri"/>
          <w:smallCaps/>
        </w:rPr>
        <w:t>P.B.L.</w:t>
      </w:r>
      <w:r w:rsidRPr="00704FBD">
        <w:rPr>
          <w:rFonts w:ascii="Calibri" w:hAnsi="Calibri" w:cs="Calibri"/>
        </w:rPr>
        <w:t xml:space="preserve">, </w:t>
      </w:r>
      <w:r w:rsidRPr="00704FBD">
        <w:rPr>
          <w:rFonts w:ascii="Calibri" w:hAnsi="Calibri" w:cs="Calibri"/>
          <w:smallCaps/>
        </w:rPr>
        <w:t>Lallias</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Creer</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Seaton</w:t>
      </w:r>
      <w:r w:rsidRPr="00704FBD">
        <w:rPr>
          <w:rFonts w:ascii="Calibri" w:hAnsi="Calibri" w:cs="Calibri"/>
        </w:rPr>
        <w:t xml:space="preserve">, </w:t>
      </w:r>
      <w:r w:rsidRPr="00704FBD">
        <w:rPr>
          <w:rFonts w:ascii="Calibri" w:hAnsi="Calibri" w:cs="Calibri"/>
          <w:smallCaps/>
        </w:rPr>
        <w:t>F.M.</w:t>
      </w:r>
      <w:r w:rsidRPr="00704FBD">
        <w:rPr>
          <w:rFonts w:ascii="Calibri" w:hAnsi="Calibri" w:cs="Calibri"/>
        </w:rPr>
        <w:t xml:space="preserve">, </w:t>
      </w:r>
      <w:r w:rsidRPr="00704FBD">
        <w:rPr>
          <w:rFonts w:ascii="Calibri" w:hAnsi="Calibri" w:cs="Calibri"/>
          <w:smallCaps/>
        </w:rPr>
        <w:t>Kenny</w:t>
      </w:r>
      <w:r w:rsidRPr="00704FBD">
        <w:rPr>
          <w:rFonts w:ascii="Calibri" w:hAnsi="Calibri" w:cs="Calibri"/>
        </w:rPr>
        <w:t xml:space="preserve">, </w:t>
      </w:r>
      <w:r w:rsidRPr="00704FBD">
        <w:rPr>
          <w:rFonts w:ascii="Calibri" w:hAnsi="Calibri" w:cs="Calibri"/>
          <w:smallCaps/>
        </w:rPr>
        <w:t>J.G.</w:t>
      </w:r>
      <w:r w:rsidRPr="00704FBD">
        <w:rPr>
          <w:rFonts w:ascii="Calibri" w:hAnsi="Calibri" w:cs="Calibri"/>
        </w:rPr>
        <w:t xml:space="preserve">, </w:t>
      </w:r>
      <w:r w:rsidRPr="00704FBD">
        <w:rPr>
          <w:rFonts w:ascii="Calibri" w:hAnsi="Calibri" w:cs="Calibri"/>
          <w:smallCaps/>
        </w:rPr>
        <w:t>Eccles</w:t>
      </w:r>
      <w:r w:rsidRPr="00704FBD">
        <w:rPr>
          <w:rFonts w:ascii="Calibri" w:hAnsi="Calibri" w:cs="Calibri"/>
        </w:rPr>
        <w:t xml:space="preserve">, </w:t>
      </w:r>
      <w:r w:rsidRPr="00704FBD">
        <w:rPr>
          <w:rFonts w:ascii="Calibri" w:hAnsi="Calibri" w:cs="Calibri"/>
          <w:smallCaps/>
        </w:rPr>
        <w:t>R.M.</w:t>
      </w:r>
      <w:r w:rsidRPr="00704FBD">
        <w:rPr>
          <w:rFonts w:ascii="Calibri" w:hAnsi="Calibri" w:cs="Calibri"/>
        </w:rPr>
        <w:t xml:space="preserve">, </w:t>
      </w:r>
      <w:r w:rsidRPr="00704FBD">
        <w:rPr>
          <w:rFonts w:ascii="Calibri" w:hAnsi="Calibri" w:cs="Calibri"/>
          <w:smallCaps/>
        </w:rPr>
        <w:t>Griffiths</w:t>
      </w:r>
      <w:r w:rsidRPr="00704FBD">
        <w:rPr>
          <w:rFonts w:ascii="Calibri" w:hAnsi="Calibri" w:cs="Calibri"/>
        </w:rPr>
        <w:t xml:space="preserve">, </w:t>
      </w:r>
      <w:r w:rsidRPr="00704FBD">
        <w:rPr>
          <w:rFonts w:ascii="Calibri" w:hAnsi="Calibri" w:cs="Calibri"/>
          <w:smallCaps/>
        </w:rPr>
        <w:t>R.I.</w:t>
      </w:r>
      <w:r w:rsidRPr="00704FBD">
        <w:rPr>
          <w:rFonts w:ascii="Calibri" w:hAnsi="Calibri" w:cs="Calibri"/>
        </w:rPr>
        <w:t xml:space="preserve">, et al. 2019. Divergent national-scale trends of microbial and animal biodiversity revealed across diverse temperate soil ecosystems. </w:t>
      </w:r>
      <w:r w:rsidRPr="00704FBD">
        <w:rPr>
          <w:rFonts w:ascii="Calibri" w:hAnsi="Calibri" w:cs="Calibri"/>
          <w:i/>
          <w:iCs/>
        </w:rPr>
        <w:t>Nature communications</w:t>
      </w:r>
      <w:r w:rsidRPr="00704FBD">
        <w:rPr>
          <w:rFonts w:ascii="Calibri" w:hAnsi="Calibri" w:cs="Calibri"/>
        </w:rPr>
        <w:t xml:space="preserve">, </w:t>
      </w:r>
      <w:r w:rsidRPr="00704FBD">
        <w:rPr>
          <w:rFonts w:ascii="Calibri" w:hAnsi="Calibri" w:cs="Calibri"/>
          <w:b/>
          <w:bCs/>
        </w:rPr>
        <w:t>10</w:t>
      </w:r>
      <w:r w:rsidRPr="00704FBD">
        <w:rPr>
          <w:rFonts w:ascii="Calibri" w:hAnsi="Calibri" w:cs="Calibri"/>
        </w:rPr>
        <w:t>, 1107–1107, 10.1038/s41467-019-09031-1.</w:t>
      </w:r>
    </w:p>
    <w:p w14:paraId="364733A8" w14:textId="77777777" w:rsidR="00704FBD" w:rsidRPr="00704FBD" w:rsidRDefault="00704FBD" w:rsidP="00704FBD">
      <w:pPr>
        <w:pStyle w:val="Bibliography"/>
        <w:rPr>
          <w:rFonts w:ascii="Calibri" w:hAnsi="Calibri" w:cs="Calibri"/>
        </w:rPr>
      </w:pPr>
      <w:r w:rsidRPr="00704FBD">
        <w:rPr>
          <w:rFonts w:ascii="Calibri" w:hAnsi="Calibri" w:cs="Calibri"/>
          <w:smallCaps/>
        </w:rPr>
        <w:t>Giraldo-Perez</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w:t>
      </w:r>
      <w:r w:rsidRPr="00704FBD">
        <w:rPr>
          <w:rFonts w:ascii="Calibri" w:hAnsi="Calibri" w:cs="Calibri"/>
          <w:smallCaps/>
        </w:rPr>
        <w:t>Raw</w:t>
      </w:r>
      <w:r w:rsidRPr="00704FBD">
        <w:rPr>
          <w:rFonts w:ascii="Calibri" w:hAnsi="Calibri" w:cs="Calibri"/>
        </w:rPr>
        <w:t xml:space="preserve">, </w:t>
      </w:r>
      <w:r w:rsidRPr="00704FBD">
        <w:rPr>
          <w:rFonts w:ascii="Calibri" w:hAnsi="Calibri" w:cs="Calibri"/>
          <w:smallCaps/>
        </w:rPr>
        <w:t>V.</w:t>
      </w:r>
      <w:r w:rsidRPr="00704FBD">
        <w:rPr>
          <w:rFonts w:ascii="Calibri" w:hAnsi="Calibri" w:cs="Calibri"/>
        </w:rPr>
        <w:t xml:space="preserve">, </w:t>
      </w:r>
      <w:r w:rsidRPr="00704FBD">
        <w:rPr>
          <w:rFonts w:ascii="Calibri" w:hAnsi="Calibri" w:cs="Calibri"/>
          <w:smallCaps/>
        </w:rPr>
        <w:t>Greven</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&amp; </w:t>
      </w:r>
      <w:r w:rsidRPr="00704FBD">
        <w:rPr>
          <w:rFonts w:ascii="Calibri" w:hAnsi="Calibri" w:cs="Calibri"/>
          <w:smallCaps/>
        </w:rPr>
        <w:t>Goddard</w:t>
      </w:r>
      <w:r w:rsidRPr="00704FBD">
        <w:rPr>
          <w:rFonts w:ascii="Calibri" w:hAnsi="Calibri" w:cs="Calibri"/>
        </w:rPr>
        <w:t xml:space="preserve">, </w:t>
      </w:r>
      <w:r w:rsidRPr="00704FBD">
        <w:rPr>
          <w:rFonts w:ascii="Calibri" w:hAnsi="Calibri" w:cs="Calibri"/>
          <w:smallCaps/>
        </w:rPr>
        <w:t>M.R.</w:t>
      </w:r>
      <w:r w:rsidRPr="00704FBD">
        <w:rPr>
          <w:rFonts w:ascii="Calibri" w:hAnsi="Calibri" w:cs="Calibri"/>
        </w:rPr>
        <w:t xml:space="preserve"> 2021. A small effect of conservation agriculture on soil biodiversity that differs between biological kingdoms and geographic locations. </w:t>
      </w:r>
      <w:r w:rsidRPr="00704FBD">
        <w:rPr>
          <w:rFonts w:ascii="Calibri" w:hAnsi="Calibri" w:cs="Calibri"/>
          <w:i/>
          <w:iCs/>
        </w:rPr>
        <w:t>iScience</w:t>
      </w:r>
      <w:r w:rsidRPr="00704FBD">
        <w:rPr>
          <w:rFonts w:ascii="Calibri" w:hAnsi="Calibri" w:cs="Calibri"/>
        </w:rPr>
        <w:t xml:space="preserve">, </w:t>
      </w:r>
      <w:r w:rsidRPr="00704FBD">
        <w:rPr>
          <w:rFonts w:ascii="Calibri" w:hAnsi="Calibri" w:cs="Calibri"/>
          <w:b/>
          <w:bCs/>
        </w:rPr>
        <w:t>24</w:t>
      </w:r>
      <w:r w:rsidRPr="00704FBD">
        <w:rPr>
          <w:rFonts w:ascii="Calibri" w:hAnsi="Calibri" w:cs="Calibri"/>
        </w:rPr>
        <w:t>, 102280, 10.1016/j.isci.2021.102280.</w:t>
      </w:r>
    </w:p>
    <w:p w14:paraId="64959476" w14:textId="77777777" w:rsidR="00704FBD" w:rsidRPr="00704FBD" w:rsidRDefault="00704FBD" w:rsidP="00704FBD">
      <w:pPr>
        <w:pStyle w:val="Bibliography"/>
        <w:rPr>
          <w:rFonts w:ascii="Calibri" w:hAnsi="Calibri" w:cs="Calibri"/>
        </w:rPr>
      </w:pPr>
      <w:r w:rsidRPr="00704FBD">
        <w:rPr>
          <w:rFonts w:ascii="Calibri" w:hAnsi="Calibri" w:cs="Calibri"/>
          <w:smallCaps/>
        </w:rPr>
        <w:t>Guerrieri</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Bonin</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Münkemüller</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Gielly</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Thuiller</w:t>
      </w:r>
      <w:r w:rsidRPr="00704FBD">
        <w:rPr>
          <w:rFonts w:ascii="Calibri" w:hAnsi="Calibri" w:cs="Calibri"/>
        </w:rPr>
        <w:t xml:space="preserve">, </w:t>
      </w:r>
      <w:r w:rsidRPr="00704FBD">
        <w:rPr>
          <w:rFonts w:ascii="Calibri" w:hAnsi="Calibri" w:cs="Calibri"/>
          <w:smallCaps/>
        </w:rPr>
        <w:t>W.</w:t>
      </w:r>
      <w:r w:rsidRPr="00704FBD">
        <w:rPr>
          <w:rFonts w:ascii="Calibri" w:hAnsi="Calibri" w:cs="Calibri"/>
        </w:rPr>
        <w:t xml:space="preserve"> &amp; </w:t>
      </w:r>
      <w:r w:rsidRPr="00704FBD">
        <w:rPr>
          <w:rFonts w:ascii="Calibri" w:hAnsi="Calibri" w:cs="Calibri"/>
          <w:smallCaps/>
        </w:rPr>
        <w:t>Francesco Ficetola</w:t>
      </w:r>
      <w:r w:rsidRPr="00704FBD">
        <w:rPr>
          <w:rFonts w:ascii="Calibri" w:hAnsi="Calibri" w:cs="Calibri"/>
        </w:rPr>
        <w:t xml:space="preserve">, </w:t>
      </w:r>
      <w:r w:rsidRPr="00704FBD">
        <w:rPr>
          <w:rFonts w:ascii="Calibri" w:hAnsi="Calibri" w:cs="Calibri"/>
          <w:smallCaps/>
        </w:rPr>
        <w:t>G.</w:t>
      </w:r>
      <w:r w:rsidRPr="00704FBD">
        <w:rPr>
          <w:rFonts w:ascii="Calibri" w:hAnsi="Calibri" w:cs="Calibri"/>
        </w:rPr>
        <w:t xml:space="preserve"> 2021. Effects of soil preservation for biodiversity monitoring using environmental DNA. </w:t>
      </w:r>
      <w:r w:rsidRPr="00704FBD">
        <w:rPr>
          <w:rFonts w:ascii="Calibri" w:hAnsi="Calibri" w:cs="Calibri"/>
          <w:i/>
          <w:iCs/>
        </w:rPr>
        <w:t>Molecular ecology</w:t>
      </w:r>
      <w:r w:rsidRPr="00704FBD">
        <w:rPr>
          <w:rFonts w:ascii="Calibri" w:hAnsi="Calibri" w:cs="Calibri"/>
        </w:rPr>
        <w:t xml:space="preserve">, </w:t>
      </w:r>
      <w:r w:rsidRPr="00704FBD">
        <w:rPr>
          <w:rFonts w:ascii="Calibri" w:hAnsi="Calibri" w:cs="Calibri"/>
          <w:b/>
          <w:bCs/>
        </w:rPr>
        <w:t>30</w:t>
      </w:r>
      <w:r w:rsidRPr="00704FBD">
        <w:rPr>
          <w:rFonts w:ascii="Calibri" w:hAnsi="Calibri" w:cs="Calibri"/>
        </w:rPr>
        <w:t>, 3313–3325, 10.1111/mec.15674.</w:t>
      </w:r>
    </w:p>
    <w:p w14:paraId="596D6A4D" w14:textId="77777777" w:rsidR="00704FBD" w:rsidRPr="00704FBD" w:rsidRDefault="00704FBD" w:rsidP="00704FBD">
      <w:pPr>
        <w:pStyle w:val="Bibliography"/>
        <w:rPr>
          <w:rFonts w:ascii="Calibri" w:hAnsi="Calibri" w:cs="Calibri"/>
        </w:rPr>
      </w:pPr>
      <w:r w:rsidRPr="00704FBD">
        <w:rPr>
          <w:rFonts w:ascii="Calibri" w:hAnsi="Calibri" w:cs="Calibri"/>
          <w:smallCaps/>
        </w:rPr>
        <w:t>Horton</w:t>
      </w:r>
      <w:r w:rsidRPr="00704FBD">
        <w:rPr>
          <w:rFonts w:ascii="Calibri" w:hAnsi="Calibri" w:cs="Calibri"/>
        </w:rPr>
        <w:t xml:space="preserve">, </w:t>
      </w:r>
      <w:r w:rsidRPr="00704FBD">
        <w:rPr>
          <w:rFonts w:ascii="Calibri" w:hAnsi="Calibri" w:cs="Calibri"/>
          <w:smallCaps/>
        </w:rPr>
        <w:t>D.J.</w:t>
      </w:r>
      <w:r w:rsidRPr="00704FBD">
        <w:rPr>
          <w:rFonts w:ascii="Calibri" w:hAnsi="Calibri" w:cs="Calibri"/>
        </w:rPr>
        <w:t xml:space="preserve">, </w:t>
      </w:r>
      <w:r w:rsidRPr="00704FBD">
        <w:rPr>
          <w:rFonts w:ascii="Calibri" w:hAnsi="Calibri" w:cs="Calibri"/>
          <w:smallCaps/>
        </w:rPr>
        <w:t>Kershner</w:t>
      </w:r>
      <w:r w:rsidRPr="00704FBD">
        <w:rPr>
          <w:rFonts w:ascii="Calibri" w:hAnsi="Calibri" w:cs="Calibri"/>
        </w:rPr>
        <w:t xml:space="preserve">, </w:t>
      </w:r>
      <w:r w:rsidRPr="00704FBD">
        <w:rPr>
          <w:rFonts w:ascii="Calibri" w:hAnsi="Calibri" w:cs="Calibri"/>
          <w:smallCaps/>
        </w:rPr>
        <w:t>M.W.</w:t>
      </w:r>
      <w:r w:rsidRPr="00704FBD">
        <w:rPr>
          <w:rFonts w:ascii="Calibri" w:hAnsi="Calibri" w:cs="Calibri"/>
        </w:rPr>
        <w:t xml:space="preserve"> &amp; </w:t>
      </w:r>
      <w:r w:rsidRPr="00704FBD">
        <w:rPr>
          <w:rFonts w:ascii="Calibri" w:hAnsi="Calibri" w:cs="Calibri"/>
          <w:smallCaps/>
        </w:rPr>
        <w:t>Blackwood</w:t>
      </w:r>
      <w:r w:rsidRPr="00704FBD">
        <w:rPr>
          <w:rFonts w:ascii="Calibri" w:hAnsi="Calibri" w:cs="Calibri"/>
        </w:rPr>
        <w:t xml:space="preserve">, </w:t>
      </w:r>
      <w:r w:rsidRPr="00704FBD">
        <w:rPr>
          <w:rFonts w:ascii="Calibri" w:hAnsi="Calibri" w:cs="Calibri"/>
          <w:smallCaps/>
        </w:rPr>
        <w:t>C.B.</w:t>
      </w:r>
      <w:r w:rsidRPr="00704FBD">
        <w:rPr>
          <w:rFonts w:ascii="Calibri" w:hAnsi="Calibri" w:cs="Calibri"/>
        </w:rPr>
        <w:t xml:space="preserve"> 2017. Suitability of PCR primers for characterizing invertebrate communities from soil and leaf litter targeting metazoan 18S ribosomal or cytochrome oxidase I (COI) genes. </w:t>
      </w:r>
      <w:r w:rsidRPr="00704FBD">
        <w:rPr>
          <w:rFonts w:ascii="Calibri" w:hAnsi="Calibri" w:cs="Calibri"/>
          <w:i/>
          <w:iCs/>
        </w:rPr>
        <w:t>European journal of soil biology</w:t>
      </w:r>
      <w:r w:rsidRPr="00704FBD">
        <w:rPr>
          <w:rFonts w:ascii="Calibri" w:hAnsi="Calibri" w:cs="Calibri"/>
        </w:rPr>
        <w:t xml:space="preserve">, </w:t>
      </w:r>
      <w:r w:rsidRPr="00704FBD">
        <w:rPr>
          <w:rFonts w:ascii="Calibri" w:hAnsi="Calibri" w:cs="Calibri"/>
          <w:b/>
          <w:bCs/>
        </w:rPr>
        <w:t>80</w:t>
      </w:r>
      <w:r w:rsidRPr="00704FBD">
        <w:rPr>
          <w:rFonts w:ascii="Calibri" w:hAnsi="Calibri" w:cs="Calibri"/>
        </w:rPr>
        <w:t>, 43–48, 10.1016/j.ejsobi.2017.04.003.</w:t>
      </w:r>
    </w:p>
    <w:p w14:paraId="5593FA57" w14:textId="77777777" w:rsidR="00704FBD" w:rsidRPr="00704FBD" w:rsidRDefault="00704FBD" w:rsidP="00704FBD">
      <w:pPr>
        <w:pStyle w:val="Bibliography"/>
        <w:rPr>
          <w:rFonts w:ascii="Calibri" w:hAnsi="Calibri" w:cs="Calibri"/>
        </w:rPr>
      </w:pPr>
      <w:r w:rsidRPr="00704FBD">
        <w:rPr>
          <w:rFonts w:ascii="Calibri" w:hAnsi="Calibri" w:cs="Calibri"/>
          <w:smallCaps/>
        </w:rPr>
        <w:t>Jørgensen</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Kjaer</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w:t>
      </w:r>
      <w:r w:rsidRPr="00704FBD">
        <w:rPr>
          <w:rFonts w:ascii="Calibri" w:hAnsi="Calibri" w:cs="Calibri"/>
          <w:smallCaps/>
        </w:rPr>
        <w:t>Haile</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Rasmussen</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Boessenkool</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Andersen</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w:t>
      </w:r>
      <w:r w:rsidRPr="00704FBD">
        <w:rPr>
          <w:rFonts w:ascii="Calibri" w:hAnsi="Calibri" w:cs="Calibri"/>
          <w:smallCaps/>
        </w:rPr>
        <w:t>Coissac</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et al. 2012. Islands in the ice: detecting past vegetation on Greenlandic nunataks using historical records and sedimentary ancient DNA Meta-barcoding. </w:t>
      </w:r>
      <w:r w:rsidRPr="00704FBD">
        <w:rPr>
          <w:rFonts w:ascii="Calibri" w:hAnsi="Calibri" w:cs="Calibri"/>
          <w:i/>
          <w:iCs/>
        </w:rPr>
        <w:t>Molecular ecology</w:t>
      </w:r>
      <w:r w:rsidRPr="00704FBD">
        <w:rPr>
          <w:rFonts w:ascii="Calibri" w:hAnsi="Calibri" w:cs="Calibri"/>
        </w:rPr>
        <w:t xml:space="preserve">, </w:t>
      </w:r>
      <w:r w:rsidRPr="00704FBD">
        <w:rPr>
          <w:rFonts w:ascii="Calibri" w:hAnsi="Calibri" w:cs="Calibri"/>
          <w:b/>
          <w:bCs/>
        </w:rPr>
        <w:t>21</w:t>
      </w:r>
      <w:r w:rsidRPr="00704FBD">
        <w:rPr>
          <w:rFonts w:ascii="Calibri" w:hAnsi="Calibri" w:cs="Calibri"/>
        </w:rPr>
        <w:t>, 1980–1988, 10.1111/j.1365-294X.2011.05278.x.</w:t>
      </w:r>
    </w:p>
    <w:p w14:paraId="28F7CACD" w14:textId="77777777" w:rsidR="00704FBD" w:rsidRPr="00704FBD" w:rsidRDefault="00704FBD" w:rsidP="00704FBD">
      <w:pPr>
        <w:pStyle w:val="Bibliography"/>
        <w:rPr>
          <w:rFonts w:ascii="Calibri" w:hAnsi="Calibri" w:cs="Calibri"/>
        </w:rPr>
      </w:pPr>
      <w:r w:rsidRPr="00704FBD">
        <w:rPr>
          <w:rFonts w:ascii="Calibri" w:hAnsi="Calibri" w:cs="Calibri"/>
          <w:smallCaps/>
        </w:rPr>
        <w:t>Kearse</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Moir</w:t>
      </w:r>
      <w:r w:rsidRPr="00704FBD">
        <w:rPr>
          <w:rFonts w:ascii="Calibri" w:hAnsi="Calibri" w:cs="Calibri"/>
        </w:rPr>
        <w:t xml:space="preserve">, </w:t>
      </w:r>
      <w:r w:rsidRPr="00704FBD">
        <w:rPr>
          <w:rFonts w:ascii="Calibri" w:hAnsi="Calibri" w:cs="Calibri"/>
          <w:smallCaps/>
        </w:rPr>
        <w:t>R.</w:t>
      </w:r>
      <w:r w:rsidRPr="00704FBD">
        <w:rPr>
          <w:rFonts w:ascii="Calibri" w:hAnsi="Calibri" w:cs="Calibri"/>
        </w:rPr>
        <w:t xml:space="preserve">, </w:t>
      </w:r>
      <w:r w:rsidRPr="00704FBD">
        <w:rPr>
          <w:rFonts w:ascii="Calibri" w:hAnsi="Calibri" w:cs="Calibri"/>
          <w:smallCaps/>
        </w:rPr>
        <w:t>Wilson</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Stones-Havas</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Cheung</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Sturrock</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Buxton</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Cooper</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Markowitz</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&amp; </w:t>
      </w:r>
      <w:r w:rsidRPr="00704FBD">
        <w:rPr>
          <w:rFonts w:ascii="Calibri" w:hAnsi="Calibri" w:cs="Calibri"/>
          <w:smallCaps/>
        </w:rPr>
        <w:t>Duran</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2012. Geneious Basic: an integrated and extendable desktop software platform for the organization and analysis of sequence data. </w:t>
      </w:r>
      <w:r w:rsidRPr="00704FBD">
        <w:rPr>
          <w:rFonts w:ascii="Calibri" w:hAnsi="Calibri" w:cs="Calibri"/>
          <w:i/>
          <w:iCs/>
        </w:rPr>
        <w:t>Bioinformatics</w:t>
      </w:r>
      <w:r w:rsidRPr="00704FBD">
        <w:rPr>
          <w:rFonts w:ascii="Calibri" w:hAnsi="Calibri" w:cs="Calibri"/>
        </w:rPr>
        <w:t xml:space="preserve">, </w:t>
      </w:r>
      <w:r w:rsidRPr="00704FBD">
        <w:rPr>
          <w:rFonts w:ascii="Calibri" w:hAnsi="Calibri" w:cs="Calibri"/>
          <w:b/>
          <w:bCs/>
        </w:rPr>
        <w:t>28</w:t>
      </w:r>
      <w:r w:rsidRPr="00704FBD">
        <w:rPr>
          <w:rFonts w:ascii="Calibri" w:hAnsi="Calibri" w:cs="Calibri"/>
        </w:rPr>
        <w:t>, 1647–1649.</w:t>
      </w:r>
    </w:p>
    <w:p w14:paraId="452BE33A" w14:textId="77777777" w:rsidR="00704FBD" w:rsidRPr="00704FBD" w:rsidRDefault="00704FBD" w:rsidP="00704FBD">
      <w:pPr>
        <w:pStyle w:val="Bibliography"/>
        <w:rPr>
          <w:rFonts w:ascii="Calibri" w:hAnsi="Calibri" w:cs="Calibri"/>
        </w:rPr>
      </w:pPr>
      <w:r w:rsidRPr="00704FBD">
        <w:rPr>
          <w:rFonts w:ascii="Calibri" w:hAnsi="Calibri" w:cs="Calibri"/>
          <w:smallCaps/>
        </w:rPr>
        <w:t>Kirse</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Bourlat</w:t>
      </w:r>
      <w:r w:rsidRPr="00704FBD">
        <w:rPr>
          <w:rFonts w:ascii="Calibri" w:hAnsi="Calibri" w:cs="Calibri"/>
        </w:rPr>
        <w:t xml:space="preserve">, </w:t>
      </w:r>
      <w:r w:rsidRPr="00704FBD">
        <w:rPr>
          <w:rFonts w:ascii="Calibri" w:hAnsi="Calibri" w:cs="Calibri"/>
          <w:smallCaps/>
        </w:rPr>
        <w:t>S.J.</w:t>
      </w:r>
      <w:r w:rsidRPr="00704FBD">
        <w:rPr>
          <w:rFonts w:ascii="Calibri" w:hAnsi="Calibri" w:cs="Calibri"/>
        </w:rPr>
        <w:t xml:space="preserve">, </w:t>
      </w:r>
      <w:r w:rsidRPr="00704FBD">
        <w:rPr>
          <w:rFonts w:ascii="Calibri" w:hAnsi="Calibri" w:cs="Calibri"/>
          <w:smallCaps/>
        </w:rPr>
        <w:t>Langen</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&amp; </w:t>
      </w:r>
      <w:r w:rsidRPr="00704FBD">
        <w:rPr>
          <w:rFonts w:ascii="Calibri" w:hAnsi="Calibri" w:cs="Calibri"/>
          <w:smallCaps/>
        </w:rPr>
        <w:t>Fonseca</w:t>
      </w:r>
      <w:r w:rsidRPr="00704FBD">
        <w:rPr>
          <w:rFonts w:ascii="Calibri" w:hAnsi="Calibri" w:cs="Calibri"/>
        </w:rPr>
        <w:t xml:space="preserve">, </w:t>
      </w:r>
      <w:r w:rsidRPr="00704FBD">
        <w:rPr>
          <w:rFonts w:ascii="Calibri" w:hAnsi="Calibri" w:cs="Calibri"/>
          <w:smallCaps/>
        </w:rPr>
        <w:t>V.G.</w:t>
      </w:r>
      <w:r w:rsidRPr="00704FBD">
        <w:rPr>
          <w:rFonts w:ascii="Calibri" w:hAnsi="Calibri" w:cs="Calibri"/>
        </w:rPr>
        <w:t xml:space="preserve"> 2021. Unearthing the potential of soil eDNA metabarcoding—towards best practice advice for invertebrate biodiversity assessment. </w:t>
      </w:r>
      <w:r w:rsidRPr="00704FBD">
        <w:rPr>
          <w:rFonts w:ascii="Calibri" w:hAnsi="Calibri" w:cs="Calibri"/>
          <w:i/>
          <w:iCs/>
        </w:rPr>
        <w:t>Frontiers in ecology and evolution</w:t>
      </w:r>
      <w:r w:rsidRPr="00704FBD">
        <w:rPr>
          <w:rFonts w:ascii="Calibri" w:hAnsi="Calibri" w:cs="Calibri"/>
        </w:rPr>
        <w:t xml:space="preserve">, </w:t>
      </w:r>
      <w:r w:rsidRPr="00704FBD">
        <w:rPr>
          <w:rFonts w:ascii="Calibri" w:hAnsi="Calibri" w:cs="Calibri"/>
          <w:b/>
          <w:bCs/>
        </w:rPr>
        <w:t>9</w:t>
      </w:r>
      <w:r w:rsidRPr="00704FBD">
        <w:rPr>
          <w:rFonts w:ascii="Calibri" w:hAnsi="Calibri" w:cs="Calibri"/>
        </w:rPr>
        <w:t>, 10.3389/fevo.2021.630560.</w:t>
      </w:r>
    </w:p>
    <w:p w14:paraId="3FB91039" w14:textId="77777777" w:rsidR="00704FBD" w:rsidRPr="00704FBD" w:rsidRDefault="00704FBD" w:rsidP="00704FBD">
      <w:pPr>
        <w:pStyle w:val="Bibliography"/>
        <w:rPr>
          <w:rFonts w:ascii="Calibri" w:hAnsi="Calibri" w:cs="Calibri"/>
        </w:rPr>
      </w:pPr>
      <w:r w:rsidRPr="00704FBD">
        <w:rPr>
          <w:rFonts w:ascii="Calibri" w:hAnsi="Calibri" w:cs="Calibri"/>
          <w:smallCaps/>
        </w:rPr>
        <w:t>Kisand</w:t>
      </w:r>
      <w:r w:rsidRPr="00704FBD">
        <w:rPr>
          <w:rFonts w:ascii="Calibri" w:hAnsi="Calibri" w:cs="Calibri"/>
        </w:rPr>
        <w:t xml:space="preserve">, </w:t>
      </w:r>
      <w:r w:rsidRPr="00704FBD">
        <w:rPr>
          <w:rFonts w:ascii="Calibri" w:hAnsi="Calibri" w:cs="Calibri"/>
          <w:smallCaps/>
        </w:rPr>
        <w:t>V.</w:t>
      </w:r>
      <w:r w:rsidRPr="00704FBD">
        <w:rPr>
          <w:rFonts w:ascii="Calibri" w:hAnsi="Calibri" w:cs="Calibri"/>
        </w:rPr>
        <w:t xml:space="preserve">, </w:t>
      </w:r>
      <w:r w:rsidRPr="00704FBD">
        <w:rPr>
          <w:rFonts w:ascii="Calibri" w:hAnsi="Calibri" w:cs="Calibri"/>
          <w:smallCaps/>
        </w:rPr>
        <w:t>Talas</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Kisand</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Stivrins</w:t>
      </w:r>
      <w:r w:rsidRPr="00704FBD">
        <w:rPr>
          <w:rFonts w:ascii="Calibri" w:hAnsi="Calibri" w:cs="Calibri"/>
        </w:rPr>
        <w:t xml:space="preserve">, </w:t>
      </w:r>
      <w:r w:rsidRPr="00704FBD">
        <w:rPr>
          <w:rFonts w:ascii="Calibri" w:hAnsi="Calibri" w:cs="Calibri"/>
          <w:smallCaps/>
        </w:rPr>
        <w:t>N.</w:t>
      </w:r>
      <w:r w:rsidRPr="00704FBD">
        <w:rPr>
          <w:rFonts w:ascii="Calibri" w:hAnsi="Calibri" w:cs="Calibri"/>
        </w:rPr>
        <w:t xml:space="preserve">, </w:t>
      </w:r>
      <w:r w:rsidRPr="00704FBD">
        <w:rPr>
          <w:rFonts w:ascii="Calibri" w:hAnsi="Calibri" w:cs="Calibri"/>
          <w:smallCaps/>
        </w:rPr>
        <w:t>Reitalu</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Alliksaar</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Vassiljev</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et al. 2018. From microbial eukaryotes to metazoan vertebrates: Wide spectrum paleo‐diversity in sedimentary ancient DNA over the last ~14,500 years. </w:t>
      </w:r>
      <w:r w:rsidRPr="00704FBD">
        <w:rPr>
          <w:rFonts w:ascii="Calibri" w:hAnsi="Calibri" w:cs="Calibri"/>
          <w:i/>
          <w:iCs/>
        </w:rPr>
        <w:t>Geobiology</w:t>
      </w:r>
      <w:r w:rsidRPr="00704FBD">
        <w:rPr>
          <w:rFonts w:ascii="Calibri" w:hAnsi="Calibri" w:cs="Calibri"/>
        </w:rPr>
        <w:t xml:space="preserve">, </w:t>
      </w:r>
      <w:r w:rsidRPr="00704FBD">
        <w:rPr>
          <w:rFonts w:ascii="Calibri" w:hAnsi="Calibri" w:cs="Calibri"/>
          <w:b/>
          <w:bCs/>
        </w:rPr>
        <w:t>16</w:t>
      </w:r>
      <w:r w:rsidRPr="00704FBD">
        <w:rPr>
          <w:rFonts w:ascii="Calibri" w:hAnsi="Calibri" w:cs="Calibri"/>
        </w:rPr>
        <w:t>, 628–639, 10.1111/gbi.12307.</w:t>
      </w:r>
    </w:p>
    <w:p w14:paraId="39B0209E" w14:textId="77777777" w:rsidR="00704FBD" w:rsidRPr="00704FBD" w:rsidRDefault="00704FBD" w:rsidP="00704FBD">
      <w:pPr>
        <w:pStyle w:val="Bibliography"/>
        <w:rPr>
          <w:rFonts w:ascii="Calibri" w:hAnsi="Calibri" w:cs="Calibri"/>
        </w:rPr>
      </w:pPr>
      <w:r w:rsidRPr="00704FBD">
        <w:rPr>
          <w:rFonts w:ascii="Calibri" w:hAnsi="Calibri" w:cs="Calibri"/>
          <w:smallCaps/>
        </w:rPr>
        <w:lastRenderedPageBreak/>
        <w:t>Lanzén</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Lekang</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w:t>
      </w:r>
      <w:r w:rsidRPr="00704FBD">
        <w:rPr>
          <w:rFonts w:ascii="Calibri" w:hAnsi="Calibri" w:cs="Calibri"/>
          <w:smallCaps/>
        </w:rPr>
        <w:t>Jonassen</w:t>
      </w:r>
      <w:r w:rsidRPr="00704FBD">
        <w:rPr>
          <w:rFonts w:ascii="Calibri" w:hAnsi="Calibri" w:cs="Calibri"/>
        </w:rPr>
        <w:t xml:space="preserve">, </w:t>
      </w:r>
      <w:r w:rsidRPr="00704FBD">
        <w:rPr>
          <w:rFonts w:ascii="Calibri" w:hAnsi="Calibri" w:cs="Calibri"/>
          <w:smallCaps/>
        </w:rPr>
        <w:t>I.</w:t>
      </w:r>
      <w:r w:rsidRPr="00704FBD">
        <w:rPr>
          <w:rFonts w:ascii="Calibri" w:hAnsi="Calibri" w:cs="Calibri"/>
        </w:rPr>
        <w:t xml:space="preserve">, </w:t>
      </w:r>
      <w:r w:rsidRPr="00704FBD">
        <w:rPr>
          <w:rFonts w:ascii="Calibri" w:hAnsi="Calibri" w:cs="Calibri"/>
          <w:smallCaps/>
        </w:rPr>
        <w:t>Thompson</w:t>
      </w:r>
      <w:r w:rsidRPr="00704FBD">
        <w:rPr>
          <w:rFonts w:ascii="Calibri" w:hAnsi="Calibri" w:cs="Calibri"/>
        </w:rPr>
        <w:t xml:space="preserve">, </w:t>
      </w:r>
      <w:r w:rsidRPr="00704FBD">
        <w:rPr>
          <w:rFonts w:ascii="Calibri" w:hAnsi="Calibri" w:cs="Calibri"/>
          <w:smallCaps/>
        </w:rPr>
        <w:t>E.M.</w:t>
      </w:r>
      <w:r w:rsidRPr="00704FBD">
        <w:rPr>
          <w:rFonts w:ascii="Calibri" w:hAnsi="Calibri" w:cs="Calibri"/>
        </w:rPr>
        <w:t xml:space="preserve"> &amp; </w:t>
      </w:r>
      <w:r w:rsidRPr="00704FBD">
        <w:rPr>
          <w:rFonts w:ascii="Calibri" w:hAnsi="Calibri" w:cs="Calibri"/>
          <w:smallCaps/>
        </w:rPr>
        <w:t>Troedsson</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2017. DNA extraction replicates improve diversity and compositional dissimilarity in metabarcoding of eukaryotes in marine sediments. </w:t>
      </w:r>
      <w:r w:rsidRPr="00704FBD">
        <w:rPr>
          <w:rFonts w:ascii="Calibri" w:hAnsi="Calibri" w:cs="Calibri"/>
          <w:i/>
          <w:iCs/>
        </w:rPr>
        <w:t>PloS one</w:t>
      </w:r>
      <w:r w:rsidRPr="00704FBD">
        <w:rPr>
          <w:rFonts w:ascii="Calibri" w:hAnsi="Calibri" w:cs="Calibri"/>
        </w:rPr>
        <w:t xml:space="preserve">, </w:t>
      </w:r>
      <w:r w:rsidRPr="00704FBD">
        <w:rPr>
          <w:rFonts w:ascii="Calibri" w:hAnsi="Calibri" w:cs="Calibri"/>
          <w:b/>
          <w:bCs/>
        </w:rPr>
        <w:t>12</w:t>
      </w:r>
      <w:r w:rsidRPr="00704FBD">
        <w:rPr>
          <w:rFonts w:ascii="Calibri" w:hAnsi="Calibri" w:cs="Calibri"/>
        </w:rPr>
        <w:t>, e0179443–e0179443, 10.1371/journal.pone.0179443.</w:t>
      </w:r>
    </w:p>
    <w:p w14:paraId="34E012EF" w14:textId="77777777" w:rsidR="00704FBD" w:rsidRPr="00704FBD" w:rsidRDefault="00704FBD" w:rsidP="00704FBD">
      <w:pPr>
        <w:pStyle w:val="Bibliography"/>
        <w:rPr>
          <w:rFonts w:ascii="Calibri" w:hAnsi="Calibri" w:cs="Calibri"/>
          <w:lang w:val="es-CL"/>
        </w:rPr>
      </w:pPr>
      <w:r w:rsidRPr="00704FBD">
        <w:rPr>
          <w:rFonts w:ascii="Calibri" w:hAnsi="Calibri" w:cs="Calibri"/>
          <w:smallCaps/>
        </w:rPr>
        <w:t>Lopes</w:t>
      </w:r>
      <w:r w:rsidRPr="00704FBD">
        <w:rPr>
          <w:rFonts w:ascii="Calibri" w:hAnsi="Calibri" w:cs="Calibri"/>
        </w:rPr>
        <w:t xml:space="preserve">, </w:t>
      </w:r>
      <w:r w:rsidRPr="00704FBD">
        <w:rPr>
          <w:rFonts w:ascii="Calibri" w:hAnsi="Calibri" w:cs="Calibri"/>
          <w:smallCaps/>
        </w:rPr>
        <w:t>C.M.</w:t>
      </w:r>
      <w:r w:rsidRPr="00704FBD">
        <w:rPr>
          <w:rFonts w:ascii="Calibri" w:hAnsi="Calibri" w:cs="Calibri"/>
        </w:rPr>
        <w:t xml:space="preserve">, </w:t>
      </w:r>
      <w:r w:rsidRPr="00704FBD">
        <w:rPr>
          <w:rFonts w:ascii="Calibri" w:hAnsi="Calibri" w:cs="Calibri"/>
          <w:smallCaps/>
        </w:rPr>
        <w:t>Baêta</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Sasso</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Vanzetti</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w:t>
      </w:r>
      <w:r w:rsidRPr="00704FBD">
        <w:rPr>
          <w:rFonts w:ascii="Calibri" w:hAnsi="Calibri" w:cs="Calibri"/>
          <w:smallCaps/>
        </w:rPr>
        <w:t>Raquel Zamudio</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w:t>
      </w:r>
      <w:r w:rsidRPr="00704FBD">
        <w:rPr>
          <w:rFonts w:ascii="Calibri" w:hAnsi="Calibri" w:cs="Calibri"/>
          <w:smallCaps/>
        </w:rPr>
        <w:t>Taberlet</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&amp; </w:t>
      </w:r>
      <w:r w:rsidRPr="00704FBD">
        <w:rPr>
          <w:rFonts w:ascii="Calibri" w:hAnsi="Calibri" w:cs="Calibri"/>
          <w:smallCaps/>
        </w:rPr>
        <w:t>Haddad</w:t>
      </w:r>
      <w:r w:rsidRPr="00704FBD">
        <w:rPr>
          <w:rFonts w:ascii="Calibri" w:hAnsi="Calibri" w:cs="Calibri"/>
        </w:rPr>
        <w:t xml:space="preserve">, </w:t>
      </w:r>
      <w:r w:rsidRPr="00704FBD">
        <w:rPr>
          <w:rFonts w:ascii="Calibri" w:hAnsi="Calibri" w:cs="Calibri"/>
          <w:smallCaps/>
        </w:rPr>
        <w:t>C.F.B.</w:t>
      </w:r>
      <w:r w:rsidRPr="00704FBD">
        <w:rPr>
          <w:rFonts w:ascii="Calibri" w:hAnsi="Calibri" w:cs="Calibri"/>
        </w:rPr>
        <w:t xml:space="preserve"> 2021. Power and limitations of environmental DNA metabarcoding for surveying leaf litter eukaryotic communities. </w:t>
      </w:r>
      <w:r w:rsidRPr="00704FBD">
        <w:rPr>
          <w:rFonts w:ascii="Calibri" w:hAnsi="Calibri" w:cs="Calibri"/>
          <w:i/>
          <w:iCs/>
          <w:lang w:val="es-CL"/>
        </w:rPr>
        <w:t>Environmental DNA (Hoboken, N.J.)</w:t>
      </w:r>
      <w:r w:rsidRPr="00704FBD">
        <w:rPr>
          <w:rFonts w:ascii="Calibri" w:hAnsi="Calibri" w:cs="Calibri"/>
          <w:lang w:val="es-CL"/>
        </w:rPr>
        <w:t xml:space="preserve">, </w:t>
      </w:r>
      <w:r w:rsidRPr="00704FBD">
        <w:rPr>
          <w:rFonts w:ascii="Calibri" w:hAnsi="Calibri" w:cs="Calibri"/>
          <w:b/>
          <w:bCs/>
          <w:lang w:val="es-CL"/>
        </w:rPr>
        <w:t>3</w:t>
      </w:r>
      <w:r w:rsidRPr="00704FBD">
        <w:rPr>
          <w:rFonts w:ascii="Calibri" w:hAnsi="Calibri" w:cs="Calibri"/>
          <w:lang w:val="es-CL"/>
        </w:rPr>
        <w:t>, 528–540, 10.1002/edn3.142.</w:t>
      </w:r>
    </w:p>
    <w:p w14:paraId="134323E2" w14:textId="77777777" w:rsidR="00704FBD" w:rsidRPr="00704FBD" w:rsidRDefault="00704FBD" w:rsidP="00704FBD">
      <w:pPr>
        <w:pStyle w:val="Bibliography"/>
        <w:rPr>
          <w:rFonts w:ascii="Calibri" w:hAnsi="Calibri" w:cs="Calibri"/>
        </w:rPr>
      </w:pPr>
      <w:r w:rsidRPr="00704FBD">
        <w:rPr>
          <w:rFonts w:ascii="Calibri" w:hAnsi="Calibri" w:cs="Calibri"/>
          <w:smallCaps/>
          <w:lang w:val="es-CL"/>
        </w:rPr>
        <w:t>Marquina</w:t>
      </w:r>
      <w:r w:rsidRPr="00704FBD">
        <w:rPr>
          <w:rFonts w:ascii="Calibri" w:hAnsi="Calibri" w:cs="Calibri"/>
          <w:lang w:val="es-CL"/>
        </w:rPr>
        <w:t xml:space="preserve">, </w:t>
      </w:r>
      <w:r w:rsidRPr="00704FBD">
        <w:rPr>
          <w:rFonts w:ascii="Calibri" w:hAnsi="Calibri" w:cs="Calibri"/>
          <w:smallCaps/>
          <w:lang w:val="es-CL"/>
        </w:rPr>
        <w:t>D.</w:t>
      </w:r>
      <w:r w:rsidRPr="00704FBD">
        <w:rPr>
          <w:rFonts w:ascii="Calibri" w:hAnsi="Calibri" w:cs="Calibri"/>
          <w:lang w:val="es-CL"/>
        </w:rPr>
        <w:t xml:space="preserve">, </w:t>
      </w:r>
      <w:r w:rsidRPr="00704FBD">
        <w:rPr>
          <w:rFonts w:ascii="Calibri" w:hAnsi="Calibri" w:cs="Calibri"/>
          <w:smallCaps/>
          <w:lang w:val="es-CL"/>
        </w:rPr>
        <w:t>Esparza‐Salas</w:t>
      </w:r>
      <w:r w:rsidRPr="00704FBD">
        <w:rPr>
          <w:rFonts w:ascii="Calibri" w:hAnsi="Calibri" w:cs="Calibri"/>
          <w:lang w:val="es-CL"/>
        </w:rPr>
        <w:t xml:space="preserve">, </w:t>
      </w:r>
      <w:r w:rsidRPr="00704FBD">
        <w:rPr>
          <w:rFonts w:ascii="Calibri" w:hAnsi="Calibri" w:cs="Calibri"/>
          <w:smallCaps/>
          <w:lang w:val="es-CL"/>
        </w:rPr>
        <w:t>R.</w:t>
      </w:r>
      <w:r w:rsidRPr="00704FBD">
        <w:rPr>
          <w:rFonts w:ascii="Calibri" w:hAnsi="Calibri" w:cs="Calibri"/>
          <w:lang w:val="es-CL"/>
        </w:rPr>
        <w:t xml:space="preserve">, </w:t>
      </w:r>
      <w:r w:rsidRPr="00704FBD">
        <w:rPr>
          <w:rFonts w:ascii="Calibri" w:hAnsi="Calibri" w:cs="Calibri"/>
          <w:smallCaps/>
          <w:lang w:val="es-CL"/>
        </w:rPr>
        <w:t>Roslin</w:t>
      </w:r>
      <w:r w:rsidRPr="00704FBD">
        <w:rPr>
          <w:rFonts w:ascii="Calibri" w:hAnsi="Calibri" w:cs="Calibri"/>
          <w:lang w:val="es-CL"/>
        </w:rPr>
        <w:t xml:space="preserve">, </w:t>
      </w:r>
      <w:r w:rsidRPr="00704FBD">
        <w:rPr>
          <w:rFonts w:ascii="Calibri" w:hAnsi="Calibri" w:cs="Calibri"/>
          <w:smallCaps/>
          <w:lang w:val="es-CL"/>
        </w:rPr>
        <w:t>T.</w:t>
      </w:r>
      <w:r w:rsidRPr="00704FBD">
        <w:rPr>
          <w:rFonts w:ascii="Calibri" w:hAnsi="Calibri" w:cs="Calibri"/>
          <w:lang w:val="es-CL"/>
        </w:rPr>
        <w:t xml:space="preserve"> &amp; </w:t>
      </w:r>
      <w:r w:rsidRPr="00704FBD">
        <w:rPr>
          <w:rFonts w:ascii="Calibri" w:hAnsi="Calibri" w:cs="Calibri"/>
          <w:smallCaps/>
          <w:lang w:val="es-CL"/>
        </w:rPr>
        <w:t>Ronquist</w:t>
      </w:r>
      <w:r w:rsidRPr="00704FBD">
        <w:rPr>
          <w:rFonts w:ascii="Calibri" w:hAnsi="Calibri" w:cs="Calibri"/>
          <w:lang w:val="es-CL"/>
        </w:rPr>
        <w:t xml:space="preserve">, </w:t>
      </w:r>
      <w:r w:rsidRPr="00704FBD">
        <w:rPr>
          <w:rFonts w:ascii="Calibri" w:hAnsi="Calibri" w:cs="Calibri"/>
          <w:smallCaps/>
          <w:lang w:val="es-CL"/>
        </w:rPr>
        <w:t>F.</w:t>
      </w:r>
      <w:r w:rsidRPr="00704FBD">
        <w:rPr>
          <w:rFonts w:ascii="Calibri" w:hAnsi="Calibri" w:cs="Calibri"/>
          <w:lang w:val="es-CL"/>
        </w:rPr>
        <w:t xml:space="preserve"> 2019. </w:t>
      </w:r>
      <w:r w:rsidRPr="00704FBD">
        <w:rPr>
          <w:rFonts w:ascii="Calibri" w:hAnsi="Calibri" w:cs="Calibri"/>
        </w:rPr>
        <w:t xml:space="preserve">Establishing arthropod community composition using metabarcoding: Surprising inconsistencies between soil samples and preservative ethanol and homogenate from Malaise trap catches. </w:t>
      </w:r>
      <w:r w:rsidRPr="00704FBD">
        <w:rPr>
          <w:rFonts w:ascii="Calibri" w:hAnsi="Calibri" w:cs="Calibri"/>
          <w:i/>
          <w:iCs/>
        </w:rPr>
        <w:t>Molecular ecology resources</w:t>
      </w:r>
      <w:r w:rsidRPr="00704FBD">
        <w:rPr>
          <w:rFonts w:ascii="Calibri" w:hAnsi="Calibri" w:cs="Calibri"/>
        </w:rPr>
        <w:t xml:space="preserve">, </w:t>
      </w:r>
      <w:r w:rsidRPr="00704FBD">
        <w:rPr>
          <w:rFonts w:ascii="Calibri" w:hAnsi="Calibri" w:cs="Calibri"/>
          <w:b/>
          <w:bCs/>
        </w:rPr>
        <w:t>19</w:t>
      </w:r>
      <w:r w:rsidRPr="00704FBD">
        <w:rPr>
          <w:rFonts w:ascii="Calibri" w:hAnsi="Calibri" w:cs="Calibri"/>
        </w:rPr>
        <w:t>, 1516–1530, 10.1111/1755-0998.13071.</w:t>
      </w:r>
    </w:p>
    <w:p w14:paraId="11C44C67" w14:textId="77777777" w:rsidR="00704FBD" w:rsidRPr="00704FBD" w:rsidRDefault="00704FBD" w:rsidP="00704FBD">
      <w:pPr>
        <w:pStyle w:val="Bibliography"/>
        <w:rPr>
          <w:rFonts w:ascii="Calibri" w:hAnsi="Calibri" w:cs="Calibri"/>
        </w:rPr>
      </w:pPr>
      <w:r w:rsidRPr="00704FBD">
        <w:rPr>
          <w:rFonts w:ascii="Calibri" w:hAnsi="Calibri" w:cs="Calibri"/>
          <w:smallCaps/>
        </w:rPr>
        <w:t>McGee</w:t>
      </w:r>
      <w:r w:rsidRPr="00704FBD">
        <w:rPr>
          <w:rFonts w:ascii="Calibri" w:hAnsi="Calibri" w:cs="Calibri"/>
        </w:rPr>
        <w:t xml:space="preserve">, </w:t>
      </w:r>
      <w:r w:rsidRPr="00704FBD">
        <w:rPr>
          <w:rFonts w:ascii="Calibri" w:hAnsi="Calibri" w:cs="Calibri"/>
          <w:smallCaps/>
        </w:rPr>
        <w:t>K.M.</w:t>
      </w:r>
      <w:r w:rsidRPr="00704FBD">
        <w:rPr>
          <w:rFonts w:ascii="Calibri" w:hAnsi="Calibri" w:cs="Calibri"/>
        </w:rPr>
        <w:t xml:space="preserve"> &amp; </w:t>
      </w:r>
      <w:r w:rsidRPr="00704FBD">
        <w:rPr>
          <w:rFonts w:ascii="Calibri" w:hAnsi="Calibri" w:cs="Calibri"/>
          <w:smallCaps/>
        </w:rPr>
        <w:t>Eaton</w:t>
      </w:r>
      <w:r w:rsidRPr="00704FBD">
        <w:rPr>
          <w:rFonts w:ascii="Calibri" w:hAnsi="Calibri" w:cs="Calibri"/>
        </w:rPr>
        <w:t xml:space="preserve">, </w:t>
      </w:r>
      <w:r w:rsidRPr="00704FBD">
        <w:rPr>
          <w:rFonts w:ascii="Calibri" w:hAnsi="Calibri" w:cs="Calibri"/>
          <w:smallCaps/>
        </w:rPr>
        <w:t>W.D.</w:t>
      </w:r>
      <w:r w:rsidRPr="00704FBD">
        <w:rPr>
          <w:rFonts w:ascii="Calibri" w:hAnsi="Calibri" w:cs="Calibri"/>
        </w:rPr>
        <w:t xml:space="preserve"> 2015. A comparison of the wet and dry season DNA-based soil invertebrate community characteristics in large patches of the bromeliad Bromelia pinguin in a primary forest in Costa Rica. </w:t>
      </w:r>
      <w:r w:rsidRPr="00704FBD">
        <w:rPr>
          <w:rFonts w:ascii="Calibri" w:hAnsi="Calibri" w:cs="Calibri"/>
          <w:i/>
          <w:iCs/>
        </w:rPr>
        <w:t>Applied soil ecology : a section of Agriculture, ecosystems &amp; environment</w:t>
      </w:r>
      <w:r w:rsidRPr="00704FBD">
        <w:rPr>
          <w:rFonts w:ascii="Calibri" w:hAnsi="Calibri" w:cs="Calibri"/>
        </w:rPr>
        <w:t xml:space="preserve">, </w:t>
      </w:r>
      <w:r w:rsidRPr="00704FBD">
        <w:rPr>
          <w:rFonts w:ascii="Calibri" w:hAnsi="Calibri" w:cs="Calibri"/>
          <w:b/>
          <w:bCs/>
        </w:rPr>
        <w:t>87</w:t>
      </w:r>
      <w:r w:rsidRPr="00704FBD">
        <w:rPr>
          <w:rFonts w:ascii="Calibri" w:hAnsi="Calibri" w:cs="Calibri"/>
        </w:rPr>
        <w:t>, 99–107, 10.1016/j.apsoil.2014.11.009.</w:t>
      </w:r>
    </w:p>
    <w:p w14:paraId="32B3C0D8" w14:textId="77777777" w:rsidR="00704FBD" w:rsidRPr="00704FBD" w:rsidRDefault="00704FBD" w:rsidP="00704FBD">
      <w:pPr>
        <w:pStyle w:val="Bibliography"/>
        <w:rPr>
          <w:rFonts w:ascii="Calibri" w:hAnsi="Calibri" w:cs="Calibri"/>
        </w:rPr>
      </w:pPr>
      <w:r w:rsidRPr="00704FBD">
        <w:rPr>
          <w:rFonts w:ascii="Calibri" w:hAnsi="Calibri" w:cs="Calibri"/>
          <w:smallCaps/>
          <w:lang w:val="es-CL"/>
        </w:rPr>
        <w:t>Miya</w:t>
      </w:r>
      <w:r w:rsidRPr="00704FBD">
        <w:rPr>
          <w:rFonts w:ascii="Calibri" w:hAnsi="Calibri" w:cs="Calibri"/>
          <w:lang w:val="es-CL"/>
        </w:rPr>
        <w:t xml:space="preserve">, </w:t>
      </w:r>
      <w:r w:rsidRPr="00704FBD">
        <w:rPr>
          <w:rFonts w:ascii="Calibri" w:hAnsi="Calibri" w:cs="Calibri"/>
          <w:smallCaps/>
          <w:lang w:val="es-CL"/>
        </w:rPr>
        <w:t>M.</w:t>
      </w:r>
      <w:r w:rsidRPr="00704FBD">
        <w:rPr>
          <w:rFonts w:ascii="Calibri" w:hAnsi="Calibri" w:cs="Calibri"/>
          <w:lang w:val="es-CL"/>
        </w:rPr>
        <w:t xml:space="preserve">, </w:t>
      </w:r>
      <w:r w:rsidRPr="00704FBD">
        <w:rPr>
          <w:rFonts w:ascii="Calibri" w:hAnsi="Calibri" w:cs="Calibri"/>
          <w:smallCaps/>
          <w:lang w:val="es-CL"/>
        </w:rPr>
        <w:t>Sato</w:t>
      </w:r>
      <w:r w:rsidRPr="00704FBD">
        <w:rPr>
          <w:rFonts w:ascii="Calibri" w:hAnsi="Calibri" w:cs="Calibri"/>
          <w:lang w:val="es-CL"/>
        </w:rPr>
        <w:t xml:space="preserve">, </w:t>
      </w:r>
      <w:r w:rsidRPr="00704FBD">
        <w:rPr>
          <w:rFonts w:ascii="Calibri" w:hAnsi="Calibri" w:cs="Calibri"/>
          <w:smallCaps/>
          <w:lang w:val="es-CL"/>
        </w:rPr>
        <w:t>Y.</w:t>
      </w:r>
      <w:r w:rsidRPr="00704FBD">
        <w:rPr>
          <w:rFonts w:ascii="Calibri" w:hAnsi="Calibri" w:cs="Calibri"/>
          <w:lang w:val="es-CL"/>
        </w:rPr>
        <w:t xml:space="preserve">, </w:t>
      </w:r>
      <w:r w:rsidRPr="00704FBD">
        <w:rPr>
          <w:rFonts w:ascii="Calibri" w:hAnsi="Calibri" w:cs="Calibri"/>
          <w:smallCaps/>
          <w:lang w:val="es-CL"/>
        </w:rPr>
        <w:t>Fukunaga</w:t>
      </w:r>
      <w:r w:rsidRPr="00704FBD">
        <w:rPr>
          <w:rFonts w:ascii="Calibri" w:hAnsi="Calibri" w:cs="Calibri"/>
          <w:lang w:val="es-CL"/>
        </w:rPr>
        <w:t xml:space="preserve">, </w:t>
      </w:r>
      <w:r w:rsidRPr="00704FBD">
        <w:rPr>
          <w:rFonts w:ascii="Calibri" w:hAnsi="Calibri" w:cs="Calibri"/>
          <w:smallCaps/>
          <w:lang w:val="es-CL"/>
        </w:rPr>
        <w:t>T.</w:t>
      </w:r>
      <w:r w:rsidRPr="00704FBD">
        <w:rPr>
          <w:rFonts w:ascii="Calibri" w:hAnsi="Calibri" w:cs="Calibri"/>
          <w:lang w:val="es-CL"/>
        </w:rPr>
        <w:t xml:space="preserve">, </w:t>
      </w:r>
      <w:r w:rsidRPr="00704FBD">
        <w:rPr>
          <w:rFonts w:ascii="Calibri" w:hAnsi="Calibri" w:cs="Calibri"/>
          <w:smallCaps/>
          <w:lang w:val="es-CL"/>
        </w:rPr>
        <w:t>Sado</w:t>
      </w:r>
      <w:r w:rsidRPr="00704FBD">
        <w:rPr>
          <w:rFonts w:ascii="Calibri" w:hAnsi="Calibri" w:cs="Calibri"/>
          <w:lang w:val="es-CL"/>
        </w:rPr>
        <w:t xml:space="preserve">, </w:t>
      </w:r>
      <w:r w:rsidRPr="00704FBD">
        <w:rPr>
          <w:rFonts w:ascii="Calibri" w:hAnsi="Calibri" w:cs="Calibri"/>
          <w:smallCaps/>
          <w:lang w:val="es-CL"/>
        </w:rPr>
        <w:t>T.</w:t>
      </w:r>
      <w:r w:rsidRPr="00704FBD">
        <w:rPr>
          <w:rFonts w:ascii="Calibri" w:hAnsi="Calibri" w:cs="Calibri"/>
          <w:lang w:val="es-CL"/>
        </w:rPr>
        <w:t xml:space="preserve">, </w:t>
      </w:r>
      <w:r w:rsidRPr="00704FBD">
        <w:rPr>
          <w:rFonts w:ascii="Calibri" w:hAnsi="Calibri" w:cs="Calibri"/>
          <w:smallCaps/>
          <w:lang w:val="es-CL"/>
        </w:rPr>
        <w:t>Poulsen</w:t>
      </w:r>
      <w:r w:rsidRPr="00704FBD">
        <w:rPr>
          <w:rFonts w:ascii="Calibri" w:hAnsi="Calibri" w:cs="Calibri"/>
          <w:lang w:val="es-CL"/>
        </w:rPr>
        <w:t xml:space="preserve">, </w:t>
      </w:r>
      <w:r w:rsidRPr="00704FBD">
        <w:rPr>
          <w:rFonts w:ascii="Calibri" w:hAnsi="Calibri" w:cs="Calibri"/>
          <w:smallCaps/>
          <w:lang w:val="es-CL"/>
        </w:rPr>
        <w:t>J.Y.</w:t>
      </w:r>
      <w:r w:rsidRPr="00704FBD">
        <w:rPr>
          <w:rFonts w:ascii="Calibri" w:hAnsi="Calibri" w:cs="Calibri"/>
          <w:lang w:val="es-CL"/>
        </w:rPr>
        <w:t xml:space="preserve">, </w:t>
      </w:r>
      <w:r w:rsidRPr="00704FBD">
        <w:rPr>
          <w:rFonts w:ascii="Calibri" w:hAnsi="Calibri" w:cs="Calibri"/>
          <w:smallCaps/>
          <w:lang w:val="es-CL"/>
        </w:rPr>
        <w:t>Sato</w:t>
      </w:r>
      <w:r w:rsidRPr="00704FBD">
        <w:rPr>
          <w:rFonts w:ascii="Calibri" w:hAnsi="Calibri" w:cs="Calibri"/>
          <w:lang w:val="es-CL"/>
        </w:rPr>
        <w:t xml:space="preserve">, </w:t>
      </w:r>
      <w:r w:rsidRPr="00704FBD">
        <w:rPr>
          <w:rFonts w:ascii="Calibri" w:hAnsi="Calibri" w:cs="Calibri"/>
          <w:smallCaps/>
          <w:lang w:val="es-CL"/>
        </w:rPr>
        <w:t>K.</w:t>
      </w:r>
      <w:r w:rsidRPr="00704FBD">
        <w:rPr>
          <w:rFonts w:ascii="Calibri" w:hAnsi="Calibri" w:cs="Calibri"/>
          <w:lang w:val="es-CL"/>
        </w:rPr>
        <w:t xml:space="preserve">, </w:t>
      </w:r>
      <w:r w:rsidRPr="00704FBD">
        <w:rPr>
          <w:rFonts w:ascii="Calibri" w:hAnsi="Calibri" w:cs="Calibri"/>
          <w:smallCaps/>
          <w:lang w:val="es-CL"/>
        </w:rPr>
        <w:t>Minamoto</w:t>
      </w:r>
      <w:r w:rsidRPr="00704FBD">
        <w:rPr>
          <w:rFonts w:ascii="Calibri" w:hAnsi="Calibri" w:cs="Calibri"/>
          <w:lang w:val="es-CL"/>
        </w:rPr>
        <w:t xml:space="preserve">, </w:t>
      </w:r>
      <w:r w:rsidRPr="00704FBD">
        <w:rPr>
          <w:rFonts w:ascii="Calibri" w:hAnsi="Calibri" w:cs="Calibri"/>
          <w:smallCaps/>
          <w:lang w:val="es-CL"/>
        </w:rPr>
        <w:t>T.</w:t>
      </w:r>
      <w:r w:rsidRPr="00704FBD">
        <w:rPr>
          <w:rFonts w:ascii="Calibri" w:hAnsi="Calibri" w:cs="Calibri"/>
          <w:lang w:val="es-CL"/>
        </w:rPr>
        <w:t xml:space="preserve">, et al. 2015. </w:t>
      </w:r>
      <w:r w:rsidRPr="00704FBD">
        <w:rPr>
          <w:rFonts w:ascii="Calibri" w:hAnsi="Calibri" w:cs="Calibri"/>
        </w:rPr>
        <w:t xml:space="preserve">MiFish, a set of universal PCR primers for metabarcoding environmental DNA from fishes: Detection of more than 230 subtropical marine species. </w:t>
      </w:r>
      <w:r w:rsidRPr="00704FBD">
        <w:rPr>
          <w:rFonts w:ascii="Calibri" w:hAnsi="Calibri" w:cs="Calibri"/>
          <w:i/>
          <w:iCs/>
        </w:rPr>
        <w:t>Royal Society open science</w:t>
      </w:r>
      <w:r w:rsidRPr="00704FBD">
        <w:rPr>
          <w:rFonts w:ascii="Calibri" w:hAnsi="Calibri" w:cs="Calibri"/>
        </w:rPr>
        <w:t xml:space="preserve">, </w:t>
      </w:r>
      <w:r w:rsidRPr="00704FBD">
        <w:rPr>
          <w:rFonts w:ascii="Calibri" w:hAnsi="Calibri" w:cs="Calibri"/>
          <w:b/>
          <w:bCs/>
        </w:rPr>
        <w:t>2</w:t>
      </w:r>
      <w:r w:rsidRPr="00704FBD">
        <w:rPr>
          <w:rFonts w:ascii="Calibri" w:hAnsi="Calibri" w:cs="Calibri"/>
        </w:rPr>
        <w:t>, 150088–150088, 10.1098/rsos.150088.</w:t>
      </w:r>
    </w:p>
    <w:p w14:paraId="34F9E580" w14:textId="77777777" w:rsidR="00704FBD" w:rsidRPr="00704FBD" w:rsidRDefault="00704FBD" w:rsidP="00704FBD">
      <w:pPr>
        <w:pStyle w:val="Bibliography"/>
        <w:rPr>
          <w:rFonts w:ascii="Calibri" w:hAnsi="Calibri" w:cs="Calibri"/>
        </w:rPr>
      </w:pPr>
      <w:r w:rsidRPr="00704FBD">
        <w:rPr>
          <w:rFonts w:ascii="Calibri" w:hAnsi="Calibri" w:cs="Calibri"/>
          <w:smallCaps/>
        </w:rPr>
        <w:t>Mundra</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Kjønaas</w:t>
      </w:r>
      <w:r w:rsidRPr="00704FBD">
        <w:rPr>
          <w:rFonts w:ascii="Calibri" w:hAnsi="Calibri" w:cs="Calibri"/>
        </w:rPr>
        <w:t xml:space="preserve">, </w:t>
      </w:r>
      <w:r w:rsidRPr="00704FBD">
        <w:rPr>
          <w:rFonts w:ascii="Calibri" w:hAnsi="Calibri" w:cs="Calibri"/>
          <w:smallCaps/>
        </w:rPr>
        <w:t>O.J.</w:t>
      </w:r>
      <w:r w:rsidRPr="00704FBD">
        <w:rPr>
          <w:rFonts w:ascii="Calibri" w:hAnsi="Calibri" w:cs="Calibri"/>
        </w:rPr>
        <w:t xml:space="preserve">, </w:t>
      </w:r>
      <w:r w:rsidRPr="00704FBD">
        <w:rPr>
          <w:rFonts w:ascii="Calibri" w:hAnsi="Calibri" w:cs="Calibri"/>
          <w:smallCaps/>
        </w:rPr>
        <w:t>Morgado</w:t>
      </w:r>
      <w:r w:rsidRPr="00704FBD">
        <w:rPr>
          <w:rFonts w:ascii="Calibri" w:hAnsi="Calibri" w:cs="Calibri"/>
        </w:rPr>
        <w:t xml:space="preserve">, </w:t>
      </w:r>
      <w:r w:rsidRPr="00704FBD">
        <w:rPr>
          <w:rFonts w:ascii="Calibri" w:hAnsi="Calibri" w:cs="Calibri"/>
          <w:smallCaps/>
        </w:rPr>
        <w:t>L.N.</w:t>
      </w:r>
      <w:r w:rsidRPr="00704FBD">
        <w:rPr>
          <w:rFonts w:ascii="Calibri" w:hAnsi="Calibri" w:cs="Calibri"/>
        </w:rPr>
        <w:t xml:space="preserve">, </w:t>
      </w:r>
      <w:r w:rsidRPr="00704FBD">
        <w:rPr>
          <w:rFonts w:ascii="Calibri" w:hAnsi="Calibri" w:cs="Calibri"/>
          <w:smallCaps/>
        </w:rPr>
        <w:t>Krabberød</w:t>
      </w:r>
      <w:r w:rsidRPr="00704FBD">
        <w:rPr>
          <w:rFonts w:ascii="Calibri" w:hAnsi="Calibri" w:cs="Calibri"/>
        </w:rPr>
        <w:t xml:space="preserve">, </w:t>
      </w:r>
      <w:r w:rsidRPr="00704FBD">
        <w:rPr>
          <w:rFonts w:ascii="Calibri" w:hAnsi="Calibri" w:cs="Calibri"/>
          <w:smallCaps/>
        </w:rPr>
        <w:t>A.K.</w:t>
      </w:r>
      <w:r w:rsidRPr="00704FBD">
        <w:rPr>
          <w:rFonts w:ascii="Calibri" w:hAnsi="Calibri" w:cs="Calibri"/>
        </w:rPr>
        <w:t xml:space="preserve">, </w:t>
      </w:r>
      <w:r w:rsidRPr="00704FBD">
        <w:rPr>
          <w:rFonts w:ascii="Calibri" w:hAnsi="Calibri" w:cs="Calibri"/>
          <w:smallCaps/>
        </w:rPr>
        <w:t>Ransedokken</w:t>
      </w:r>
      <w:r w:rsidRPr="00704FBD">
        <w:rPr>
          <w:rFonts w:ascii="Calibri" w:hAnsi="Calibri" w:cs="Calibri"/>
        </w:rPr>
        <w:t xml:space="preserve">, </w:t>
      </w:r>
      <w:r w:rsidRPr="00704FBD">
        <w:rPr>
          <w:rFonts w:ascii="Calibri" w:hAnsi="Calibri" w:cs="Calibri"/>
          <w:smallCaps/>
        </w:rPr>
        <w:t>Y.</w:t>
      </w:r>
      <w:r w:rsidRPr="00704FBD">
        <w:rPr>
          <w:rFonts w:ascii="Calibri" w:hAnsi="Calibri" w:cs="Calibri"/>
        </w:rPr>
        <w:t xml:space="preserve"> &amp; </w:t>
      </w:r>
      <w:r w:rsidRPr="00704FBD">
        <w:rPr>
          <w:rFonts w:ascii="Calibri" w:hAnsi="Calibri" w:cs="Calibri"/>
          <w:smallCaps/>
        </w:rPr>
        <w:t>Kauserud</w:t>
      </w:r>
      <w:r w:rsidRPr="00704FBD">
        <w:rPr>
          <w:rFonts w:ascii="Calibri" w:hAnsi="Calibri" w:cs="Calibri"/>
        </w:rPr>
        <w:t xml:space="preserve">, </w:t>
      </w:r>
      <w:r w:rsidRPr="00704FBD">
        <w:rPr>
          <w:rFonts w:ascii="Calibri" w:hAnsi="Calibri" w:cs="Calibri"/>
          <w:smallCaps/>
        </w:rPr>
        <w:t>H.</w:t>
      </w:r>
      <w:r w:rsidRPr="00704FBD">
        <w:rPr>
          <w:rFonts w:ascii="Calibri" w:hAnsi="Calibri" w:cs="Calibri"/>
        </w:rPr>
        <w:t xml:space="preserve"> 2021. Soil depth matters: shift in composition and inter-kingdom co-occurrence patterns of microorganisms in forest soils. </w:t>
      </w:r>
      <w:r w:rsidRPr="00704FBD">
        <w:rPr>
          <w:rFonts w:ascii="Calibri" w:hAnsi="Calibri" w:cs="Calibri"/>
          <w:i/>
          <w:iCs/>
        </w:rPr>
        <w:t>FEMS microbiology ecology</w:t>
      </w:r>
      <w:r w:rsidRPr="00704FBD">
        <w:rPr>
          <w:rFonts w:ascii="Calibri" w:hAnsi="Calibri" w:cs="Calibri"/>
        </w:rPr>
        <w:t xml:space="preserve">, </w:t>
      </w:r>
      <w:r w:rsidRPr="00704FBD">
        <w:rPr>
          <w:rFonts w:ascii="Calibri" w:hAnsi="Calibri" w:cs="Calibri"/>
          <w:b/>
          <w:bCs/>
        </w:rPr>
        <w:t>97</w:t>
      </w:r>
      <w:r w:rsidRPr="00704FBD">
        <w:rPr>
          <w:rFonts w:ascii="Calibri" w:hAnsi="Calibri" w:cs="Calibri"/>
        </w:rPr>
        <w:t>, 10.1093/femsec/fiab022.</w:t>
      </w:r>
    </w:p>
    <w:p w14:paraId="71E640D4" w14:textId="77777777" w:rsidR="00704FBD" w:rsidRPr="00704FBD" w:rsidRDefault="00704FBD" w:rsidP="00704FBD">
      <w:pPr>
        <w:pStyle w:val="Bibliography"/>
        <w:rPr>
          <w:rFonts w:ascii="Calibri" w:hAnsi="Calibri" w:cs="Calibri"/>
        </w:rPr>
      </w:pPr>
      <w:r w:rsidRPr="00704FBD">
        <w:rPr>
          <w:rFonts w:ascii="Calibri" w:hAnsi="Calibri" w:cs="Calibri"/>
          <w:smallCaps/>
        </w:rPr>
        <w:t>Oliverio</w:t>
      </w:r>
      <w:r w:rsidRPr="00704FBD">
        <w:rPr>
          <w:rFonts w:ascii="Calibri" w:hAnsi="Calibri" w:cs="Calibri"/>
        </w:rPr>
        <w:t xml:space="preserve">, </w:t>
      </w:r>
      <w:r w:rsidRPr="00704FBD">
        <w:rPr>
          <w:rFonts w:ascii="Calibri" w:hAnsi="Calibri" w:cs="Calibri"/>
          <w:smallCaps/>
        </w:rPr>
        <w:t>A.M.</w:t>
      </w:r>
      <w:r w:rsidRPr="00704FBD">
        <w:rPr>
          <w:rFonts w:ascii="Calibri" w:hAnsi="Calibri" w:cs="Calibri"/>
        </w:rPr>
        <w:t xml:space="preserve">, </w:t>
      </w:r>
      <w:r w:rsidRPr="00704FBD">
        <w:rPr>
          <w:rFonts w:ascii="Calibri" w:hAnsi="Calibri" w:cs="Calibri"/>
          <w:smallCaps/>
        </w:rPr>
        <w:t>Gan</w:t>
      </w:r>
      <w:r w:rsidRPr="00704FBD">
        <w:rPr>
          <w:rFonts w:ascii="Calibri" w:hAnsi="Calibri" w:cs="Calibri"/>
        </w:rPr>
        <w:t xml:space="preserve">, </w:t>
      </w:r>
      <w:r w:rsidRPr="00704FBD">
        <w:rPr>
          <w:rFonts w:ascii="Calibri" w:hAnsi="Calibri" w:cs="Calibri"/>
          <w:smallCaps/>
        </w:rPr>
        <w:t>H.</w:t>
      </w:r>
      <w:r w:rsidRPr="00704FBD">
        <w:rPr>
          <w:rFonts w:ascii="Calibri" w:hAnsi="Calibri" w:cs="Calibri"/>
        </w:rPr>
        <w:t xml:space="preserve">, </w:t>
      </w:r>
      <w:r w:rsidRPr="00704FBD">
        <w:rPr>
          <w:rFonts w:ascii="Calibri" w:hAnsi="Calibri" w:cs="Calibri"/>
          <w:smallCaps/>
        </w:rPr>
        <w:t>Wickings</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&amp; </w:t>
      </w:r>
      <w:r w:rsidRPr="00704FBD">
        <w:rPr>
          <w:rFonts w:ascii="Calibri" w:hAnsi="Calibri" w:cs="Calibri"/>
          <w:smallCaps/>
        </w:rPr>
        <w:t>Fierer</w:t>
      </w:r>
      <w:r w:rsidRPr="00704FBD">
        <w:rPr>
          <w:rFonts w:ascii="Calibri" w:hAnsi="Calibri" w:cs="Calibri"/>
        </w:rPr>
        <w:t xml:space="preserve">, </w:t>
      </w:r>
      <w:r w:rsidRPr="00704FBD">
        <w:rPr>
          <w:rFonts w:ascii="Calibri" w:hAnsi="Calibri" w:cs="Calibri"/>
          <w:smallCaps/>
        </w:rPr>
        <w:t>N.</w:t>
      </w:r>
      <w:r w:rsidRPr="00704FBD">
        <w:rPr>
          <w:rFonts w:ascii="Calibri" w:hAnsi="Calibri" w:cs="Calibri"/>
        </w:rPr>
        <w:t xml:space="preserve"> 2018. A DNA metabarcoding approach to characterize soil arthropod communities. </w:t>
      </w:r>
      <w:r w:rsidRPr="00704FBD">
        <w:rPr>
          <w:rFonts w:ascii="Calibri" w:hAnsi="Calibri" w:cs="Calibri"/>
          <w:i/>
          <w:iCs/>
        </w:rPr>
        <w:t>Soil biology &amp; biochemistry</w:t>
      </w:r>
      <w:r w:rsidRPr="00704FBD">
        <w:rPr>
          <w:rFonts w:ascii="Calibri" w:hAnsi="Calibri" w:cs="Calibri"/>
        </w:rPr>
        <w:t xml:space="preserve">, </w:t>
      </w:r>
      <w:r w:rsidRPr="00704FBD">
        <w:rPr>
          <w:rFonts w:ascii="Calibri" w:hAnsi="Calibri" w:cs="Calibri"/>
          <w:b/>
          <w:bCs/>
        </w:rPr>
        <w:t>125</w:t>
      </w:r>
      <w:r w:rsidRPr="00704FBD">
        <w:rPr>
          <w:rFonts w:ascii="Calibri" w:hAnsi="Calibri" w:cs="Calibri"/>
        </w:rPr>
        <w:t>, 37–43, 10.1016/j.soilbio.2018.06.026.</w:t>
      </w:r>
    </w:p>
    <w:p w14:paraId="29520359" w14:textId="77777777" w:rsidR="00704FBD" w:rsidRPr="00704FBD" w:rsidRDefault="00704FBD" w:rsidP="00704FBD">
      <w:pPr>
        <w:pStyle w:val="Bibliography"/>
        <w:rPr>
          <w:rFonts w:ascii="Calibri" w:hAnsi="Calibri" w:cs="Calibri"/>
        </w:rPr>
      </w:pPr>
      <w:r w:rsidRPr="00704FBD">
        <w:rPr>
          <w:rFonts w:ascii="Calibri" w:hAnsi="Calibri" w:cs="Calibri"/>
          <w:smallCaps/>
        </w:rPr>
        <w:t>Pansu</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Chapman</w:t>
      </w:r>
      <w:r w:rsidRPr="00704FBD">
        <w:rPr>
          <w:rFonts w:ascii="Calibri" w:hAnsi="Calibri" w:cs="Calibri"/>
        </w:rPr>
        <w:t xml:space="preserve">, </w:t>
      </w:r>
      <w:r w:rsidRPr="00704FBD">
        <w:rPr>
          <w:rFonts w:ascii="Calibri" w:hAnsi="Calibri" w:cs="Calibri"/>
          <w:smallCaps/>
        </w:rPr>
        <w:t>M.B.</w:t>
      </w:r>
      <w:r w:rsidRPr="00704FBD">
        <w:rPr>
          <w:rFonts w:ascii="Calibri" w:hAnsi="Calibri" w:cs="Calibri"/>
        </w:rPr>
        <w:t xml:space="preserve">, </w:t>
      </w:r>
      <w:r w:rsidRPr="00704FBD">
        <w:rPr>
          <w:rFonts w:ascii="Calibri" w:hAnsi="Calibri" w:cs="Calibri"/>
          <w:smallCaps/>
        </w:rPr>
        <w:t>Hose</w:t>
      </w:r>
      <w:r w:rsidRPr="00704FBD">
        <w:rPr>
          <w:rFonts w:ascii="Calibri" w:hAnsi="Calibri" w:cs="Calibri"/>
        </w:rPr>
        <w:t xml:space="preserve">, </w:t>
      </w:r>
      <w:r w:rsidRPr="00704FBD">
        <w:rPr>
          <w:rFonts w:ascii="Calibri" w:hAnsi="Calibri" w:cs="Calibri"/>
          <w:smallCaps/>
        </w:rPr>
        <w:t>G.C.</w:t>
      </w:r>
      <w:r w:rsidRPr="00704FBD">
        <w:rPr>
          <w:rFonts w:ascii="Calibri" w:hAnsi="Calibri" w:cs="Calibri"/>
        </w:rPr>
        <w:t xml:space="preserve"> &amp; </w:t>
      </w:r>
      <w:r w:rsidRPr="00704FBD">
        <w:rPr>
          <w:rFonts w:ascii="Calibri" w:hAnsi="Calibri" w:cs="Calibri"/>
          <w:smallCaps/>
        </w:rPr>
        <w:t>Chariton</w:t>
      </w:r>
      <w:r w:rsidRPr="00704FBD">
        <w:rPr>
          <w:rFonts w:ascii="Calibri" w:hAnsi="Calibri" w:cs="Calibri"/>
        </w:rPr>
        <w:t xml:space="preserve">, </w:t>
      </w:r>
      <w:r w:rsidRPr="00704FBD">
        <w:rPr>
          <w:rFonts w:ascii="Calibri" w:hAnsi="Calibri" w:cs="Calibri"/>
          <w:smallCaps/>
        </w:rPr>
        <w:t>A.A.</w:t>
      </w:r>
      <w:r w:rsidRPr="00704FBD">
        <w:rPr>
          <w:rFonts w:ascii="Calibri" w:hAnsi="Calibri" w:cs="Calibri"/>
        </w:rPr>
        <w:t xml:space="preserve"> 2020. Comparison of an extracellular v. total DNA extraction approach for environmental DNA-based monitoring of sediment biota. </w:t>
      </w:r>
      <w:r w:rsidRPr="00704FBD">
        <w:rPr>
          <w:rFonts w:ascii="Calibri" w:hAnsi="Calibri" w:cs="Calibri"/>
          <w:i/>
          <w:iCs/>
        </w:rPr>
        <w:t>Marine and freshwater research</w:t>
      </w:r>
      <w:r w:rsidRPr="00704FBD">
        <w:rPr>
          <w:rFonts w:ascii="Calibri" w:hAnsi="Calibri" w:cs="Calibri"/>
        </w:rPr>
        <w:t>, 10.1071/MF20269.</w:t>
      </w:r>
    </w:p>
    <w:p w14:paraId="4A572A66" w14:textId="77777777" w:rsidR="00704FBD" w:rsidRPr="00704FBD" w:rsidRDefault="00704FBD" w:rsidP="00704FBD">
      <w:pPr>
        <w:pStyle w:val="Bibliography"/>
        <w:rPr>
          <w:rFonts w:ascii="Calibri" w:hAnsi="Calibri" w:cs="Calibri"/>
        </w:rPr>
      </w:pPr>
      <w:r w:rsidRPr="00704FBD">
        <w:rPr>
          <w:rFonts w:ascii="Calibri" w:hAnsi="Calibri" w:cs="Calibri"/>
          <w:smallCaps/>
        </w:rPr>
        <w:t>Pansu</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De Danieli</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Puissant</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Gonzalez</w:t>
      </w:r>
      <w:r w:rsidRPr="00704FBD">
        <w:rPr>
          <w:rFonts w:ascii="Calibri" w:hAnsi="Calibri" w:cs="Calibri"/>
        </w:rPr>
        <w:t xml:space="preserve">, </w:t>
      </w:r>
      <w:r w:rsidRPr="00704FBD">
        <w:rPr>
          <w:rFonts w:ascii="Calibri" w:hAnsi="Calibri" w:cs="Calibri"/>
          <w:smallCaps/>
        </w:rPr>
        <w:t>J.-M.</w:t>
      </w:r>
      <w:r w:rsidRPr="00704FBD">
        <w:rPr>
          <w:rFonts w:ascii="Calibri" w:hAnsi="Calibri" w:cs="Calibri"/>
        </w:rPr>
        <w:t xml:space="preserve">, </w:t>
      </w:r>
      <w:r w:rsidRPr="00704FBD">
        <w:rPr>
          <w:rFonts w:ascii="Calibri" w:hAnsi="Calibri" w:cs="Calibri"/>
          <w:smallCaps/>
        </w:rPr>
        <w:t>Gielly</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Cordonnier</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Zinger</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et al. 2015a. Landscape-scale distribution patterns of earthworms inferred from soil DNA. </w:t>
      </w:r>
      <w:r w:rsidRPr="00704FBD">
        <w:rPr>
          <w:rFonts w:ascii="Calibri" w:hAnsi="Calibri" w:cs="Calibri"/>
          <w:i/>
          <w:iCs/>
        </w:rPr>
        <w:t>Soil biology &amp; biochemistry</w:t>
      </w:r>
      <w:r w:rsidRPr="00704FBD">
        <w:rPr>
          <w:rFonts w:ascii="Calibri" w:hAnsi="Calibri" w:cs="Calibri"/>
        </w:rPr>
        <w:t xml:space="preserve">, </w:t>
      </w:r>
      <w:r w:rsidRPr="00704FBD">
        <w:rPr>
          <w:rFonts w:ascii="Calibri" w:hAnsi="Calibri" w:cs="Calibri"/>
          <w:b/>
          <w:bCs/>
        </w:rPr>
        <w:t>83</w:t>
      </w:r>
      <w:r w:rsidRPr="00704FBD">
        <w:rPr>
          <w:rFonts w:ascii="Calibri" w:hAnsi="Calibri" w:cs="Calibri"/>
        </w:rPr>
        <w:t>, 100–105, 10.1016/j.soilbio.2015.01.004.</w:t>
      </w:r>
    </w:p>
    <w:p w14:paraId="0D026652" w14:textId="77777777" w:rsidR="00704FBD" w:rsidRPr="00704FBD" w:rsidRDefault="00704FBD" w:rsidP="00704FBD">
      <w:pPr>
        <w:pStyle w:val="Bibliography"/>
        <w:rPr>
          <w:rFonts w:ascii="Calibri" w:hAnsi="Calibri" w:cs="Calibri"/>
        </w:rPr>
      </w:pPr>
      <w:r w:rsidRPr="00704FBD">
        <w:rPr>
          <w:rFonts w:ascii="Calibri" w:hAnsi="Calibri" w:cs="Calibri"/>
          <w:smallCaps/>
        </w:rPr>
        <w:t>Pansu</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Winkworth</w:t>
      </w:r>
      <w:r w:rsidRPr="00704FBD">
        <w:rPr>
          <w:rFonts w:ascii="Calibri" w:hAnsi="Calibri" w:cs="Calibri"/>
        </w:rPr>
        <w:t xml:space="preserve">, </w:t>
      </w:r>
      <w:r w:rsidRPr="00704FBD">
        <w:rPr>
          <w:rFonts w:ascii="Calibri" w:hAnsi="Calibri" w:cs="Calibri"/>
          <w:smallCaps/>
        </w:rPr>
        <w:t>R.C.</w:t>
      </w:r>
      <w:r w:rsidRPr="00704FBD">
        <w:rPr>
          <w:rFonts w:ascii="Calibri" w:hAnsi="Calibri" w:cs="Calibri"/>
        </w:rPr>
        <w:t xml:space="preserve">, </w:t>
      </w:r>
      <w:r w:rsidRPr="00704FBD">
        <w:rPr>
          <w:rFonts w:ascii="Calibri" w:hAnsi="Calibri" w:cs="Calibri"/>
          <w:smallCaps/>
        </w:rPr>
        <w:t>Hennion</w:t>
      </w:r>
      <w:r w:rsidRPr="00704FBD">
        <w:rPr>
          <w:rFonts w:ascii="Calibri" w:hAnsi="Calibri" w:cs="Calibri"/>
        </w:rPr>
        <w:t xml:space="preserve">, </w:t>
      </w:r>
      <w:r w:rsidRPr="00704FBD">
        <w:rPr>
          <w:rFonts w:ascii="Calibri" w:hAnsi="Calibri" w:cs="Calibri"/>
          <w:smallCaps/>
        </w:rPr>
        <w:t>F.</w:t>
      </w:r>
      <w:r w:rsidRPr="00704FBD">
        <w:rPr>
          <w:rFonts w:ascii="Calibri" w:hAnsi="Calibri" w:cs="Calibri"/>
        </w:rPr>
        <w:t xml:space="preserve">, </w:t>
      </w:r>
      <w:r w:rsidRPr="00704FBD">
        <w:rPr>
          <w:rFonts w:ascii="Calibri" w:hAnsi="Calibri" w:cs="Calibri"/>
          <w:smallCaps/>
        </w:rPr>
        <w:t>Gielly</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Taberlet</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&amp; </w:t>
      </w:r>
      <w:r w:rsidRPr="00704FBD">
        <w:rPr>
          <w:rFonts w:ascii="Calibri" w:hAnsi="Calibri" w:cs="Calibri"/>
          <w:smallCaps/>
        </w:rPr>
        <w:t>Choler</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2015b. Long-lasting modification of soil fungal diversity associated with the introduction of rabbits to a remote sub-Antarctic archipelago. </w:t>
      </w:r>
      <w:r w:rsidRPr="00704FBD">
        <w:rPr>
          <w:rFonts w:ascii="Calibri" w:hAnsi="Calibri" w:cs="Calibri"/>
          <w:i/>
          <w:iCs/>
        </w:rPr>
        <w:t>Biology letters (2005)</w:t>
      </w:r>
      <w:r w:rsidRPr="00704FBD">
        <w:rPr>
          <w:rFonts w:ascii="Calibri" w:hAnsi="Calibri" w:cs="Calibri"/>
        </w:rPr>
        <w:t xml:space="preserve">, </w:t>
      </w:r>
      <w:r w:rsidRPr="00704FBD">
        <w:rPr>
          <w:rFonts w:ascii="Calibri" w:hAnsi="Calibri" w:cs="Calibri"/>
          <w:b/>
          <w:bCs/>
        </w:rPr>
        <w:t>11</w:t>
      </w:r>
      <w:r w:rsidRPr="00704FBD">
        <w:rPr>
          <w:rFonts w:ascii="Calibri" w:hAnsi="Calibri" w:cs="Calibri"/>
        </w:rPr>
        <w:t>, 20150408–20150408, 10.1098/rsbl.2015.0408.</w:t>
      </w:r>
    </w:p>
    <w:p w14:paraId="301C1468" w14:textId="77777777" w:rsidR="00704FBD" w:rsidRPr="00704FBD" w:rsidRDefault="00704FBD" w:rsidP="00704FBD">
      <w:pPr>
        <w:pStyle w:val="Bibliography"/>
        <w:rPr>
          <w:rFonts w:ascii="Calibri" w:hAnsi="Calibri" w:cs="Calibri"/>
        </w:rPr>
      </w:pPr>
      <w:r w:rsidRPr="00704FBD">
        <w:rPr>
          <w:rFonts w:ascii="Calibri" w:hAnsi="Calibri" w:cs="Calibri"/>
          <w:smallCaps/>
        </w:rPr>
        <w:lastRenderedPageBreak/>
        <w:t>Ritter</w:t>
      </w:r>
      <w:r w:rsidRPr="00704FBD">
        <w:rPr>
          <w:rFonts w:ascii="Calibri" w:hAnsi="Calibri" w:cs="Calibri"/>
        </w:rPr>
        <w:t xml:space="preserve">, </w:t>
      </w:r>
      <w:r w:rsidRPr="00704FBD">
        <w:rPr>
          <w:rFonts w:ascii="Calibri" w:hAnsi="Calibri" w:cs="Calibri"/>
          <w:smallCaps/>
        </w:rPr>
        <w:t>C.D.</w:t>
      </w:r>
      <w:r w:rsidRPr="00704FBD">
        <w:rPr>
          <w:rFonts w:ascii="Calibri" w:hAnsi="Calibri" w:cs="Calibri"/>
        </w:rPr>
        <w:t xml:space="preserve">, </w:t>
      </w:r>
      <w:r w:rsidRPr="00704FBD">
        <w:rPr>
          <w:rFonts w:ascii="Calibri" w:hAnsi="Calibri" w:cs="Calibri"/>
          <w:smallCaps/>
        </w:rPr>
        <w:t>Häggqvist</w:t>
      </w:r>
      <w:r w:rsidRPr="00704FBD">
        <w:rPr>
          <w:rFonts w:ascii="Calibri" w:hAnsi="Calibri" w:cs="Calibri"/>
        </w:rPr>
        <w:t xml:space="preserve">, </w:t>
      </w:r>
      <w:r w:rsidRPr="00704FBD">
        <w:rPr>
          <w:rFonts w:ascii="Calibri" w:hAnsi="Calibri" w:cs="Calibri"/>
          <w:smallCaps/>
        </w:rPr>
        <w:t>S.</w:t>
      </w:r>
      <w:r w:rsidRPr="00704FBD">
        <w:rPr>
          <w:rFonts w:ascii="Calibri" w:hAnsi="Calibri" w:cs="Calibri"/>
        </w:rPr>
        <w:t xml:space="preserve">, </w:t>
      </w:r>
      <w:r w:rsidRPr="00704FBD">
        <w:rPr>
          <w:rFonts w:ascii="Calibri" w:hAnsi="Calibri" w:cs="Calibri"/>
          <w:smallCaps/>
        </w:rPr>
        <w:t>Karlsson</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Sääksjärvi</w:t>
      </w:r>
      <w:r w:rsidRPr="00704FBD">
        <w:rPr>
          <w:rFonts w:ascii="Calibri" w:hAnsi="Calibri" w:cs="Calibri"/>
        </w:rPr>
        <w:t xml:space="preserve">, </w:t>
      </w:r>
      <w:r w:rsidRPr="00704FBD">
        <w:rPr>
          <w:rFonts w:ascii="Calibri" w:hAnsi="Calibri" w:cs="Calibri"/>
          <w:smallCaps/>
        </w:rPr>
        <w:t>I.E.</w:t>
      </w:r>
      <w:r w:rsidRPr="00704FBD">
        <w:rPr>
          <w:rFonts w:ascii="Calibri" w:hAnsi="Calibri" w:cs="Calibri"/>
        </w:rPr>
        <w:t xml:space="preserve">, </w:t>
      </w:r>
      <w:r w:rsidRPr="00704FBD">
        <w:rPr>
          <w:rFonts w:ascii="Calibri" w:hAnsi="Calibri" w:cs="Calibri"/>
          <w:smallCaps/>
        </w:rPr>
        <w:t>Muasya</w:t>
      </w:r>
      <w:r w:rsidRPr="00704FBD">
        <w:rPr>
          <w:rFonts w:ascii="Calibri" w:hAnsi="Calibri" w:cs="Calibri"/>
        </w:rPr>
        <w:t xml:space="preserve">, </w:t>
      </w:r>
      <w:r w:rsidRPr="00704FBD">
        <w:rPr>
          <w:rFonts w:ascii="Calibri" w:hAnsi="Calibri" w:cs="Calibri"/>
          <w:smallCaps/>
        </w:rPr>
        <w:t>A.M.</w:t>
      </w:r>
      <w:r w:rsidRPr="00704FBD">
        <w:rPr>
          <w:rFonts w:ascii="Calibri" w:hAnsi="Calibri" w:cs="Calibri"/>
        </w:rPr>
        <w:t xml:space="preserve">, </w:t>
      </w:r>
      <w:r w:rsidRPr="00704FBD">
        <w:rPr>
          <w:rFonts w:ascii="Calibri" w:hAnsi="Calibri" w:cs="Calibri"/>
          <w:smallCaps/>
        </w:rPr>
        <w:t>Nilsson</w:t>
      </w:r>
      <w:r w:rsidRPr="00704FBD">
        <w:rPr>
          <w:rFonts w:ascii="Calibri" w:hAnsi="Calibri" w:cs="Calibri"/>
        </w:rPr>
        <w:t xml:space="preserve">, </w:t>
      </w:r>
      <w:r w:rsidRPr="00704FBD">
        <w:rPr>
          <w:rFonts w:ascii="Calibri" w:hAnsi="Calibri" w:cs="Calibri"/>
          <w:smallCaps/>
        </w:rPr>
        <w:t>R.H.</w:t>
      </w:r>
      <w:r w:rsidRPr="00704FBD">
        <w:rPr>
          <w:rFonts w:ascii="Calibri" w:hAnsi="Calibri" w:cs="Calibri"/>
        </w:rPr>
        <w:t xml:space="preserve"> &amp; </w:t>
      </w:r>
      <w:r w:rsidRPr="00704FBD">
        <w:rPr>
          <w:rFonts w:ascii="Calibri" w:hAnsi="Calibri" w:cs="Calibri"/>
          <w:smallCaps/>
        </w:rPr>
        <w:t>Antonelli</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2019. Biodiversity assessments in the 21st century: The potential of insect traps to complement environmental samples for estimating eukaryotic and prokaryotic diversity using high-throughput DNA metabarcoding. </w:t>
      </w:r>
      <w:r w:rsidRPr="00704FBD">
        <w:rPr>
          <w:rFonts w:ascii="Calibri" w:hAnsi="Calibri" w:cs="Calibri"/>
          <w:i/>
          <w:iCs/>
        </w:rPr>
        <w:t>Genome</w:t>
      </w:r>
      <w:r w:rsidRPr="00704FBD">
        <w:rPr>
          <w:rFonts w:ascii="Calibri" w:hAnsi="Calibri" w:cs="Calibri"/>
        </w:rPr>
        <w:t xml:space="preserve">, </w:t>
      </w:r>
      <w:r w:rsidRPr="00704FBD">
        <w:rPr>
          <w:rFonts w:ascii="Calibri" w:hAnsi="Calibri" w:cs="Calibri"/>
          <w:b/>
          <w:bCs/>
        </w:rPr>
        <w:t>62</w:t>
      </w:r>
      <w:r w:rsidRPr="00704FBD">
        <w:rPr>
          <w:rFonts w:ascii="Calibri" w:hAnsi="Calibri" w:cs="Calibri"/>
        </w:rPr>
        <w:t>, 147–159, 10.1139/gen-2018-0096.</w:t>
      </w:r>
    </w:p>
    <w:p w14:paraId="4047B199" w14:textId="77777777" w:rsidR="00704FBD" w:rsidRPr="001D508D" w:rsidRDefault="00704FBD" w:rsidP="00704FBD">
      <w:pPr>
        <w:pStyle w:val="Bibliography"/>
        <w:rPr>
          <w:rFonts w:ascii="Calibri" w:hAnsi="Calibri" w:cs="Calibri"/>
          <w:lang w:val="es-CL"/>
        </w:rPr>
      </w:pPr>
      <w:r w:rsidRPr="00704FBD">
        <w:rPr>
          <w:rFonts w:ascii="Calibri" w:hAnsi="Calibri" w:cs="Calibri"/>
          <w:smallCaps/>
        </w:rPr>
        <w:t>Rognes</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Flouri</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Nichols</w:t>
      </w:r>
      <w:r w:rsidRPr="00704FBD">
        <w:rPr>
          <w:rFonts w:ascii="Calibri" w:hAnsi="Calibri" w:cs="Calibri"/>
        </w:rPr>
        <w:t xml:space="preserve">, </w:t>
      </w:r>
      <w:r w:rsidRPr="00704FBD">
        <w:rPr>
          <w:rFonts w:ascii="Calibri" w:hAnsi="Calibri" w:cs="Calibri"/>
          <w:smallCaps/>
        </w:rPr>
        <w:t>B.</w:t>
      </w:r>
      <w:r w:rsidRPr="00704FBD">
        <w:rPr>
          <w:rFonts w:ascii="Calibri" w:hAnsi="Calibri" w:cs="Calibri"/>
        </w:rPr>
        <w:t xml:space="preserve">, </w:t>
      </w:r>
      <w:r w:rsidRPr="00704FBD">
        <w:rPr>
          <w:rFonts w:ascii="Calibri" w:hAnsi="Calibri" w:cs="Calibri"/>
          <w:smallCaps/>
        </w:rPr>
        <w:t>Quince</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&amp; </w:t>
      </w:r>
      <w:r w:rsidRPr="00704FBD">
        <w:rPr>
          <w:rFonts w:ascii="Calibri" w:hAnsi="Calibri" w:cs="Calibri"/>
          <w:smallCaps/>
        </w:rPr>
        <w:t>Mahé</w:t>
      </w:r>
      <w:r w:rsidRPr="00704FBD">
        <w:rPr>
          <w:rFonts w:ascii="Calibri" w:hAnsi="Calibri" w:cs="Calibri"/>
        </w:rPr>
        <w:t xml:space="preserve">, </w:t>
      </w:r>
      <w:r w:rsidRPr="00704FBD">
        <w:rPr>
          <w:rFonts w:ascii="Calibri" w:hAnsi="Calibri" w:cs="Calibri"/>
          <w:smallCaps/>
        </w:rPr>
        <w:t>F.</w:t>
      </w:r>
      <w:r w:rsidRPr="00704FBD">
        <w:rPr>
          <w:rFonts w:ascii="Calibri" w:hAnsi="Calibri" w:cs="Calibri"/>
        </w:rPr>
        <w:t xml:space="preserve"> 2016. VSEARCH: a versatile open source tool for metagenomics. </w:t>
      </w:r>
      <w:r w:rsidRPr="001D508D">
        <w:rPr>
          <w:rFonts w:ascii="Calibri" w:hAnsi="Calibri" w:cs="Calibri"/>
          <w:i/>
          <w:iCs/>
          <w:lang w:val="es-CL"/>
        </w:rPr>
        <w:t>PeerJ (San Francisco, CA)</w:t>
      </w:r>
      <w:r w:rsidRPr="001D508D">
        <w:rPr>
          <w:rFonts w:ascii="Calibri" w:hAnsi="Calibri" w:cs="Calibri"/>
          <w:lang w:val="es-CL"/>
        </w:rPr>
        <w:t xml:space="preserve">, </w:t>
      </w:r>
      <w:r w:rsidRPr="001D508D">
        <w:rPr>
          <w:rFonts w:ascii="Calibri" w:hAnsi="Calibri" w:cs="Calibri"/>
          <w:b/>
          <w:bCs/>
          <w:lang w:val="es-CL"/>
        </w:rPr>
        <w:t>4</w:t>
      </w:r>
      <w:r w:rsidRPr="001D508D">
        <w:rPr>
          <w:rFonts w:ascii="Calibri" w:hAnsi="Calibri" w:cs="Calibri"/>
          <w:lang w:val="es-CL"/>
        </w:rPr>
        <w:t>, e2584–e2584, 10.7717/peerj.2584.</w:t>
      </w:r>
    </w:p>
    <w:p w14:paraId="19750FEE" w14:textId="77777777" w:rsidR="00704FBD" w:rsidRPr="00704FBD" w:rsidRDefault="00704FBD" w:rsidP="00704FBD">
      <w:pPr>
        <w:pStyle w:val="Bibliography"/>
        <w:rPr>
          <w:rFonts w:ascii="Calibri" w:hAnsi="Calibri" w:cs="Calibri"/>
        </w:rPr>
      </w:pPr>
      <w:r w:rsidRPr="001D508D">
        <w:rPr>
          <w:rFonts w:ascii="Calibri" w:hAnsi="Calibri" w:cs="Calibri"/>
          <w:smallCaps/>
          <w:lang w:val="es-CL"/>
        </w:rPr>
        <w:t>Ryan</w:t>
      </w:r>
      <w:r w:rsidRPr="001D508D">
        <w:rPr>
          <w:rFonts w:ascii="Calibri" w:hAnsi="Calibri" w:cs="Calibri"/>
          <w:lang w:val="es-CL"/>
        </w:rPr>
        <w:t xml:space="preserve">, </w:t>
      </w:r>
      <w:r w:rsidRPr="001D508D">
        <w:rPr>
          <w:rFonts w:ascii="Calibri" w:hAnsi="Calibri" w:cs="Calibri"/>
          <w:smallCaps/>
          <w:lang w:val="es-CL"/>
        </w:rPr>
        <w:t>E.</w:t>
      </w:r>
      <w:r w:rsidRPr="001D508D">
        <w:rPr>
          <w:rFonts w:ascii="Calibri" w:hAnsi="Calibri" w:cs="Calibri"/>
          <w:lang w:val="es-CL"/>
        </w:rPr>
        <w:t xml:space="preserve">, </w:t>
      </w:r>
      <w:r w:rsidRPr="001D508D">
        <w:rPr>
          <w:rFonts w:ascii="Calibri" w:hAnsi="Calibri" w:cs="Calibri"/>
          <w:smallCaps/>
          <w:lang w:val="es-CL"/>
        </w:rPr>
        <w:t>Bateman</w:t>
      </w:r>
      <w:r w:rsidRPr="001D508D">
        <w:rPr>
          <w:rFonts w:ascii="Calibri" w:hAnsi="Calibri" w:cs="Calibri"/>
          <w:lang w:val="es-CL"/>
        </w:rPr>
        <w:t xml:space="preserve">, </w:t>
      </w:r>
      <w:r w:rsidRPr="001D508D">
        <w:rPr>
          <w:rFonts w:ascii="Calibri" w:hAnsi="Calibri" w:cs="Calibri"/>
          <w:smallCaps/>
          <w:lang w:val="es-CL"/>
        </w:rPr>
        <w:t>P.</w:t>
      </w:r>
      <w:r w:rsidRPr="001D508D">
        <w:rPr>
          <w:rFonts w:ascii="Calibri" w:hAnsi="Calibri" w:cs="Calibri"/>
          <w:lang w:val="es-CL"/>
        </w:rPr>
        <w:t xml:space="preserve">, </w:t>
      </w:r>
      <w:r w:rsidRPr="001D508D">
        <w:rPr>
          <w:rFonts w:ascii="Calibri" w:hAnsi="Calibri" w:cs="Calibri"/>
          <w:smallCaps/>
          <w:lang w:val="es-CL"/>
        </w:rPr>
        <w:t>Heyde</w:t>
      </w:r>
      <w:r w:rsidRPr="001D508D">
        <w:rPr>
          <w:rFonts w:ascii="Calibri" w:hAnsi="Calibri" w:cs="Calibri"/>
          <w:lang w:val="es-CL"/>
        </w:rPr>
        <w:t xml:space="preserve">, </w:t>
      </w:r>
      <w:r w:rsidRPr="001D508D">
        <w:rPr>
          <w:rFonts w:ascii="Calibri" w:hAnsi="Calibri" w:cs="Calibri"/>
          <w:smallCaps/>
          <w:lang w:val="es-CL"/>
        </w:rPr>
        <w:t>M.</w:t>
      </w:r>
      <w:r w:rsidRPr="001D508D">
        <w:rPr>
          <w:rFonts w:ascii="Calibri" w:hAnsi="Calibri" w:cs="Calibri"/>
          <w:lang w:val="es-CL"/>
        </w:rPr>
        <w:t xml:space="preserve"> </w:t>
      </w:r>
      <w:r w:rsidRPr="001D508D">
        <w:rPr>
          <w:rFonts w:ascii="Calibri" w:hAnsi="Calibri" w:cs="Calibri"/>
          <w:smallCaps/>
          <w:lang w:val="es-CL"/>
        </w:rPr>
        <w:t>van der</w:t>
      </w:r>
      <w:r w:rsidRPr="001D508D">
        <w:rPr>
          <w:rFonts w:ascii="Calibri" w:hAnsi="Calibri" w:cs="Calibri"/>
          <w:lang w:val="es-CL"/>
        </w:rPr>
        <w:t xml:space="preserve">, </w:t>
      </w:r>
      <w:r w:rsidRPr="001D508D">
        <w:rPr>
          <w:rFonts w:ascii="Calibri" w:hAnsi="Calibri" w:cs="Calibri"/>
          <w:smallCaps/>
          <w:lang w:val="es-CL"/>
        </w:rPr>
        <w:t>Fernandes</w:t>
      </w:r>
      <w:r w:rsidRPr="001D508D">
        <w:rPr>
          <w:rFonts w:ascii="Calibri" w:hAnsi="Calibri" w:cs="Calibri"/>
          <w:lang w:val="es-CL"/>
        </w:rPr>
        <w:t xml:space="preserve">, </w:t>
      </w:r>
      <w:r w:rsidRPr="001D508D">
        <w:rPr>
          <w:rFonts w:ascii="Calibri" w:hAnsi="Calibri" w:cs="Calibri"/>
          <w:smallCaps/>
          <w:lang w:val="es-CL"/>
        </w:rPr>
        <w:t>K.</w:t>
      </w:r>
      <w:r w:rsidRPr="001D508D">
        <w:rPr>
          <w:rFonts w:ascii="Calibri" w:hAnsi="Calibri" w:cs="Calibri"/>
          <w:lang w:val="es-CL"/>
        </w:rPr>
        <w:t xml:space="preserve"> &amp; </w:t>
      </w:r>
      <w:r w:rsidRPr="001D508D">
        <w:rPr>
          <w:rFonts w:ascii="Calibri" w:hAnsi="Calibri" w:cs="Calibri"/>
          <w:smallCaps/>
          <w:lang w:val="es-CL"/>
        </w:rPr>
        <w:t>Nevill</w:t>
      </w:r>
      <w:r w:rsidRPr="001D508D">
        <w:rPr>
          <w:rFonts w:ascii="Calibri" w:hAnsi="Calibri" w:cs="Calibri"/>
          <w:lang w:val="es-CL"/>
        </w:rPr>
        <w:t xml:space="preserve">, </w:t>
      </w:r>
      <w:r w:rsidRPr="001D508D">
        <w:rPr>
          <w:rFonts w:ascii="Calibri" w:hAnsi="Calibri" w:cs="Calibri"/>
          <w:smallCaps/>
          <w:lang w:val="es-CL"/>
        </w:rPr>
        <w:t>P.</w:t>
      </w:r>
      <w:r w:rsidRPr="001D508D">
        <w:rPr>
          <w:rFonts w:ascii="Calibri" w:hAnsi="Calibri" w:cs="Calibri"/>
          <w:lang w:val="es-CL"/>
        </w:rPr>
        <w:t xml:space="preserve"> 2020. </w:t>
      </w:r>
      <w:r w:rsidRPr="00704FBD">
        <w:rPr>
          <w:rFonts w:ascii="Calibri" w:hAnsi="Calibri" w:cs="Calibri"/>
        </w:rPr>
        <w:t>Comparison of eDNA metabarcoding to camera trapping for terrestrial vertebrate monitoring highlights the importance of substrate type, frequency of sampling and animal size. Preprints, 10.22541/au.160442291.13614413/v1.</w:t>
      </w:r>
    </w:p>
    <w:p w14:paraId="3AF0CCAB" w14:textId="77777777" w:rsidR="00704FBD" w:rsidRPr="00704FBD" w:rsidRDefault="00704FBD" w:rsidP="00704FBD">
      <w:pPr>
        <w:pStyle w:val="Bibliography"/>
        <w:rPr>
          <w:rFonts w:ascii="Calibri" w:hAnsi="Calibri" w:cs="Calibri"/>
        </w:rPr>
      </w:pPr>
      <w:r w:rsidRPr="00704FBD">
        <w:rPr>
          <w:rFonts w:ascii="Calibri" w:hAnsi="Calibri" w:cs="Calibri"/>
          <w:smallCaps/>
        </w:rPr>
        <w:t>Sikder</w:t>
      </w:r>
      <w:r w:rsidRPr="00704FBD">
        <w:rPr>
          <w:rFonts w:ascii="Calibri" w:hAnsi="Calibri" w:cs="Calibri"/>
        </w:rPr>
        <w:t xml:space="preserve">, </w:t>
      </w:r>
      <w:r w:rsidRPr="00704FBD">
        <w:rPr>
          <w:rFonts w:ascii="Calibri" w:hAnsi="Calibri" w:cs="Calibri"/>
          <w:smallCaps/>
        </w:rPr>
        <w:t>M.M.</w:t>
      </w:r>
      <w:r w:rsidRPr="00704FBD">
        <w:rPr>
          <w:rFonts w:ascii="Calibri" w:hAnsi="Calibri" w:cs="Calibri"/>
        </w:rPr>
        <w:t xml:space="preserve">, </w:t>
      </w:r>
      <w:r w:rsidRPr="00704FBD">
        <w:rPr>
          <w:rFonts w:ascii="Calibri" w:hAnsi="Calibri" w:cs="Calibri"/>
          <w:smallCaps/>
        </w:rPr>
        <w:t>Vestergård</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Sapkota</w:t>
      </w:r>
      <w:r w:rsidRPr="00704FBD">
        <w:rPr>
          <w:rFonts w:ascii="Calibri" w:hAnsi="Calibri" w:cs="Calibri"/>
        </w:rPr>
        <w:t xml:space="preserve">, </w:t>
      </w:r>
      <w:r w:rsidRPr="00704FBD">
        <w:rPr>
          <w:rFonts w:ascii="Calibri" w:hAnsi="Calibri" w:cs="Calibri"/>
          <w:smallCaps/>
        </w:rPr>
        <w:t>R.</w:t>
      </w:r>
      <w:r w:rsidRPr="00704FBD">
        <w:rPr>
          <w:rFonts w:ascii="Calibri" w:hAnsi="Calibri" w:cs="Calibri"/>
        </w:rPr>
        <w:t xml:space="preserve">, </w:t>
      </w:r>
      <w:r w:rsidRPr="00704FBD">
        <w:rPr>
          <w:rFonts w:ascii="Calibri" w:hAnsi="Calibri" w:cs="Calibri"/>
          <w:smallCaps/>
        </w:rPr>
        <w:t>Kyndt</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&amp; </w:t>
      </w:r>
      <w:r w:rsidRPr="00704FBD">
        <w:rPr>
          <w:rFonts w:ascii="Calibri" w:hAnsi="Calibri" w:cs="Calibri"/>
          <w:smallCaps/>
        </w:rPr>
        <w:t>Nicolaisen</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2020. A novel metabarcoding strategy for studying nematode communities. </w:t>
      </w:r>
      <w:r w:rsidRPr="00704FBD">
        <w:rPr>
          <w:rFonts w:ascii="Calibri" w:hAnsi="Calibri" w:cs="Calibri"/>
          <w:i/>
          <w:iCs/>
        </w:rPr>
        <w:t>bioRxiv</w:t>
      </w:r>
      <w:r w:rsidRPr="00704FBD">
        <w:rPr>
          <w:rFonts w:ascii="Calibri" w:hAnsi="Calibri" w:cs="Calibri"/>
        </w:rPr>
        <w:t>.</w:t>
      </w:r>
    </w:p>
    <w:p w14:paraId="42E8803B" w14:textId="77777777" w:rsidR="00704FBD" w:rsidRPr="00704FBD" w:rsidRDefault="00704FBD" w:rsidP="00704FBD">
      <w:pPr>
        <w:pStyle w:val="Bibliography"/>
        <w:rPr>
          <w:rFonts w:ascii="Calibri" w:hAnsi="Calibri" w:cs="Calibri"/>
        </w:rPr>
      </w:pPr>
      <w:r w:rsidRPr="00704FBD">
        <w:rPr>
          <w:rFonts w:ascii="Calibri" w:hAnsi="Calibri" w:cs="Calibri"/>
          <w:smallCaps/>
        </w:rPr>
        <w:t>Singer</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Duckert</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w:t>
      </w:r>
      <w:r w:rsidRPr="00704FBD">
        <w:rPr>
          <w:rFonts w:ascii="Calibri" w:hAnsi="Calibri" w:cs="Calibri"/>
          <w:smallCaps/>
        </w:rPr>
        <w:t>Heděnec</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w:t>
      </w:r>
      <w:r w:rsidRPr="00704FBD">
        <w:rPr>
          <w:rFonts w:ascii="Calibri" w:hAnsi="Calibri" w:cs="Calibri"/>
          <w:smallCaps/>
        </w:rPr>
        <w:t>Lara</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w:t>
      </w:r>
      <w:r w:rsidRPr="00704FBD">
        <w:rPr>
          <w:rFonts w:ascii="Calibri" w:hAnsi="Calibri" w:cs="Calibri"/>
          <w:smallCaps/>
        </w:rPr>
        <w:t>Hiltbrunner</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&amp; </w:t>
      </w:r>
      <w:r w:rsidRPr="00704FBD">
        <w:rPr>
          <w:rFonts w:ascii="Calibri" w:hAnsi="Calibri" w:cs="Calibri"/>
          <w:smallCaps/>
        </w:rPr>
        <w:t>Mitchell</w:t>
      </w:r>
      <w:r w:rsidRPr="00704FBD">
        <w:rPr>
          <w:rFonts w:ascii="Calibri" w:hAnsi="Calibri" w:cs="Calibri"/>
        </w:rPr>
        <w:t xml:space="preserve">, </w:t>
      </w:r>
      <w:r w:rsidRPr="00704FBD">
        <w:rPr>
          <w:rFonts w:ascii="Calibri" w:hAnsi="Calibri" w:cs="Calibri"/>
          <w:smallCaps/>
        </w:rPr>
        <w:t>E.A.</w:t>
      </w:r>
      <w:r w:rsidRPr="00704FBD">
        <w:rPr>
          <w:rFonts w:ascii="Calibri" w:hAnsi="Calibri" w:cs="Calibri"/>
        </w:rPr>
        <w:t xml:space="preserve"> 2020. High-throughput sequencing of litter and moss eDNA reveals a positive correlation between the diversity of Apicomplexa and their invertebrate hosts across alpine habitats. </w:t>
      </w:r>
      <w:r w:rsidRPr="00704FBD">
        <w:rPr>
          <w:rFonts w:ascii="Calibri" w:hAnsi="Calibri" w:cs="Calibri"/>
          <w:i/>
          <w:iCs/>
        </w:rPr>
        <w:t>Soil biology &amp; biochemistry</w:t>
      </w:r>
      <w:r w:rsidRPr="00704FBD">
        <w:rPr>
          <w:rFonts w:ascii="Calibri" w:hAnsi="Calibri" w:cs="Calibri"/>
        </w:rPr>
        <w:t xml:space="preserve">, </w:t>
      </w:r>
      <w:r w:rsidRPr="00704FBD">
        <w:rPr>
          <w:rFonts w:ascii="Calibri" w:hAnsi="Calibri" w:cs="Calibri"/>
          <w:b/>
          <w:bCs/>
        </w:rPr>
        <w:t>147</w:t>
      </w:r>
      <w:r w:rsidRPr="00704FBD">
        <w:rPr>
          <w:rFonts w:ascii="Calibri" w:hAnsi="Calibri" w:cs="Calibri"/>
        </w:rPr>
        <w:t>, 107837-, 10.1016/j.soilbio.2020.107837.</w:t>
      </w:r>
    </w:p>
    <w:p w14:paraId="6C8C358B" w14:textId="77777777" w:rsidR="00704FBD" w:rsidRPr="00704FBD" w:rsidRDefault="00704FBD" w:rsidP="00704FBD">
      <w:pPr>
        <w:pStyle w:val="Bibliography"/>
        <w:rPr>
          <w:rFonts w:ascii="Calibri" w:hAnsi="Calibri" w:cs="Calibri"/>
        </w:rPr>
      </w:pPr>
      <w:r w:rsidRPr="00704FBD">
        <w:rPr>
          <w:rFonts w:ascii="Calibri" w:hAnsi="Calibri" w:cs="Calibri"/>
          <w:smallCaps/>
        </w:rPr>
        <w:t>Stephenson</w:t>
      </w:r>
      <w:r w:rsidRPr="00704FBD">
        <w:rPr>
          <w:rFonts w:ascii="Calibri" w:hAnsi="Calibri" w:cs="Calibri"/>
        </w:rPr>
        <w:t xml:space="preserve">, </w:t>
      </w:r>
      <w:r w:rsidRPr="00704FBD">
        <w:rPr>
          <w:rFonts w:ascii="Calibri" w:hAnsi="Calibri" w:cs="Calibri"/>
          <w:smallCaps/>
        </w:rPr>
        <w:t>S.A.</w:t>
      </w:r>
      <w:r w:rsidRPr="00704FBD">
        <w:rPr>
          <w:rFonts w:ascii="Calibri" w:hAnsi="Calibri" w:cs="Calibri"/>
        </w:rPr>
        <w:t xml:space="preserve">, </w:t>
      </w:r>
      <w:r w:rsidRPr="00704FBD">
        <w:rPr>
          <w:rFonts w:ascii="Calibri" w:hAnsi="Calibri" w:cs="Calibri"/>
          <w:smallCaps/>
        </w:rPr>
        <w:t>Nelson</w:t>
      </w:r>
      <w:r w:rsidRPr="00704FBD">
        <w:rPr>
          <w:rFonts w:ascii="Calibri" w:hAnsi="Calibri" w:cs="Calibri"/>
        </w:rPr>
        <w:t xml:space="preserve">, </w:t>
      </w:r>
      <w:r w:rsidRPr="00704FBD">
        <w:rPr>
          <w:rFonts w:ascii="Calibri" w:hAnsi="Calibri" w:cs="Calibri"/>
          <w:smallCaps/>
        </w:rPr>
        <w:t>T.M.</w:t>
      </w:r>
      <w:r w:rsidRPr="00704FBD">
        <w:rPr>
          <w:rFonts w:ascii="Calibri" w:hAnsi="Calibri" w:cs="Calibri"/>
        </w:rPr>
        <w:t xml:space="preserve">, </w:t>
      </w:r>
      <w:r w:rsidRPr="00704FBD">
        <w:rPr>
          <w:rFonts w:ascii="Calibri" w:hAnsi="Calibri" w:cs="Calibri"/>
          <w:smallCaps/>
        </w:rPr>
        <w:t>Streten</w:t>
      </w:r>
      <w:r w:rsidRPr="00704FBD">
        <w:rPr>
          <w:rFonts w:ascii="Calibri" w:hAnsi="Calibri" w:cs="Calibri"/>
        </w:rPr>
        <w:t xml:space="preserve">, </w:t>
      </w:r>
      <w:r w:rsidRPr="00704FBD">
        <w:rPr>
          <w:rFonts w:ascii="Calibri" w:hAnsi="Calibri" w:cs="Calibri"/>
          <w:smallCaps/>
        </w:rPr>
        <w:t>C.</w:t>
      </w:r>
      <w:r w:rsidRPr="00704FBD">
        <w:rPr>
          <w:rFonts w:ascii="Calibri" w:hAnsi="Calibri" w:cs="Calibri"/>
        </w:rPr>
        <w:t xml:space="preserve">, </w:t>
      </w:r>
      <w:r w:rsidRPr="00704FBD">
        <w:rPr>
          <w:rFonts w:ascii="Calibri" w:hAnsi="Calibri" w:cs="Calibri"/>
          <w:smallCaps/>
        </w:rPr>
        <w:t>Gibb</w:t>
      </w:r>
      <w:r w:rsidRPr="00704FBD">
        <w:rPr>
          <w:rFonts w:ascii="Calibri" w:hAnsi="Calibri" w:cs="Calibri"/>
        </w:rPr>
        <w:t xml:space="preserve">, </w:t>
      </w:r>
      <w:r w:rsidRPr="00704FBD">
        <w:rPr>
          <w:rFonts w:ascii="Calibri" w:hAnsi="Calibri" w:cs="Calibri"/>
          <w:smallCaps/>
        </w:rPr>
        <w:t>K.S.</w:t>
      </w:r>
      <w:r w:rsidRPr="00704FBD">
        <w:rPr>
          <w:rFonts w:ascii="Calibri" w:hAnsi="Calibri" w:cs="Calibri"/>
        </w:rPr>
        <w:t xml:space="preserve">, </w:t>
      </w:r>
      <w:r w:rsidRPr="00704FBD">
        <w:rPr>
          <w:rFonts w:ascii="Calibri" w:hAnsi="Calibri" w:cs="Calibri"/>
          <w:smallCaps/>
        </w:rPr>
        <w:t>Williams</w:t>
      </w:r>
      <w:r w:rsidRPr="00704FBD">
        <w:rPr>
          <w:rFonts w:ascii="Calibri" w:hAnsi="Calibri" w:cs="Calibri"/>
        </w:rPr>
        <w:t xml:space="preserve">, </w:t>
      </w:r>
      <w:r w:rsidRPr="00704FBD">
        <w:rPr>
          <w:rFonts w:ascii="Calibri" w:hAnsi="Calibri" w:cs="Calibri"/>
          <w:smallCaps/>
        </w:rPr>
        <w:t>D.</w:t>
      </w:r>
      <w:r w:rsidRPr="00704FBD">
        <w:rPr>
          <w:rFonts w:ascii="Calibri" w:hAnsi="Calibri" w:cs="Calibri"/>
        </w:rPr>
        <w:t xml:space="preserve">, </w:t>
      </w:r>
      <w:r w:rsidRPr="00704FBD">
        <w:rPr>
          <w:rFonts w:ascii="Calibri" w:hAnsi="Calibri" w:cs="Calibri"/>
          <w:smallCaps/>
        </w:rPr>
        <w:t>Greenfield</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&amp; </w:t>
      </w:r>
      <w:r w:rsidRPr="00704FBD">
        <w:rPr>
          <w:rFonts w:ascii="Calibri" w:hAnsi="Calibri" w:cs="Calibri"/>
          <w:smallCaps/>
        </w:rPr>
        <w:t>Chariton</w:t>
      </w:r>
      <w:r w:rsidRPr="00704FBD">
        <w:rPr>
          <w:rFonts w:ascii="Calibri" w:hAnsi="Calibri" w:cs="Calibri"/>
        </w:rPr>
        <w:t xml:space="preserve">, </w:t>
      </w:r>
      <w:r w:rsidRPr="00704FBD">
        <w:rPr>
          <w:rFonts w:ascii="Calibri" w:hAnsi="Calibri" w:cs="Calibri"/>
          <w:smallCaps/>
        </w:rPr>
        <w:t>A.A.</w:t>
      </w:r>
      <w:r w:rsidRPr="00704FBD">
        <w:rPr>
          <w:rFonts w:ascii="Calibri" w:hAnsi="Calibri" w:cs="Calibri"/>
        </w:rPr>
        <w:t xml:space="preserve"> 2018. Sea-level rise in northern Australia’s Kakadu National Park: A survey of floodplain eukaryotes. </w:t>
      </w:r>
      <w:r w:rsidRPr="00704FBD">
        <w:rPr>
          <w:rFonts w:ascii="Calibri" w:hAnsi="Calibri" w:cs="Calibri"/>
          <w:i/>
          <w:iCs/>
        </w:rPr>
        <w:t>Marine and freshwater research</w:t>
      </w:r>
      <w:r w:rsidRPr="00704FBD">
        <w:rPr>
          <w:rFonts w:ascii="Calibri" w:hAnsi="Calibri" w:cs="Calibri"/>
        </w:rPr>
        <w:t xml:space="preserve">, </w:t>
      </w:r>
      <w:r w:rsidRPr="00704FBD">
        <w:rPr>
          <w:rFonts w:ascii="Calibri" w:hAnsi="Calibri" w:cs="Calibri"/>
          <w:b/>
          <w:bCs/>
        </w:rPr>
        <w:t>69</w:t>
      </w:r>
      <w:r w:rsidRPr="00704FBD">
        <w:rPr>
          <w:rFonts w:ascii="Calibri" w:hAnsi="Calibri" w:cs="Calibri"/>
        </w:rPr>
        <w:t>, 1134–1145, 10.1071/MF18067.</w:t>
      </w:r>
    </w:p>
    <w:p w14:paraId="59EEF4BB" w14:textId="77777777" w:rsidR="00704FBD" w:rsidRPr="00704FBD" w:rsidRDefault="00704FBD" w:rsidP="00704FBD">
      <w:pPr>
        <w:pStyle w:val="Bibliography"/>
        <w:rPr>
          <w:rFonts w:ascii="Calibri" w:hAnsi="Calibri" w:cs="Calibri"/>
        </w:rPr>
      </w:pPr>
      <w:r w:rsidRPr="00704FBD">
        <w:rPr>
          <w:rFonts w:ascii="Calibri" w:hAnsi="Calibri" w:cs="Calibri"/>
          <w:smallCaps/>
        </w:rPr>
        <w:t>Vogt‐Schilb</w:t>
      </w:r>
      <w:r w:rsidRPr="00704FBD">
        <w:rPr>
          <w:rFonts w:ascii="Calibri" w:hAnsi="Calibri" w:cs="Calibri"/>
        </w:rPr>
        <w:t xml:space="preserve">, </w:t>
      </w:r>
      <w:r w:rsidRPr="00704FBD">
        <w:rPr>
          <w:rFonts w:ascii="Calibri" w:hAnsi="Calibri" w:cs="Calibri"/>
          <w:smallCaps/>
        </w:rPr>
        <w:t>H.</w:t>
      </w:r>
      <w:r w:rsidRPr="00704FBD">
        <w:rPr>
          <w:rFonts w:ascii="Calibri" w:hAnsi="Calibri" w:cs="Calibri"/>
        </w:rPr>
        <w:t xml:space="preserve">, </w:t>
      </w:r>
      <w:r w:rsidRPr="00704FBD">
        <w:rPr>
          <w:rFonts w:ascii="Calibri" w:hAnsi="Calibri" w:cs="Calibri"/>
          <w:smallCaps/>
        </w:rPr>
        <w:t>Těšitelová</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Kotilínek</w:t>
      </w:r>
      <w:r w:rsidRPr="00704FBD">
        <w:rPr>
          <w:rFonts w:ascii="Calibri" w:hAnsi="Calibri" w:cs="Calibri"/>
        </w:rPr>
        <w:t xml:space="preserve">, </w:t>
      </w:r>
      <w:r w:rsidRPr="00704FBD">
        <w:rPr>
          <w:rFonts w:ascii="Calibri" w:hAnsi="Calibri" w:cs="Calibri"/>
          <w:smallCaps/>
        </w:rPr>
        <w:t>M.</w:t>
      </w:r>
      <w:r w:rsidRPr="00704FBD">
        <w:rPr>
          <w:rFonts w:ascii="Calibri" w:hAnsi="Calibri" w:cs="Calibri"/>
        </w:rPr>
        <w:t xml:space="preserve">, </w:t>
      </w:r>
      <w:r w:rsidRPr="00704FBD">
        <w:rPr>
          <w:rFonts w:ascii="Calibri" w:hAnsi="Calibri" w:cs="Calibri"/>
          <w:smallCaps/>
        </w:rPr>
        <w:t>Sucháček</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w:t>
      </w:r>
      <w:r w:rsidRPr="00704FBD">
        <w:rPr>
          <w:rFonts w:ascii="Calibri" w:hAnsi="Calibri" w:cs="Calibri"/>
          <w:smallCaps/>
        </w:rPr>
        <w:t>Kohout</w:t>
      </w:r>
      <w:r w:rsidRPr="00704FBD">
        <w:rPr>
          <w:rFonts w:ascii="Calibri" w:hAnsi="Calibri" w:cs="Calibri"/>
        </w:rPr>
        <w:t xml:space="preserve">, </w:t>
      </w:r>
      <w:r w:rsidRPr="00704FBD">
        <w:rPr>
          <w:rFonts w:ascii="Calibri" w:hAnsi="Calibri" w:cs="Calibri"/>
          <w:smallCaps/>
        </w:rPr>
        <w:t>P.</w:t>
      </w:r>
      <w:r w:rsidRPr="00704FBD">
        <w:rPr>
          <w:rFonts w:ascii="Calibri" w:hAnsi="Calibri" w:cs="Calibri"/>
        </w:rPr>
        <w:t xml:space="preserve"> &amp; </w:t>
      </w:r>
      <w:r w:rsidRPr="00704FBD">
        <w:rPr>
          <w:rFonts w:ascii="Calibri" w:hAnsi="Calibri" w:cs="Calibri"/>
          <w:smallCaps/>
        </w:rPr>
        <w:t>Jersáková</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2020. Altered rhizoctonia assemblages in grasslands on ex‐arable land support germination of mycorrhizal generalist, not specialist orchids. </w:t>
      </w:r>
      <w:r w:rsidRPr="00704FBD">
        <w:rPr>
          <w:rFonts w:ascii="Calibri" w:hAnsi="Calibri" w:cs="Calibri"/>
          <w:i/>
          <w:iCs/>
        </w:rPr>
        <w:t>The New phytologist</w:t>
      </w:r>
      <w:r w:rsidRPr="00704FBD">
        <w:rPr>
          <w:rFonts w:ascii="Calibri" w:hAnsi="Calibri" w:cs="Calibri"/>
        </w:rPr>
        <w:t xml:space="preserve">, </w:t>
      </w:r>
      <w:r w:rsidRPr="00704FBD">
        <w:rPr>
          <w:rFonts w:ascii="Calibri" w:hAnsi="Calibri" w:cs="Calibri"/>
          <w:b/>
          <w:bCs/>
        </w:rPr>
        <w:t>227</w:t>
      </w:r>
      <w:r w:rsidRPr="00704FBD">
        <w:rPr>
          <w:rFonts w:ascii="Calibri" w:hAnsi="Calibri" w:cs="Calibri"/>
        </w:rPr>
        <w:t>, 1200–1212, 10.1111/nph.16604.</w:t>
      </w:r>
    </w:p>
    <w:p w14:paraId="3F2F7EAE" w14:textId="77777777" w:rsidR="00704FBD" w:rsidRPr="00704FBD" w:rsidRDefault="00704FBD" w:rsidP="00704FBD">
      <w:pPr>
        <w:pStyle w:val="Bibliography"/>
        <w:rPr>
          <w:rFonts w:ascii="Calibri" w:hAnsi="Calibri" w:cs="Calibri"/>
        </w:rPr>
      </w:pPr>
      <w:r w:rsidRPr="00704FBD">
        <w:rPr>
          <w:rFonts w:ascii="Calibri" w:hAnsi="Calibri" w:cs="Calibri"/>
          <w:smallCaps/>
        </w:rPr>
        <w:t>Walker</w:t>
      </w:r>
      <w:r w:rsidRPr="00704FBD">
        <w:rPr>
          <w:rFonts w:ascii="Calibri" w:hAnsi="Calibri" w:cs="Calibri"/>
        </w:rPr>
        <w:t xml:space="preserve">, </w:t>
      </w:r>
      <w:r w:rsidRPr="00704FBD">
        <w:rPr>
          <w:rFonts w:ascii="Calibri" w:hAnsi="Calibri" w:cs="Calibri"/>
          <w:smallCaps/>
        </w:rPr>
        <w:t>D.M.</w:t>
      </w:r>
      <w:r w:rsidRPr="00704FBD">
        <w:rPr>
          <w:rFonts w:ascii="Calibri" w:hAnsi="Calibri" w:cs="Calibri"/>
        </w:rPr>
        <w:t xml:space="preserve">, </w:t>
      </w:r>
      <w:r w:rsidRPr="00704FBD">
        <w:rPr>
          <w:rFonts w:ascii="Calibri" w:hAnsi="Calibri" w:cs="Calibri"/>
          <w:smallCaps/>
        </w:rPr>
        <w:t>Leys</w:t>
      </w:r>
      <w:r w:rsidRPr="00704FBD">
        <w:rPr>
          <w:rFonts w:ascii="Calibri" w:hAnsi="Calibri" w:cs="Calibri"/>
        </w:rPr>
        <w:t xml:space="preserve">, </w:t>
      </w:r>
      <w:r w:rsidRPr="00704FBD">
        <w:rPr>
          <w:rFonts w:ascii="Calibri" w:hAnsi="Calibri" w:cs="Calibri"/>
          <w:smallCaps/>
        </w:rPr>
        <w:t>J.E.</w:t>
      </w:r>
      <w:r w:rsidRPr="00704FBD">
        <w:rPr>
          <w:rFonts w:ascii="Calibri" w:hAnsi="Calibri" w:cs="Calibri"/>
        </w:rPr>
        <w:t xml:space="preserve">, </w:t>
      </w:r>
      <w:r w:rsidRPr="00704FBD">
        <w:rPr>
          <w:rFonts w:ascii="Calibri" w:hAnsi="Calibri" w:cs="Calibri"/>
          <w:smallCaps/>
        </w:rPr>
        <w:t>Dunham</w:t>
      </w:r>
      <w:r w:rsidRPr="00704FBD">
        <w:rPr>
          <w:rFonts w:ascii="Calibri" w:hAnsi="Calibri" w:cs="Calibri"/>
        </w:rPr>
        <w:t xml:space="preserve">, </w:t>
      </w:r>
      <w:r w:rsidRPr="00704FBD">
        <w:rPr>
          <w:rFonts w:ascii="Calibri" w:hAnsi="Calibri" w:cs="Calibri"/>
          <w:smallCaps/>
        </w:rPr>
        <w:t>K.E.</w:t>
      </w:r>
      <w:r w:rsidRPr="00704FBD">
        <w:rPr>
          <w:rFonts w:ascii="Calibri" w:hAnsi="Calibri" w:cs="Calibri"/>
        </w:rPr>
        <w:t xml:space="preserve">, </w:t>
      </w:r>
      <w:r w:rsidRPr="00704FBD">
        <w:rPr>
          <w:rFonts w:ascii="Calibri" w:hAnsi="Calibri" w:cs="Calibri"/>
          <w:smallCaps/>
        </w:rPr>
        <w:t>Oliver</w:t>
      </w:r>
      <w:r w:rsidRPr="00704FBD">
        <w:rPr>
          <w:rFonts w:ascii="Calibri" w:hAnsi="Calibri" w:cs="Calibri"/>
        </w:rPr>
        <w:t xml:space="preserve">, </w:t>
      </w:r>
      <w:r w:rsidRPr="00704FBD">
        <w:rPr>
          <w:rFonts w:ascii="Calibri" w:hAnsi="Calibri" w:cs="Calibri"/>
          <w:smallCaps/>
        </w:rPr>
        <w:t>J.C.</w:t>
      </w:r>
      <w:r w:rsidRPr="00704FBD">
        <w:rPr>
          <w:rFonts w:ascii="Calibri" w:hAnsi="Calibri" w:cs="Calibri"/>
        </w:rPr>
        <w:t xml:space="preserve">, </w:t>
      </w:r>
      <w:r w:rsidRPr="00704FBD">
        <w:rPr>
          <w:rFonts w:ascii="Calibri" w:hAnsi="Calibri" w:cs="Calibri"/>
          <w:smallCaps/>
        </w:rPr>
        <w:t>Schiller</w:t>
      </w:r>
      <w:r w:rsidRPr="00704FBD">
        <w:rPr>
          <w:rFonts w:ascii="Calibri" w:hAnsi="Calibri" w:cs="Calibri"/>
        </w:rPr>
        <w:t xml:space="preserve">, </w:t>
      </w:r>
      <w:r w:rsidRPr="00704FBD">
        <w:rPr>
          <w:rFonts w:ascii="Calibri" w:hAnsi="Calibri" w:cs="Calibri"/>
          <w:smallCaps/>
        </w:rPr>
        <w:t>E.E.</w:t>
      </w:r>
      <w:r w:rsidRPr="00704FBD">
        <w:rPr>
          <w:rFonts w:ascii="Calibri" w:hAnsi="Calibri" w:cs="Calibri"/>
        </w:rPr>
        <w:t xml:space="preserve">, </w:t>
      </w:r>
      <w:r w:rsidRPr="00704FBD">
        <w:rPr>
          <w:rFonts w:ascii="Calibri" w:hAnsi="Calibri" w:cs="Calibri"/>
          <w:smallCaps/>
        </w:rPr>
        <w:t>Stephenson</w:t>
      </w:r>
      <w:r w:rsidRPr="00704FBD">
        <w:rPr>
          <w:rFonts w:ascii="Calibri" w:hAnsi="Calibri" w:cs="Calibri"/>
        </w:rPr>
        <w:t xml:space="preserve">, </w:t>
      </w:r>
      <w:r w:rsidRPr="00704FBD">
        <w:rPr>
          <w:rFonts w:ascii="Calibri" w:hAnsi="Calibri" w:cs="Calibri"/>
          <w:smallCaps/>
        </w:rPr>
        <w:t>K.S.</w:t>
      </w:r>
      <w:r w:rsidRPr="00704FBD">
        <w:rPr>
          <w:rFonts w:ascii="Calibri" w:hAnsi="Calibri" w:cs="Calibri"/>
        </w:rPr>
        <w:t xml:space="preserve">, </w:t>
      </w:r>
      <w:r w:rsidRPr="00704FBD">
        <w:rPr>
          <w:rFonts w:ascii="Calibri" w:hAnsi="Calibri" w:cs="Calibri"/>
          <w:smallCaps/>
        </w:rPr>
        <w:t>Kimrey</w:t>
      </w:r>
      <w:r w:rsidRPr="00704FBD">
        <w:rPr>
          <w:rFonts w:ascii="Calibri" w:hAnsi="Calibri" w:cs="Calibri"/>
        </w:rPr>
        <w:t xml:space="preserve">, </w:t>
      </w:r>
      <w:r w:rsidRPr="00704FBD">
        <w:rPr>
          <w:rFonts w:ascii="Calibri" w:hAnsi="Calibri" w:cs="Calibri"/>
          <w:smallCaps/>
        </w:rPr>
        <w:t>J.T.</w:t>
      </w:r>
      <w:r w:rsidRPr="00704FBD">
        <w:rPr>
          <w:rFonts w:ascii="Calibri" w:hAnsi="Calibri" w:cs="Calibri"/>
        </w:rPr>
        <w:t xml:space="preserve">, </w:t>
      </w:r>
      <w:r w:rsidRPr="00704FBD">
        <w:rPr>
          <w:rFonts w:ascii="Calibri" w:hAnsi="Calibri" w:cs="Calibri"/>
          <w:smallCaps/>
        </w:rPr>
        <w:t>Wooten</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&amp; </w:t>
      </w:r>
      <w:r w:rsidRPr="00704FBD">
        <w:rPr>
          <w:rFonts w:ascii="Calibri" w:hAnsi="Calibri" w:cs="Calibri"/>
          <w:smallCaps/>
        </w:rPr>
        <w:t>Rogers</w:t>
      </w:r>
      <w:r w:rsidRPr="00704FBD">
        <w:rPr>
          <w:rFonts w:ascii="Calibri" w:hAnsi="Calibri" w:cs="Calibri"/>
        </w:rPr>
        <w:t xml:space="preserve">, </w:t>
      </w:r>
      <w:r w:rsidRPr="00704FBD">
        <w:rPr>
          <w:rFonts w:ascii="Calibri" w:hAnsi="Calibri" w:cs="Calibri"/>
          <w:smallCaps/>
        </w:rPr>
        <w:t>M.W.</w:t>
      </w:r>
      <w:r w:rsidRPr="00704FBD">
        <w:rPr>
          <w:rFonts w:ascii="Calibri" w:hAnsi="Calibri" w:cs="Calibri"/>
        </w:rPr>
        <w:t xml:space="preserve"> 2017. Methodological considerations for detection of terrestrial small‐body salamander eDNA and implications for biodiversity conservation. </w:t>
      </w:r>
      <w:r w:rsidRPr="00704FBD">
        <w:rPr>
          <w:rFonts w:ascii="Calibri" w:hAnsi="Calibri" w:cs="Calibri"/>
          <w:i/>
          <w:iCs/>
        </w:rPr>
        <w:t>Molecular ecology resources</w:t>
      </w:r>
      <w:r w:rsidRPr="00704FBD">
        <w:rPr>
          <w:rFonts w:ascii="Calibri" w:hAnsi="Calibri" w:cs="Calibri"/>
        </w:rPr>
        <w:t xml:space="preserve">, </w:t>
      </w:r>
      <w:r w:rsidRPr="00704FBD">
        <w:rPr>
          <w:rFonts w:ascii="Calibri" w:hAnsi="Calibri" w:cs="Calibri"/>
          <w:b/>
          <w:bCs/>
        </w:rPr>
        <w:t>17</w:t>
      </w:r>
      <w:r w:rsidRPr="00704FBD">
        <w:rPr>
          <w:rFonts w:ascii="Calibri" w:hAnsi="Calibri" w:cs="Calibri"/>
        </w:rPr>
        <w:t>, 1223–1230, 10.1111/1755-0998.12667.</w:t>
      </w:r>
    </w:p>
    <w:p w14:paraId="1C1B9D66" w14:textId="77777777" w:rsidR="00704FBD" w:rsidRPr="00704FBD" w:rsidRDefault="00704FBD" w:rsidP="00704FBD">
      <w:pPr>
        <w:pStyle w:val="Bibliography"/>
        <w:rPr>
          <w:rFonts w:ascii="Calibri" w:hAnsi="Calibri" w:cs="Calibri"/>
        </w:rPr>
      </w:pPr>
      <w:r w:rsidRPr="00704FBD">
        <w:rPr>
          <w:rFonts w:ascii="Calibri" w:hAnsi="Calibri" w:cs="Calibri"/>
          <w:smallCaps/>
        </w:rPr>
        <w:t>Yoccoz</w:t>
      </w:r>
      <w:r w:rsidRPr="00704FBD">
        <w:rPr>
          <w:rFonts w:ascii="Calibri" w:hAnsi="Calibri" w:cs="Calibri"/>
        </w:rPr>
        <w:t xml:space="preserve">, </w:t>
      </w:r>
      <w:r w:rsidRPr="00704FBD">
        <w:rPr>
          <w:rFonts w:ascii="Calibri" w:hAnsi="Calibri" w:cs="Calibri"/>
          <w:smallCaps/>
        </w:rPr>
        <w:t>N.G.</w:t>
      </w:r>
      <w:r w:rsidRPr="00704FBD">
        <w:rPr>
          <w:rFonts w:ascii="Calibri" w:hAnsi="Calibri" w:cs="Calibri"/>
        </w:rPr>
        <w:t xml:space="preserve">, </w:t>
      </w:r>
      <w:r w:rsidRPr="00704FBD">
        <w:rPr>
          <w:rFonts w:ascii="Calibri" w:hAnsi="Calibri" w:cs="Calibri"/>
          <w:smallCaps/>
        </w:rPr>
        <w:t>Bråthen</w:t>
      </w:r>
      <w:r w:rsidRPr="00704FBD">
        <w:rPr>
          <w:rFonts w:ascii="Calibri" w:hAnsi="Calibri" w:cs="Calibri"/>
        </w:rPr>
        <w:t xml:space="preserve">, </w:t>
      </w:r>
      <w:r w:rsidRPr="00704FBD">
        <w:rPr>
          <w:rFonts w:ascii="Calibri" w:hAnsi="Calibri" w:cs="Calibri"/>
          <w:smallCaps/>
        </w:rPr>
        <w:t>K.A.</w:t>
      </w:r>
      <w:r w:rsidRPr="00704FBD">
        <w:rPr>
          <w:rFonts w:ascii="Calibri" w:hAnsi="Calibri" w:cs="Calibri"/>
        </w:rPr>
        <w:t xml:space="preserve">, </w:t>
      </w:r>
      <w:r w:rsidRPr="00704FBD">
        <w:rPr>
          <w:rFonts w:ascii="Calibri" w:hAnsi="Calibri" w:cs="Calibri"/>
          <w:smallCaps/>
        </w:rPr>
        <w:t>Gielly</w:t>
      </w:r>
      <w:r w:rsidRPr="00704FBD">
        <w:rPr>
          <w:rFonts w:ascii="Calibri" w:hAnsi="Calibri" w:cs="Calibri"/>
        </w:rPr>
        <w:t xml:space="preserve">, </w:t>
      </w:r>
      <w:r w:rsidRPr="00704FBD">
        <w:rPr>
          <w:rFonts w:ascii="Calibri" w:hAnsi="Calibri" w:cs="Calibri"/>
          <w:smallCaps/>
        </w:rPr>
        <w:t>L.</w:t>
      </w:r>
      <w:r w:rsidRPr="00704FBD">
        <w:rPr>
          <w:rFonts w:ascii="Calibri" w:hAnsi="Calibri" w:cs="Calibri"/>
        </w:rPr>
        <w:t xml:space="preserve">, </w:t>
      </w:r>
      <w:r w:rsidRPr="00704FBD">
        <w:rPr>
          <w:rFonts w:ascii="Calibri" w:hAnsi="Calibri" w:cs="Calibri"/>
          <w:smallCaps/>
        </w:rPr>
        <w:t>Haile</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Edwards</w:t>
      </w:r>
      <w:r w:rsidRPr="00704FBD">
        <w:rPr>
          <w:rFonts w:ascii="Calibri" w:hAnsi="Calibri" w:cs="Calibri"/>
        </w:rPr>
        <w:t xml:space="preserve">, </w:t>
      </w:r>
      <w:r w:rsidRPr="00704FBD">
        <w:rPr>
          <w:rFonts w:ascii="Calibri" w:hAnsi="Calibri" w:cs="Calibri"/>
          <w:smallCaps/>
        </w:rPr>
        <w:t>M.E.</w:t>
      </w:r>
      <w:r w:rsidRPr="00704FBD">
        <w:rPr>
          <w:rFonts w:ascii="Calibri" w:hAnsi="Calibri" w:cs="Calibri"/>
        </w:rPr>
        <w:t xml:space="preserve">, </w:t>
      </w:r>
      <w:r w:rsidRPr="00704FBD">
        <w:rPr>
          <w:rFonts w:ascii="Calibri" w:hAnsi="Calibri" w:cs="Calibri"/>
          <w:smallCaps/>
        </w:rPr>
        <w:t>Goslar</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w:t>
      </w:r>
      <w:r w:rsidRPr="00704FBD">
        <w:rPr>
          <w:rFonts w:ascii="Calibri" w:hAnsi="Calibri" w:cs="Calibri"/>
          <w:smallCaps/>
        </w:rPr>
        <w:t>von</w:t>
      </w:r>
      <w:r w:rsidRPr="00704FBD">
        <w:rPr>
          <w:rFonts w:ascii="Calibri" w:hAnsi="Calibri" w:cs="Calibri"/>
        </w:rPr>
        <w:t xml:space="preserve"> </w:t>
      </w:r>
      <w:r w:rsidRPr="00704FBD">
        <w:rPr>
          <w:rFonts w:ascii="Calibri" w:hAnsi="Calibri" w:cs="Calibri"/>
          <w:smallCaps/>
        </w:rPr>
        <w:t>Stedingk</w:t>
      </w:r>
      <w:r w:rsidRPr="00704FBD">
        <w:rPr>
          <w:rFonts w:ascii="Calibri" w:hAnsi="Calibri" w:cs="Calibri"/>
        </w:rPr>
        <w:t xml:space="preserve">, </w:t>
      </w:r>
      <w:r w:rsidRPr="00704FBD">
        <w:rPr>
          <w:rFonts w:ascii="Calibri" w:hAnsi="Calibri" w:cs="Calibri"/>
          <w:smallCaps/>
        </w:rPr>
        <w:t>H.</w:t>
      </w:r>
      <w:r w:rsidRPr="00704FBD">
        <w:rPr>
          <w:rFonts w:ascii="Calibri" w:hAnsi="Calibri" w:cs="Calibri"/>
        </w:rPr>
        <w:t xml:space="preserve">, </w:t>
      </w:r>
      <w:r w:rsidRPr="00704FBD">
        <w:rPr>
          <w:rFonts w:ascii="Calibri" w:hAnsi="Calibri" w:cs="Calibri"/>
          <w:smallCaps/>
        </w:rPr>
        <w:t>Brysting</w:t>
      </w:r>
      <w:r w:rsidRPr="00704FBD">
        <w:rPr>
          <w:rFonts w:ascii="Calibri" w:hAnsi="Calibri" w:cs="Calibri"/>
        </w:rPr>
        <w:t xml:space="preserve">, </w:t>
      </w:r>
      <w:r w:rsidRPr="00704FBD">
        <w:rPr>
          <w:rFonts w:ascii="Calibri" w:hAnsi="Calibri" w:cs="Calibri"/>
          <w:smallCaps/>
        </w:rPr>
        <w:t>A.K.</w:t>
      </w:r>
      <w:r w:rsidRPr="00704FBD">
        <w:rPr>
          <w:rFonts w:ascii="Calibri" w:hAnsi="Calibri" w:cs="Calibri"/>
        </w:rPr>
        <w:t xml:space="preserve">, </w:t>
      </w:r>
      <w:r w:rsidRPr="00704FBD">
        <w:rPr>
          <w:rFonts w:ascii="Calibri" w:hAnsi="Calibri" w:cs="Calibri"/>
          <w:smallCaps/>
        </w:rPr>
        <w:t>Coissac</w:t>
      </w:r>
      <w:r w:rsidRPr="00704FBD">
        <w:rPr>
          <w:rFonts w:ascii="Calibri" w:hAnsi="Calibri" w:cs="Calibri"/>
        </w:rPr>
        <w:t xml:space="preserve">, </w:t>
      </w:r>
      <w:r w:rsidRPr="00704FBD">
        <w:rPr>
          <w:rFonts w:ascii="Calibri" w:hAnsi="Calibri" w:cs="Calibri"/>
          <w:smallCaps/>
        </w:rPr>
        <w:t>E.</w:t>
      </w:r>
      <w:r w:rsidRPr="00704FBD">
        <w:rPr>
          <w:rFonts w:ascii="Calibri" w:hAnsi="Calibri" w:cs="Calibri"/>
        </w:rPr>
        <w:t xml:space="preserve"> &amp; </w:t>
      </w:r>
      <w:r w:rsidRPr="00704FBD">
        <w:rPr>
          <w:rFonts w:ascii="Calibri" w:hAnsi="Calibri" w:cs="Calibri"/>
          <w:smallCaps/>
        </w:rPr>
        <w:t>Pompanon</w:t>
      </w:r>
      <w:r w:rsidRPr="00704FBD">
        <w:rPr>
          <w:rFonts w:ascii="Calibri" w:hAnsi="Calibri" w:cs="Calibri"/>
        </w:rPr>
        <w:t xml:space="preserve">, </w:t>
      </w:r>
      <w:r w:rsidRPr="00704FBD">
        <w:rPr>
          <w:rFonts w:ascii="Calibri" w:hAnsi="Calibri" w:cs="Calibri"/>
          <w:smallCaps/>
        </w:rPr>
        <w:t>F.</w:t>
      </w:r>
      <w:r w:rsidRPr="00704FBD">
        <w:rPr>
          <w:rFonts w:ascii="Calibri" w:hAnsi="Calibri" w:cs="Calibri"/>
        </w:rPr>
        <w:t xml:space="preserve"> 2012. DNA from soil mirrors plant taxonomic and growth form diversity. </w:t>
      </w:r>
      <w:r w:rsidRPr="00704FBD">
        <w:rPr>
          <w:rFonts w:ascii="Calibri" w:hAnsi="Calibri" w:cs="Calibri"/>
          <w:i/>
          <w:iCs/>
        </w:rPr>
        <w:t>Molecular ecology</w:t>
      </w:r>
      <w:r w:rsidRPr="00704FBD">
        <w:rPr>
          <w:rFonts w:ascii="Calibri" w:hAnsi="Calibri" w:cs="Calibri"/>
        </w:rPr>
        <w:t xml:space="preserve">, </w:t>
      </w:r>
      <w:r w:rsidRPr="00704FBD">
        <w:rPr>
          <w:rFonts w:ascii="Calibri" w:hAnsi="Calibri" w:cs="Calibri"/>
          <w:b/>
          <w:bCs/>
        </w:rPr>
        <w:t>21</w:t>
      </w:r>
      <w:r w:rsidRPr="00704FBD">
        <w:rPr>
          <w:rFonts w:ascii="Calibri" w:hAnsi="Calibri" w:cs="Calibri"/>
        </w:rPr>
        <w:t>, 3647–3655.</w:t>
      </w:r>
    </w:p>
    <w:p w14:paraId="7CB502AF" w14:textId="1AB68CCE" w:rsidR="006E1C91" w:rsidRDefault="00704FBD" w:rsidP="003C48BC">
      <w:pPr>
        <w:pStyle w:val="Bibliography"/>
        <w:rPr>
          <w:rFonts w:asciiTheme="minorHAnsi" w:hAnsiTheme="minorHAnsi" w:cstheme="minorHAnsi"/>
          <w:b/>
          <w:bCs/>
          <w:lang w:val="en-GB"/>
        </w:rPr>
      </w:pPr>
      <w:r w:rsidRPr="00704FBD">
        <w:rPr>
          <w:rFonts w:ascii="Calibri" w:hAnsi="Calibri" w:cs="Calibri"/>
          <w:smallCaps/>
        </w:rPr>
        <w:t>Zhang</w:t>
      </w:r>
      <w:r w:rsidRPr="00704FBD">
        <w:rPr>
          <w:rFonts w:ascii="Calibri" w:hAnsi="Calibri" w:cs="Calibri"/>
        </w:rPr>
        <w:t xml:space="preserve">, </w:t>
      </w:r>
      <w:r w:rsidRPr="00704FBD">
        <w:rPr>
          <w:rFonts w:ascii="Calibri" w:hAnsi="Calibri" w:cs="Calibri"/>
          <w:smallCaps/>
        </w:rPr>
        <w:t>J.</w:t>
      </w:r>
      <w:r w:rsidRPr="00704FBD">
        <w:rPr>
          <w:rFonts w:ascii="Calibri" w:hAnsi="Calibri" w:cs="Calibri"/>
        </w:rPr>
        <w:t xml:space="preserve">, </w:t>
      </w:r>
      <w:r w:rsidRPr="00704FBD">
        <w:rPr>
          <w:rFonts w:ascii="Calibri" w:hAnsi="Calibri" w:cs="Calibri"/>
          <w:smallCaps/>
        </w:rPr>
        <w:t>Kobert</w:t>
      </w:r>
      <w:r w:rsidRPr="00704FBD">
        <w:rPr>
          <w:rFonts w:ascii="Calibri" w:hAnsi="Calibri" w:cs="Calibri"/>
        </w:rPr>
        <w:t xml:space="preserve">, </w:t>
      </w:r>
      <w:r w:rsidRPr="00704FBD">
        <w:rPr>
          <w:rFonts w:ascii="Calibri" w:hAnsi="Calibri" w:cs="Calibri"/>
          <w:smallCaps/>
        </w:rPr>
        <w:t>K.</w:t>
      </w:r>
      <w:r w:rsidRPr="00704FBD">
        <w:rPr>
          <w:rFonts w:ascii="Calibri" w:hAnsi="Calibri" w:cs="Calibri"/>
        </w:rPr>
        <w:t xml:space="preserve">, </w:t>
      </w:r>
      <w:r w:rsidRPr="00704FBD">
        <w:rPr>
          <w:rFonts w:ascii="Calibri" w:hAnsi="Calibri" w:cs="Calibri"/>
          <w:smallCaps/>
        </w:rPr>
        <w:t>Flouri</w:t>
      </w:r>
      <w:r w:rsidRPr="00704FBD">
        <w:rPr>
          <w:rFonts w:ascii="Calibri" w:hAnsi="Calibri" w:cs="Calibri"/>
        </w:rPr>
        <w:t xml:space="preserve">, </w:t>
      </w:r>
      <w:r w:rsidRPr="00704FBD">
        <w:rPr>
          <w:rFonts w:ascii="Calibri" w:hAnsi="Calibri" w:cs="Calibri"/>
          <w:smallCaps/>
        </w:rPr>
        <w:t>T.</w:t>
      </w:r>
      <w:r w:rsidRPr="00704FBD">
        <w:rPr>
          <w:rFonts w:ascii="Calibri" w:hAnsi="Calibri" w:cs="Calibri"/>
        </w:rPr>
        <w:t xml:space="preserve"> &amp; </w:t>
      </w:r>
      <w:r w:rsidRPr="00704FBD">
        <w:rPr>
          <w:rFonts w:ascii="Calibri" w:hAnsi="Calibri" w:cs="Calibri"/>
          <w:smallCaps/>
        </w:rPr>
        <w:t>Stamatakis</w:t>
      </w:r>
      <w:r w:rsidRPr="00704FBD">
        <w:rPr>
          <w:rFonts w:ascii="Calibri" w:hAnsi="Calibri" w:cs="Calibri"/>
        </w:rPr>
        <w:t xml:space="preserve">, </w:t>
      </w:r>
      <w:r w:rsidRPr="00704FBD">
        <w:rPr>
          <w:rFonts w:ascii="Calibri" w:hAnsi="Calibri" w:cs="Calibri"/>
          <w:smallCaps/>
        </w:rPr>
        <w:t>A.</w:t>
      </w:r>
      <w:r w:rsidRPr="00704FBD">
        <w:rPr>
          <w:rFonts w:ascii="Calibri" w:hAnsi="Calibri" w:cs="Calibri"/>
        </w:rPr>
        <w:t xml:space="preserve"> 2014. PEAR: a fast and accurate Illumina Paired-End reAd mergeR. </w:t>
      </w:r>
      <w:r w:rsidRPr="00704FBD">
        <w:rPr>
          <w:rFonts w:ascii="Calibri" w:hAnsi="Calibri" w:cs="Calibri"/>
          <w:i/>
          <w:iCs/>
        </w:rPr>
        <w:t>Bioinformatics</w:t>
      </w:r>
      <w:r w:rsidRPr="00704FBD">
        <w:rPr>
          <w:rFonts w:ascii="Calibri" w:hAnsi="Calibri" w:cs="Calibri"/>
        </w:rPr>
        <w:t xml:space="preserve">, </w:t>
      </w:r>
      <w:r w:rsidRPr="00704FBD">
        <w:rPr>
          <w:rFonts w:ascii="Calibri" w:hAnsi="Calibri" w:cs="Calibri"/>
          <w:b/>
          <w:bCs/>
        </w:rPr>
        <w:t>30</w:t>
      </w:r>
      <w:r w:rsidRPr="00704FBD">
        <w:rPr>
          <w:rFonts w:ascii="Calibri" w:hAnsi="Calibri" w:cs="Calibri"/>
        </w:rPr>
        <w:t>, 614–620.</w:t>
      </w:r>
      <w:r w:rsidR="00EB50F4">
        <w:rPr>
          <w:rFonts w:asciiTheme="minorHAnsi" w:hAnsiTheme="minorHAnsi" w:cstheme="minorHAnsi"/>
          <w:b/>
          <w:bCs/>
          <w:lang w:val="en-GB"/>
        </w:rPr>
        <w:fldChar w:fldCharType="end"/>
      </w:r>
    </w:p>
    <w:sectPr w:rsidR="006E1C91" w:rsidSect="007646E3">
      <w:pgSz w:w="11900" w:h="16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owan Old Style Roman">
    <w:altName w:val="Cambria"/>
    <w:panose1 w:val="02040602040506020204"/>
    <w:charset w:val="4D"/>
    <w:family w:val="roman"/>
    <w:pitch w:val="variable"/>
    <w:sig w:usb0="A00000EF" w:usb1="400020C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74ADC"/>
    <w:multiLevelType w:val="hybridMultilevel"/>
    <w:tmpl w:val="4CF85B22"/>
    <w:lvl w:ilvl="0" w:tplc="B96E2A0A">
      <w:start w:val="2"/>
      <w:numFmt w:val="bullet"/>
      <w:lvlText w:val="-"/>
      <w:lvlJc w:val="left"/>
      <w:pPr>
        <w:ind w:left="720" w:hanging="360"/>
      </w:pPr>
      <w:rPr>
        <w:rFonts w:ascii="Iowan Old Style Roman" w:eastAsia="Times New Roman" w:hAnsi="Iowan Old Style Roman" w:cs="Microsoft New Tai L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028C6"/>
    <w:multiLevelType w:val="hybridMultilevel"/>
    <w:tmpl w:val="1EB095CC"/>
    <w:lvl w:ilvl="0" w:tplc="FB160410">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E32EA"/>
    <w:multiLevelType w:val="multilevel"/>
    <w:tmpl w:val="FD68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F5460E"/>
    <w:multiLevelType w:val="hybridMultilevel"/>
    <w:tmpl w:val="481A70F8"/>
    <w:lvl w:ilvl="0" w:tplc="E2CC37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1924C2"/>
    <w:multiLevelType w:val="multilevel"/>
    <w:tmpl w:val="AF6AF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B87978"/>
    <w:multiLevelType w:val="hybridMultilevel"/>
    <w:tmpl w:val="AF0E1874"/>
    <w:lvl w:ilvl="0" w:tplc="C262C414">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EE39A7"/>
    <w:multiLevelType w:val="hybridMultilevel"/>
    <w:tmpl w:val="5BFC33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4B6AFD"/>
    <w:multiLevelType w:val="hybridMultilevel"/>
    <w:tmpl w:val="ECCE48FA"/>
    <w:lvl w:ilvl="0" w:tplc="12A6B8D8">
      <w:start w:val="16"/>
      <w:numFmt w:val="bullet"/>
      <w:lvlText w:val="-"/>
      <w:lvlJc w:val="left"/>
      <w:pPr>
        <w:ind w:left="720" w:hanging="360"/>
      </w:pPr>
      <w:rPr>
        <w:rFonts w:ascii="Times New Roman" w:eastAsia="Times New Roman" w:hAnsi="Times New Roman" w:cs="Times New Roman"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977EAF"/>
    <w:multiLevelType w:val="hybridMultilevel"/>
    <w:tmpl w:val="81A8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03464D"/>
    <w:multiLevelType w:val="multilevel"/>
    <w:tmpl w:val="74544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403804"/>
    <w:multiLevelType w:val="multilevel"/>
    <w:tmpl w:val="4A68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3A2105"/>
    <w:multiLevelType w:val="hybridMultilevel"/>
    <w:tmpl w:val="EC5296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D524EC"/>
    <w:multiLevelType w:val="hybridMultilevel"/>
    <w:tmpl w:val="7FA2D52E"/>
    <w:lvl w:ilvl="0" w:tplc="4D029B34">
      <w:start w:val="16"/>
      <w:numFmt w:val="bullet"/>
      <w:lvlText w:val="-"/>
      <w:lvlJc w:val="left"/>
      <w:pPr>
        <w:ind w:left="720" w:hanging="360"/>
      </w:pPr>
      <w:rPr>
        <w:rFonts w:ascii="Myriad Pro" w:eastAsia="Times New Roman" w:hAnsi="Myria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024F1"/>
    <w:multiLevelType w:val="hybridMultilevel"/>
    <w:tmpl w:val="9F3AEA70"/>
    <w:lvl w:ilvl="0" w:tplc="F74E06EA">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527354"/>
    <w:multiLevelType w:val="multilevel"/>
    <w:tmpl w:val="3EDC0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126F8"/>
    <w:multiLevelType w:val="hybridMultilevel"/>
    <w:tmpl w:val="BD82AFA0"/>
    <w:lvl w:ilvl="0" w:tplc="4B10158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0A6C2D"/>
    <w:multiLevelType w:val="hybridMultilevel"/>
    <w:tmpl w:val="7200F17A"/>
    <w:lvl w:ilvl="0" w:tplc="AAA880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570D9"/>
    <w:multiLevelType w:val="hybridMultilevel"/>
    <w:tmpl w:val="6A4681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8E0EE4"/>
    <w:multiLevelType w:val="hybridMultilevel"/>
    <w:tmpl w:val="7E74C36E"/>
    <w:lvl w:ilvl="0" w:tplc="6B02840E">
      <w:start w:val="3"/>
      <w:numFmt w:val="bullet"/>
      <w:lvlText w:val="-"/>
      <w:lvlJc w:val="left"/>
      <w:pPr>
        <w:ind w:left="720" w:hanging="360"/>
      </w:pPr>
      <w:rPr>
        <w:rFonts w:ascii="Times New Roman" w:eastAsia="Times New Roman" w:hAnsi="Times New Roman"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A33A77"/>
    <w:multiLevelType w:val="multilevel"/>
    <w:tmpl w:val="6DA83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8"/>
  </w:num>
  <w:num w:numId="3">
    <w:abstractNumId w:val="8"/>
  </w:num>
  <w:num w:numId="4">
    <w:abstractNumId w:val="9"/>
  </w:num>
  <w:num w:numId="5">
    <w:abstractNumId w:val="10"/>
  </w:num>
  <w:num w:numId="6">
    <w:abstractNumId w:val="4"/>
  </w:num>
  <w:num w:numId="7">
    <w:abstractNumId w:val="19"/>
  </w:num>
  <w:num w:numId="8">
    <w:abstractNumId w:val="14"/>
  </w:num>
  <w:num w:numId="9">
    <w:abstractNumId w:val="2"/>
  </w:num>
  <w:num w:numId="10">
    <w:abstractNumId w:val="0"/>
  </w:num>
  <w:num w:numId="11">
    <w:abstractNumId w:val="1"/>
  </w:num>
  <w:num w:numId="12">
    <w:abstractNumId w:val="5"/>
  </w:num>
  <w:num w:numId="13">
    <w:abstractNumId w:val="16"/>
  </w:num>
  <w:num w:numId="14">
    <w:abstractNumId w:val="12"/>
  </w:num>
  <w:num w:numId="15">
    <w:abstractNumId w:val="13"/>
  </w:num>
  <w:num w:numId="16">
    <w:abstractNumId w:val="3"/>
  </w:num>
  <w:num w:numId="17">
    <w:abstractNumId w:val="11"/>
  </w:num>
  <w:num w:numId="18">
    <w:abstractNumId w:val="6"/>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NTK1MDIyNDU3NTJT0lEKTi0uzszPAykwqwUAEs0miSwAAAA="/>
  </w:docVars>
  <w:rsids>
    <w:rsidRoot w:val="00EB50F4"/>
    <w:rsid w:val="00054A8A"/>
    <w:rsid w:val="0012421E"/>
    <w:rsid w:val="00151F82"/>
    <w:rsid w:val="00197A01"/>
    <w:rsid w:val="001A63E4"/>
    <w:rsid w:val="001B2605"/>
    <w:rsid w:val="001D508D"/>
    <w:rsid w:val="003C48BC"/>
    <w:rsid w:val="003E0680"/>
    <w:rsid w:val="00463828"/>
    <w:rsid w:val="00467E6C"/>
    <w:rsid w:val="00476C4A"/>
    <w:rsid w:val="006E1C91"/>
    <w:rsid w:val="00704FBD"/>
    <w:rsid w:val="007646E3"/>
    <w:rsid w:val="00787A4E"/>
    <w:rsid w:val="007A2F8C"/>
    <w:rsid w:val="0086101B"/>
    <w:rsid w:val="00987E0E"/>
    <w:rsid w:val="009C32B5"/>
    <w:rsid w:val="00AC09C0"/>
    <w:rsid w:val="00AD56C6"/>
    <w:rsid w:val="00BE43D4"/>
    <w:rsid w:val="00CD6F14"/>
    <w:rsid w:val="00CF3285"/>
    <w:rsid w:val="00D94C3D"/>
    <w:rsid w:val="00E83413"/>
    <w:rsid w:val="00EB50F4"/>
    <w:rsid w:val="00F47F6C"/>
    <w:rsid w:val="00F66584"/>
    <w:rsid w:val="00FF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D2BB"/>
  <w15:chartTrackingRefBased/>
  <w15:docId w15:val="{8562E3B4-7883-4AA4-AA14-BED91CFBD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0F4"/>
    <w:pPr>
      <w:spacing w:after="0" w:line="240" w:lineRule="auto"/>
    </w:pPr>
    <w:rPr>
      <w:rFonts w:ascii="Times New Roman" w:eastAsia="Times New Roman" w:hAnsi="Times New Roman" w:cs="Times New Roman"/>
      <w:sz w:val="24"/>
      <w:szCs w:val="24"/>
      <w:lang w:val="en-NZ" w:eastAsia="en-GB"/>
    </w:rPr>
  </w:style>
  <w:style w:type="paragraph" w:styleId="Heading3">
    <w:name w:val="heading 3"/>
    <w:basedOn w:val="Normal"/>
    <w:link w:val="Heading3Char"/>
    <w:uiPriority w:val="9"/>
    <w:qFormat/>
    <w:rsid w:val="00EB50F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B50F4"/>
    <w:rPr>
      <w:rFonts w:ascii="Times New Roman" w:eastAsia="Times New Roman" w:hAnsi="Times New Roman" w:cs="Times New Roman"/>
      <w:b/>
      <w:bCs/>
      <w:sz w:val="27"/>
      <w:szCs w:val="27"/>
      <w:lang w:val="en-NZ" w:eastAsia="en-GB"/>
    </w:rPr>
  </w:style>
  <w:style w:type="paragraph" w:styleId="BalloonText">
    <w:name w:val="Balloon Text"/>
    <w:basedOn w:val="Normal"/>
    <w:link w:val="BalloonTextChar"/>
    <w:uiPriority w:val="99"/>
    <w:semiHidden/>
    <w:unhideWhenUsed/>
    <w:rsid w:val="00EB50F4"/>
    <w:rPr>
      <w:sz w:val="18"/>
      <w:szCs w:val="18"/>
    </w:rPr>
  </w:style>
  <w:style w:type="character" w:customStyle="1" w:styleId="BalloonTextChar">
    <w:name w:val="Balloon Text Char"/>
    <w:basedOn w:val="DefaultParagraphFont"/>
    <w:link w:val="BalloonText"/>
    <w:uiPriority w:val="99"/>
    <w:semiHidden/>
    <w:rsid w:val="00EB50F4"/>
    <w:rPr>
      <w:rFonts w:ascii="Times New Roman" w:eastAsia="Times New Roman" w:hAnsi="Times New Roman" w:cs="Times New Roman"/>
      <w:sz w:val="18"/>
      <w:szCs w:val="18"/>
      <w:lang w:val="en-NZ" w:eastAsia="en-GB"/>
    </w:rPr>
  </w:style>
  <w:style w:type="paragraph" w:styleId="NormalWeb">
    <w:name w:val="Normal (Web)"/>
    <w:basedOn w:val="Normal"/>
    <w:uiPriority w:val="99"/>
    <w:unhideWhenUsed/>
    <w:rsid w:val="00EB50F4"/>
    <w:pPr>
      <w:spacing w:before="100" w:beforeAutospacing="1" w:after="100" w:afterAutospacing="1"/>
    </w:pPr>
  </w:style>
  <w:style w:type="character" w:styleId="Strong">
    <w:name w:val="Strong"/>
    <w:basedOn w:val="DefaultParagraphFont"/>
    <w:uiPriority w:val="22"/>
    <w:qFormat/>
    <w:rsid w:val="00EB50F4"/>
    <w:rPr>
      <w:b/>
      <w:bCs/>
    </w:rPr>
  </w:style>
  <w:style w:type="character" w:styleId="Emphasis">
    <w:name w:val="Emphasis"/>
    <w:basedOn w:val="DefaultParagraphFont"/>
    <w:uiPriority w:val="20"/>
    <w:qFormat/>
    <w:rsid w:val="00EB50F4"/>
    <w:rPr>
      <w:i/>
      <w:iCs/>
    </w:rPr>
  </w:style>
  <w:style w:type="table" w:styleId="TableGridLight">
    <w:name w:val="Grid Table Light"/>
    <w:basedOn w:val="TableNormal"/>
    <w:uiPriority w:val="40"/>
    <w:rsid w:val="00EB50F4"/>
    <w:pPr>
      <w:spacing w:after="0" w:line="240" w:lineRule="auto"/>
    </w:pPr>
    <w:rPr>
      <w:sz w:val="24"/>
      <w:szCs w:val="24"/>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B50F4"/>
    <w:pPr>
      <w:spacing w:after="0" w:line="240" w:lineRule="auto"/>
    </w:pPr>
    <w:rPr>
      <w:sz w:val="24"/>
      <w:szCs w:val="24"/>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EB50F4"/>
    <w:pPr>
      <w:ind w:left="720"/>
      <w:contextualSpacing/>
    </w:pPr>
  </w:style>
  <w:style w:type="character" w:styleId="Hyperlink">
    <w:name w:val="Hyperlink"/>
    <w:basedOn w:val="DefaultParagraphFont"/>
    <w:uiPriority w:val="99"/>
    <w:unhideWhenUsed/>
    <w:rsid w:val="00EB50F4"/>
    <w:rPr>
      <w:color w:val="0563C1" w:themeColor="hyperlink"/>
      <w:u w:val="single"/>
    </w:rPr>
  </w:style>
  <w:style w:type="table" w:styleId="TableGrid">
    <w:name w:val="Table Grid"/>
    <w:basedOn w:val="TableNormal"/>
    <w:uiPriority w:val="39"/>
    <w:rsid w:val="00EB50F4"/>
    <w:pPr>
      <w:spacing w:after="0" w:line="240" w:lineRule="auto"/>
    </w:pPr>
    <w:rPr>
      <w:sz w:val="24"/>
      <w:szCs w:val="24"/>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50F4"/>
    <w:rPr>
      <w:sz w:val="16"/>
      <w:szCs w:val="16"/>
    </w:rPr>
  </w:style>
  <w:style w:type="paragraph" w:styleId="CommentText">
    <w:name w:val="annotation text"/>
    <w:basedOn w:val="Normal"/>
    <w:link w:val="CommentTextChar"/>
    <w:uiPriority w:val="99"/>
    <w:unhideWhenUsed/>
    <w:rsid w:val="00EB50F4"/>
    <w:rPr>
      <w:sz w:val="20"/>
      <w:szCs w:val="20"/>
    </w:rPr>
  </w:style>
  <w:style w:type="character" w:customStyle="1" w:styleId="CommentTextChar">
    <w:name w:val="Comment Text Char"/>
    <w:basedOn w:val="DefaultParagraphFont"/>
    <w:link w:val="CommentText"/>
    <w:uiPriority w:val="99"/>
    <w:rsid w:val="00EB50F4"/>
    <w:rPr>
      <w:rFonts w:ascii="Times New Roman" w:eastAsia="Times New Roman" w:hAnsi="Times New Roman" w:cs="Times New Roman"/>
      <w:sz w:val="20"/>
      <w:szCs w:val="20"/>
      <w:lang w:val="en-NZ" w:eastAsia="en-GB"/>
    </w:rPr>
  </w:style>
  <w:style w:type="character" w:customStyle="1" w:styleId="CommentSubjectChar">
    <w:name w:val="Comment Subject Char"/>
    <w:basedOn w:val="CommentTextChar"/>
    <w:link w:val="CommentSubject"/>
    <w:uiPriority w:val="99"/>
    <w:semiHidden/>
    <w:rsid w:val="00EB50F4"/>
    <w:rPr>
      <w:rFonts w:ascii="Times New Roman" w:eastAsia="Times New Roman" w:hAnsi="Times New Roman" w:cs="Times New Roman"/>
      <w:b/>
      <w:bCs/>
      <w:sz w:val="20"/>
      <w:szCs w:val="20"/>
      <w:lang w:val="en-NZ" w:eastAsia="en-GB"/>
    </w:rPr>
  </w:style>
  <w:style w:type="paragraph" w:styleId="CommentSubject">
    <w:name w:val="annotation subject"/>
    <w:basedOn w:val="CommentText"/>
    <w:next w:val="CommentText"/>
    <w:link w:val="CommentSubjectChar"/>
    <w:uiPriority w:val="99"/>
    <w:semiHidden/>
    <w:unhideWhenUsed/>
    <w:rsid w:val="00EB50F4"/>
    <w:rPr>
      <w:b/>
      <w:bCs/>
    </w:rPr>
  </w:style>
  <w:style w:type="character" w:customStyle="1" w:styleId="CommentSubjectChar1">
    <w:name w:val="Comment Subject Char1"/>
    <w:basedOn w:val="CommentTextChar"/>
    <w:uiPriority w:val="99"/>
    <w:semiHidden/>
    <w:rsid w:val="00EB50F4"/>
    <w:rPr>
      <w:rFonts w:ascii="Times New Roman" w:eastAsia="Times New Roman" w:hAnsi="Times New Roman" w:cs="Times New Roman"/>
      <w:b/>
      <w:bCs/>
      <w:sz w:val="20"/>
      <w:szCs w:val="20"/>
      <w:lang w:val="en-NZ" w:eastAsia="en-GB"/>
    </w:rPr>
  </w:style>
  <w:style w:type="paragraph" w:styleId="Footer">
    <w:name w:val="footer"/>
    <w:basedOn w:val="Normal"/>
    <w:link w:val="FooterChar"/>
    <w:uiPriority w:val="99"/>
    <w:unhideWhenUsed/>
    <w:rsid w:val="00EB50F4"/>
    <w:pPr>
      <w:tabs>
        <w:tab w:val="center" w:pos="4513"/>
        <w:tab w:val="right" w:pos="9026"/>
      </w:tabs>
    </w:pPr>
  </w:style>
  <w:style w:type="character" w:customStyle="1" w:styleId="FooterChar">
    <w:name w:val="Footer Char"/>
    <w:basedOn w:val="DefaultParagraphFont"/>
    <w:link w:val="Footer"/>
    <w:uiPriority w:val="99"/>
    <w:rsid w:val="00EB50F4"/>
    <w:rPr>
      <w:rFonts w:ascii="Times New Roman" w:eastAsia="Times New Roman" w:hAnsi="Times New Roman" w:cs="Times New Roman"/>
      <w:sz w:val="24"/>
      <w:szCs w:val="24"/>
      <w:lang w:val="en-NZ" w:eastAsia="en-GB"/>
    </w:rPr>
  </w:style>
  <w:style w:type="character" w:styleId="PageNumber">
    <w:name w:val="page number"/>
    <w:basedOn w:val="DefaultParagraphFont"/>
    <w:uiPriority w:val="99"/>
    <w:semiHidden/>
    <w:unhideWhenUsed/>
    <w:rsid w:val="00EB50F4"/>
  </w:style>
  <w:style w:type="character" w:styleId="LineNumber">
    <w:name w:val="line number"/>
    <w:basedOn w:val="DefaultParagraphFont"/>
    <w:uiPriority w:val="99"/>
    <w:semiHidden/>
    <w:unhideWhenUsed/>
    <w:rsid w:val="00EB50F4"/>
  </w:style>
  <w:style w:type="table" w:styleId="PlainTable4">
    <w:name w:val="Plain Table 4"/>
    <w:basedOn w:val="TableNormal"/>
    <w:uiPriority w:val="44"/>
    <w:rsid w:val="00EB50F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EB50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EB50F4"/>
    <w:rPr>
      <w:color w:val="954F72" w:themeColor="followedHyperlink"/>
      <w:u w:val="single"/>
    </w:rPr>
  </w:style>
  <w:style w:type="character" w:styleId="UnresolvedMention">
    <w:name w:val="Unresolved Mention"/>
    <w:basedOn w:val="DefaultParagraphFont"/>
    <w:uiPriority w:val="99"/>
    <w:semiHidden/>
    <w:unhideWhenUsed/>
    <w:rsid w:val="00EB50F4"/>
    <w:rPr>
      <w:color w:val="605E5C"/>
      <w:shd w:val="clear" w:color="auto" w:fill="E1DFDD"/>
    </w:rPr>
  </w:style>
  <w:style w:type="paragraph" w:styleId="Header">
    <w:name w:val="header"/>
    <w:basedOn w:val="Normal"/>
    <w:link w:val="HeaderChar"/>
    <w:uiPriority w:val="99"/>
    <w:unhideWhenUsed/>
    <w:rsid w:val="00EB50F4"/>
    <w:pPr>
      <w:tabs>
        <w:tab w:val="center" w:pos="4513"/>
        <w:tab w:val="right" w:pos="9026"/>
      </w:tabs>
    </w:pPr>
  </w:style>
  <w:style w:type="character" w:customStyle="1" w:styleId="HeaderChar">
    <w:name w:val="Header Char"/>
    <w:basedOn w:val="DefaultParagraphFont"/>
    <w:link w:val="Header"/>
    <w:uiPriority w:val="99"/>
    <w:rsid w:val="00EB50F4"/>
    <w:rPr>
      <w:rFonts w:ascii="Times New Roman" w:eastAsia="Times New Roman" w:hAnsi="Times New Roman" w:cs="Times New Roman"/>
      <w:sz w:val="24"/>
      <w:szCs w:val="24"/>
      <w:lang w:val="en-NZ" w:eastAsia="en-GB"/>
    </w:rPr>
  </w:style>
  <w:style w:type="table" w:styleId="GridTable1Light">
    <w:name w:val="Grid Table 1 Light"/>
    <w:basedOn w:val="TableNormal"/>
    <w:uiPriority w:val="46"/>
    <w:rsid w:val="00EB50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B50F4"/>
    <w:pPr>
      <w:spacing w:after="0" w:line="240" w:lineRule="auto"/>
    </w:pPr>
    <w:rPr>
      <w:rFonts w:ascii="Times New Roman" w:eastAsia="Times New Roman" w:hAnsi="Times New Roman" w:cs="Times New Roman"/>
      <w:sz w:val="24"/>
      <w:szCs w:val="24"/>
      <w:lang w:val="en-NZ" w:eastAsia="en-GB"/>
    </w:rPr>
  </w:style>
  <w:style w:type="paragraph" w:styleId="Bibliography">
    <w:name w:val="Bibliography"/>
    <w:basedOn w:val="Normal"/>
    <w:next w:val="Normal"/>
    <w:uiPriority w:val="37"/>
    <w:unhideWhenUsed/>
    <w:rsid w:val="00EB50F4"/>
    <w:pPr>
      <w:spacing w:after="24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usermanual.wiki/Document/vsearchmanual.523130275/html" TargetMode="External"/><Relationship Id="rId2" Type="http://schemas.openxmlformats.org/officeDocument/2006/relationships/styles" Target="styles.xml"/><Relationship Id="rId16" Type="http://schemas.openxmlformats.org/officeDocument/2006/relationships/hyperlink" Target="https://www.geneiou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cme.h-its.org/exelixis/web/software/pear/doc.html"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utadapt.readthedocs.io/en/stable/gu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34</Pages>
  <Words>21809</Words>
  <Characters>124317</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 Olmedo Rojas</dc:creator>
  <cp:keywords/>
  <dc:description/>
  <cp:lastModifiedBy>Microsoft Office User</cp:lastModifiedBy>
  <cp:revision>22</cp:revision>
  <dcterms:created xsi:type="dcterms:W3CDTF">2021-08-08T10:41:00Z</dcterms:created>
  <dcterms:modified xsi:type="dcterms:W3CDTF">2022-04-02T07:03:00Z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id="cmqZEFkz"/&gt;&lt;style id="http://www.zotero.org/styles/antarctic-science"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