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53F6" w14:textId="56E48F04" w:rsidR="00CB58A1" w:rsidRPr="00F143BC"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t>Supplementary Table 2. Univariate analysis for the 11 potential explanatory variables comparing the Banbridge TVR area with the Banbridge buffer area in the years 2011 to 2019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10"/>
        <w:gridCol w:w="1158"/>
        <w:gridCol w:w="1276"/>
        <w:gridCol w:w="992"/>
        <w:gridCol w:w="1083"/>
      </w:tblGrid>
      <w:tr w:rsidR="00CB58A1" w14:paraId="76D54C27" w14:textId="77777777" w:rsidTr="00AF5703">
        <w:trPr>
          <w:trHeight w:val="699"/>
        </w:trPr>
        <w:tc>
          <w:tcPr>
            <w:tcW w:w="3397" w:type="dxa"/>
            <w:vMerge w:val="restart"/>
            <w:tcBorders>
              <w:top w:val="single" w:sz="4" w:space="0" w:color="auto"/>
              <w:bottom w:val="single" w:sz="4" w:space="0" w:color="auto"/>
            </w:tcBorders>
            <w:vAlign w:val="bottom"/>
          </w:tcPr>
          <w:p w14:paraId="51BBE626" w14:textId="77777777" w:rsidR="00CB58A1" w:rsidRPr="00FF5237"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Explanatory Variable</w:t>
            </w:r>
          </w:p>
        </w:tc>
        <w:tc>
          <w:tcPr>
            <w:tcW w:w="1110" w:type="dxa"/>
            <w:vMerge w:val="restart"/>
            <w:tcBorders>
              <w:top w:val="single" w:sz="4" w:space="0" w:color="auto"/>
              <w:bottom w:val="single" w:sz="4" w:space="0" w:color="auto"/>
            </w:tcBorders>
            <w:vAlign w:val="bottom"/>
          </w:tcPr>
          <w:p w14:paraId="30791B38"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IRR</w:t>
            </w:r>
          </w:p>
        </w:tc>
        <w:tc>
          <w:tcPr>
            <w:tcW w:w="1158" w:type="dxa"/>
            <w:vMerge w:val="restart"/>
            <w:tcBorders>
              <w:top w:val="single" w:sz="4" w:space="0" w:color="auto"/>
              <w:bottom w:val="single" w:sz="4" w:space="0" w:color="auto"/>
            </w:tcBorders>
            <w:vAlign w:val="bottom"/>
          </w:tcPr>
          <w:p w14:paraId="3115FDE6" w14:textId="77777777" w:rsidR="00CB58A1" w:rsidRPr="00FF5237" w:rsidRDefault="00CB58A1" w:rsidP="00AF570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Standard Error</w:t>
            </w:r>
          </w:p>
        </w:tc>
        <w:tc>
          <w:tcPr>
            <w:tcW w:w="2268" w:type="dxa"/>
            <w:gridSpan w:val="2"/>
            <w:tcBorders>
              <w:top w:val="single" w:sz="4" w:space="0" w:color="auto"/>
              <w:bottom w:val="single" w:sz="4" w:space="0" w:color="auto"/>
            </w:tcBorders>
            <w:vAlign w:val="bottom"/>
          </w:tcPr>
          <w:p w14:paraId="33BA3021"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95% CI for IRR</w:t>
            </w:r>
          </w:p>
        </w:tc>
        <w:tc>
          <w:tcPr>
            <w:tcW w:w="1083" w:type="dxa"/>
            <w:vMerge w:val="restart"/>
            <w:tcBorders>
              <w:top w:val="single" w:sz="4" w:space="0" w:color="auto"/>
              <w:bottom w:val="single" w:sz="4" w:space="0" w:color="auto"/>
            </w:tcBorders>
            <w:vAlign w:val="bottom"/>
          </w:tcPr>
          <w:p w14:paraId="08D53816"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P-Value</w:t>
            </w:r>
          </w:p>
        </w:tc>
      </w:tr>
      <w:tr w:rsidR="00CB58A1" w14:paraId="6C395D01" w14:textId="77777777" w:rsidTr="00AF5703">
        <w:trPr>
          <w:trHeight w:val="557"/>
        </w:trPr>
        <w:tc>
          <w:tcPr>
            <w:tcW w:w="3397" w:type="dxa"/>
            <w:vMerge/>
            <w:tcBorders>
              <w:top w:val="single" w:sz="4" w:space="0" w:color="auto"/>
              <w:bottom w:val="single" w:sz="4" w:space="0" w:color="auto"/>
            </w:tcBorders>
          </w:tcPr>
          <w:p w14:paraId="6FD75BCB" w14:textId="77777777" w:rsidR="00CB58A1" w:rsidRDefault="00CB58A1" w:rsidP="00AF5703">
            <w:pPr>
              <w:spacing w:line="360" w:lineRule="auto"/>
              <w:rPr>
                <w:rFonts w:ascii="Times New Roman" w:hAnsi="Times New Roman" w:cs="Times New Roman"/>
                <w:sz w:val="20"/>
                <w:szCs w:val="20"/>
              </w:rPr>
            </w:pPr>
          </w:p>
        </w:tc>
        <w:tc>
          <w:tcPr>
            <w:tcW w:w="1110" w:type="dxa"/>
            <w:vMerge/>
            <w:tcBorders>
              <w:top w:val="single" w:sz="4" w:space="0" w:color="auto"/>
              <w:bottom w:val="single" w:sz="4" w:space="0" w:color="auto"/>
            </w:tcBorders>
          </w:tcPr>
          <w:p w14:paraId="33E95CAE" w14:textId="77777777" w:rsidR="00CB58A1" w:rsidRDefault="00CB58A1" w:rsidP="00AF5703">
            <w:pPr>
              <w:spacing w:line="360" w:lineRule="auto"/>
              <w:rPr>
                <w:rFonts w:ascii="Times New Roman" w:hAnsi="Times New Roman" w:cs="Times New Roman"/>
                <w:sz w:val="20"/>
                <w:szCs w:val="20"/>
              </w:rPr>
            </w:pPr>
          </w:p>
        </w:tc>
        <w:tc>
          <w:tcPr>
            <w:tcW w:w="1158" w:type="dxa"/>
            <w:vMerge/>
            <w:tcBorders>
              <w:top w:val="single" w:sz="4" w:space="0" w:color="auto"/>
              <w:bottom w:val="single" w:sz="4" w:space="0" w:color="auto"/>
            </w:tcBorders>
          </w:tcPr>
          <w:p w14:paraId="1A954246" w14:textId="77777777" w:rsidR="00CB58A1" w:rsidRPr="00FF5237" w:rsidRDefault="00CB58A1" w:rsidP="00AF5703">
            <w:pPr>
              <w:spacing w:line="360" w:lineRule="auto"/>
              <w:jc w:val="center"/>
              <w:rPr>
                <w:rFonts w:ascii="Times New Roman" w:hAnsi="Times New Roman" w:cs="Times New Roman"/>
                <w:b/>
                <w:sz w:val="20"/>
                <w:szCs w:val="20"/>
              </w:rPr>
            </w:pPr>
          </w:p>
        </w:tc>
        <w:tc>
          <w:tcPr>
            <w:tcW w:w="1276" w:type="dxa"/>
            <w:tcBorders>
              <w:top w:val="single" w:sz="4" w:space="0" w:color="auto"/>
              <w:bottom w:val="single" w:sz="4" w:space="0" w:color="auto"/>
            </w:tcBorders>
            <w:vAlign w:val="bottom"/>
          </w:tcPr>
          <w:p w14:paraId="6B1C40B5"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Lower</w:t>
            </w:r>
          </w:p>
        </w:tc>
        <w:tc>
          <w:tcPr>
            <w:tcW w:w="992" w:type="dxa"/>
            <w:tcBorders>
              <w:top w:val="single" w:sz="4" w:space="0" w:color="auto"/>
              <w:bottom w:val="single" w:sz="4" w:space="0" w:color="auto"/>
            </w:tcBorders>
            <w:vAlign w:val="bottom"/>
          </w:tcPr>
          <w:p w14:paraId="35EB5252"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Upper</w:t>
            </w:r>
          </w:p>
        </w:tc>
        <w:tc>
          <w:tcPr>
            <w:tcW w:w="1083" w:type="dxa"/>
            <w:vMerge/>
            <w:tcBorders>
              <w:top w:val="single" w:sz="4" w:space="0" w:color="auto"/>
              <w:bottom w:val="single" w:sz="4" w:space="0" w:color="auto"/>
            </w:tcBorders>
          </w:tcPr>
          <w:p w14:paraId="1FC1E34A" w14:textId="77777777" w:rsidR="00CB58A1" w:rsidRDefault="00CB58A1" w:rsidP="00AF5703">
            <w:pPr>
              <w:spacing w:line="360" w:lineRule="auto"/>
              <w:rPr>
                <w:rFonts w:ascii="Times New Roman" w:hAnsi="Times New Roman" w:cs="Times New Roman"/>
                <w:sz w:val="20"/>
                <w:szCs w:val="20"/>
              </w:rPr>
            </w:pPr>
          </w:p>
        </w:tc>
      </w:tr>
      <w:tr w:rsidR="00CB58A1" w14:paraId="507028B9" w14:textId="77777777" w:rsidTr="00AF5703">
        <w:trPr>
          <w:trHeight w:val="581"/>
        </w:trPr>
        <w:tc>
          <w:tcPr>
            <w:tcW w:w="3397" w:type="dxa"/>
            <w:tcBorders>
              <w:top w:val="single" w:sz="4" w:space="0" w:color="auto"/>
            </w:tcBorders>
            <w:vAlign w:val="center"/>
          </w:tcPr>
          <w:p w14:paraId="6FB1E85F" w14:textId="77777777" w:rsidR="00CB58A1" w:rsidRPr="00FF5237"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Area </w:t>
            </w:r>
          </w:p>
        </w:tc>
        <w:tc>
          <w:tcPr>
            <w:tcW w:w="1110" w:type="dxa"/>
            <w:tcBorders>
              <w:top w:val="single" w:sz="4" w:space="0" w:color="auto"/>
            </w:tcBorders>
            <w:vAlign w:val="center"/>
          </w:tcPr>
          <w:p w14:paraId="172C6BD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0.87</w:t>
            </w:r>
          </w:p>
        </w:tc>
        <w:tc>
          <w:tcPr>
            <w:tcW w:w="1158" w:type="dxa"/>
            <w:tcBorders>
              <w:top w:val="single" w:sz="4" w:space="0" w:color="auto"/>
            </w:tcBorders>
            <w:vAlign w:val="center"/>
          </w:tcPr>
          <w:p w14:paraId="1E31DD2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0.088</w:t>
            </w:r>
          </w:p>
        </w:tc>
        <w:tc>
          <w:tcPr>
            <w:tcW w:w="1276" w:type="dxa"/>
            <w:tcBorders>
              <w:top w:val="single" w:sz="4" w:space="0" w:color="auto"/>
            </w:tcBorders>
            <w:vAlign w:val="center"/>
          </w:tcPr>
          <w:p w14:paraId="79FE67B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0.73</w:t>
            </w:r>
          </w:p>
        </w:tc>
        <w:tc>
          <w:tcPr>
            <w:tcW w:w="992" w:type="dxa"/>
            <w:tcBorders>
              <w:top w:val="single" w:sz="4" w:space="0" w:color="auto"/>
            </w:tcBorders>
            <w:vAlign w:val="center"/>
          </w:tcPr>
          <w:p w14:paraId="2FDE31B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083" w:type="dxa"/>
            <w:tcBorders>
              <w:top w:val="single" w:sz="4" w:space="0" w:color="auto"/>
            </w:tcBorders>
            <w:vAlign w:val="center"/>
          </w:tcPr>
          <w:p w14:paraId="7A274ADE"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0.100</w:t>
            </w:r>
          </w:p>
        </w:tc>
      </w:tr>
      <w:tr w:rsidR="00CB58A1" w14:paraId="47EA351B" w14:textId="77777777" w:rsidTr="00AF5703">
        <w:trPr>
          <w:trHeight w:val="689"/>
        </w:trPr>
        <w:tc>
          <w:tcPr>
            <w:tcW w:w="3397" w:type="dxa"/>
            <w:vAlign w:val="center"/>
          </w:tcPr>
          <w:p w14:paraId="79D727A1"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Year</w:t>
            </w:r>
          </w:p>
        </w:tc>
        <w:tc>
          <w:tcPr>
            <w:tcW w:w="1110" w:type="dxa"/>
            <w:vAlign w:val="center"/>
          </w:tcPr>
          <w:p w14:paraId="4E18574E"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158" w:type="dxa"/>
            <w:vAlign w:val="center"/>
          </w:tcPr>
          <w:p w14:paraId="16DA231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0.017</w:t>
            </w:r>
          </w:p>
        </w:tc>
        <w:tc>
          <w:tcPr>
            <w:tcW w:w="1276" w:type="dxa"/>
            <w:vAlign w:val="center"/>
          </w:tcPr>
          <w:p w14:paraId="498084A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992" w:type="dxa"/>
            <w:vAlign w:val="center"/>
          </w:tcPr>
          <w:p w14:paraId="626D614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1083" w:type="dxa"/>
            <w:vAlign w:val="center"/>
          </w:tcPr>
          <w:p w14:paraId="193957CE" w14:textId="77777777" w:rsidR="00CB58A1" w:rsidRDefault="00CB58A1" w:rsidP="00AF5703">
            <w:pPr>
              <w:spacing w:line="360" w:lineRule="auto"/>
              <w:jc w:val="center"/>
              <w:rPr>
                <w:rFonts w:ascii="Times New Roman" w:hAnsi="Times New Roman" w:cs="Times New Roman"/>
                <w:sz w:val="20"/>
                <w:szCs w:val="20"/>
              </w:rPr>
            </w:pPr>
            <w:r w:rsidRPr="00181A11">
              <w:rPr>
                <w:rFonts w:ascii="Times New Roman" w:hAnsi="Times New Roman" w:cs="Times New Roman"/>
                <w:sz w:val="20"/>
                <w:szCs w:val="20"/>
              </w:rPr>
              <w:t>0.201</w:t>
            </w:r>
          </w:p>
        </w:tc>
      </w:tr>
      <w:tr w:rsidR="00CB58A1" w14:paraId="0120AC58" w14:textId="77777777" w:rsidTr="00AF5703">
        <w:trPr>
          <w:trHeight w:val="698"/>
        </w:trPr>
        <w:tc>
          <w:tcPr>
            <w:tcW w:w="3397" w:type="dxa"/>
            <w:vAlign w:val="center"/>
          </w:tcPr>
          <w:p w14:paraId="7F041A48"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Number of farm businesses/herds</w:t>
            </w:r>
          </w:p>
        </w:tc>
        <w:tc>
          <w:tcPr>
            <w:tcW w:w="1110" w:type="dxa"/>
            <w:vAlign w:val="center"/>
          </w:tcPr>
          <w:p w14:paraId="5B713550"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58" w:type="dxa"/>
            <w:vAlign w:val="center"/>
          </w:tcPr>
          <w:p w14:paraId="2117335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276" w:type="dxa"/>
            <w:vAlign w:val="center"/>
          </w:tcPr>
          <w:p w14:paraId="1218DB4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992" w:type="dxa"/>
            <w:vAlign w:val="center"/>
          </w:tcPr>
          <w:p w14:paraId="5EA0403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083" w:type="dxa"/>
            <w:vAlign w:val="center"/>
          </w:tcPr>
          <w:p w14:paraId="44CCD553" w14:textId="77777777" w:rsidR="00CB58A1" w:rsidRDefault="00CB58A1" w:rsidP="00AF5703">
            <w:pPr>
              <w:spacing w:line="360" w:lineRule="auto"/>
              <w:jc w:val="center"/>
              <w:rPr>
                <w:rFonts w:ascii="Times New Roman" w:hAnsi="Times New Roman" w:cs="Times New Roman"/>
                <w:sz w:val="20"/>
                <w:szCs w:val="20"/>
              </w:rPr>
            </w:pPr>
            <w:r w:rsidRPr="00D60C12">
              <w:rPr>
                <w:rFonts w:ascii="Times New Roman" w:hAnsi="Times New Roman" w:cs="Times New Roman"/>
                <w:sz w:val="20"/>
                <w:szCs w:val="20"/>
              </w:rPr>
              <w:t>0.754</w:t>
            </w:r>
          </w:p>
        </w:tc>
      </w:tr>
      <w:tr w:rsidR="00CB58A1" w14:paraId="4D2A4A18" w14:textId="77777777" w:rsidTr="00AF5703">
        <w:trPr>
          <w:trHeight w:val="694"/>
        </w:trPr>
        <w:tc>
          <w:tcPr>
            <w:tcW w:w="3397" w:type="dxa"/>
            <w:vAlign w:val="center"/>
          </w:tcPr>
          <w:p w14:paraId="5D80619E"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Total CITT herd tests</w:t>
            </w:r>
          </w:p>
        </w:tc>
        <w:tc>
          <w:tcPr>
            <w:tcW w:w="1110" w:type="dxa"/>
            <w:vAlign w:val="center"/>
          </w:tcPr>
          <w:p w14:paraId="212DC65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58" w:type="dxa"/>
            <w:vAlign w:val="center"/>
          </w:tcPr>
          <w:p w14:paraId="741EB1AC"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276" w:type="dxa"/>
            <w:vAlign w:val="center"/>
          </w:tcPr>
          <w:p w14:paraId="58930AEB"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14:paraId="1C16C7E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083" w:type="dxa"/>
            <w:vAlign w:val="center"/>
          </w:tcPr>
          <w:p w14:paraId="30FF4C99" w14:textId="77777777" w:rsidR="00CB58A1" w:rsidRDefault="00CB58A1" w:rsidP="00AF5703">
            <w:pPr>
              <w:spacing w:line="360" w:lineRule="auto"/>
              <w:jc w:val="center"/>
              <w:rPr>
                <w:rFonts w:ascii="Times New Roman" w:hAnsi="Times New Roman" w:cs="Times New Roman"/>
                <w:sz w:val="20"/>
                <w:szCs w:val="20"/>
              </w:rPr>
            </w:pPr>
            <w:r w:rsidRPr="00D60C12">
              <w:rPr>
                <w:rFonts w:ascii="Times New Roman" w:hAnsi="Times New Roman" w:cs="Times New Roman"/>
                <w:sz w:val="20"/>
                <w:szCs w:val="20"/>
              </w:rPr>
              <w:t>0.00</w:t>
            </w:r>
            <w:r>
              <w:rPr>
                <w:rFonts w:ascii="Times New Roman" w:hAnsi="Times New Roman" w:cs="Times New Roman"/>
                <w:sz w:val="20"/>
                <w:szCs w:val="20"/>
              </w:rPr>
              <w:t>9</w:t>
            </w:r>
          </w:p>
        </w:tc>
      </w:tr>
      <w:tr w:rsidR="00CB58A1" w14:paraId="2A665942" w14:textId="77777777" w:rsidTr="00AF5703">
        <w:trPr>
          <w:trHeight w:val="903"/>
        </w:trPr>
        <w:tc>
          <w:tcPr>
            <w:tcW w:w="3397" w:type="dxa"/>
            <w:vAlign w:val="center"/>
          </w:tcPr>
          <w:p w14:paraId="6A69639E"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Total number of CITT reactors &amp; confirmed LRS animals (per 50 animals)</w:t>
            </w:r>
          </w:p>
        </w:tc>
        <w:tc>
          <w:tcPr>
            <w:tcW w:w="1110" w:type="dxa"/>
            <w:vAlign w:val="center"/>
          </w:tcPr>
          <w:p w14:paraId="681F89A0"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1158" w:type="dxa"/>
            <w:vAlign w:val="center"/>
          </w:tcPr>
          <w:p w14:paraId="1CEFA82D"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0.032</w:t>
            </w:r>
          </w:p>
        </w:tc>
        <w:tc>
          <w:tcPr>
            <w:tcW w:w="1276" w:type="dxa"/>
            <w:vAlign w:val="center"/>
          </w:tcPr>
          <w:p w14:paraId="3113932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992" w:type="dxa"/>
            <w:vAlign w:val="center"/>
          </w:tcPr>
          <w:p w14:paraId="5700F99C"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1.21</w:t>
            </w:r>
          </w:p>
        </w:tc>
        <w:tc>
          <w:tcPr>
            <w:tcW w:w="1083" w:type="dxa"/>
            <w:vAlign w:val="center"/>
          </w:tcPr>
          <w:p w14:paraId="5B74C996"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66570F74" w14:textId="77777777" w:rsidTr="00AF5703">
        <w:trPr>
          <w:trHeight w:val="648"/>
        </w:trPr>
        <w:tc>
          <w:tcPr>
            <w:tcW w:w="3397" w:type="dxa"/>
            <w:vAlign w:val="center"/>
          </w:tcPr>
          <w:p w14:paraId="337B03AE"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Median herd size</w:t>
            </w:r>
          </w:p>
        </w:tc>
        <w:tc>
          <w:tcPr>
            <w:tcW w:w="1110" w:type="dxa"/>
            <w:vAlign w:val="center"/>
          </w:tcPr>
          <w:p w14:paraId="114907B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158" w:type="dxa"/>
            <w:vAlign w:val="center"/>
          </w:tcPr>
          <w:p w14:paraId="39BA120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0.014</w:t>
            </w:r>
          </w:p>
        </w:tc>
        <w:tc>
          <w:tcPr>
            <w:tcW w:w="1276" w:type="dxa"/>
            <w:vAlign w:val="center"/>
          </w:tcPr>
          <w:p w14:paraId="325398B9"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14:paraId="4C16D1C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1083" w:type="dxa"/>
            <w:vAlign w:val="center"/>
          </w:tcPr>
          <w:p w14:paraId="227B1165" w14:textId="77777777" w:rsidR="00CB58A1" w:rsidRDefault="00CB58A1" w:rsidP="00AF5703">
            <w:pPr>
              <w:spacing w:line="360" w:lineRule="auto"/>
              <w:jc w:val="center"/>
              <w:rPr>
                <w:rFonts w:ascii="Times New Roman" w:hAnsi="Times New Roman" w:cs="Times New Roman"/>
                <w:sz w:val="20"/>
                <w:szCs w:val="20"/>
              </w:rPr>
            </w:pPr>
            <w:r w:rsidRPr="00A63256">
              <w:rPr>
                <w:rFonts w:ascii="Times New Roman" w:hAnsi="Times New Roman" w:cs="Times New Roman"/>
                <w:sz w:val="20"/>
                <w:szCs w:val="20"/>
              </w:rPr>
              <w:t>0.02</w:t>
            </w:r>
            <w:r>
              <w:rPr>
                <w:rFonts w:ascii="Times New Roman" w:hAnsi="Times New Roman" w:cs="Times New Roman"/>
                <w:sz w:val="20"/>
                <w:szCs w:val="20"/>
              </w:rPr>
              <w:t>8</w:t>
            </w:r>
          </w:p>
        </w:tc>
      </w:tr>
      <w:tr w:rsidR="00CB58A1" w14:paraId="279E3C24" w14:textId="77777777" w:rsidTr="00AF5703">
        <w:trPr>
          <w:trHeight w:val="936"/>
        </w:trPr>
        <w:tc>
          <w:tcPr>
            <w:tcW w:w="3397" w:type="dxa"/>
            <w:vAlign w:val="center"/>
          </w:tcPr>
          <w:p w14:paraId="34F8C516"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herds that were registered as dairy herds</w:t>
            </w:r>
          </w:p>
        </w:tc>
        <w:tc>
          <w:tcPr>
            <w:tcW w:w="1110" w:type="dxa"/>
            <w:vAlign w:val="center"/>
          </w:tcPr>
          <w:p w14:paraId="46AD9EB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0.96</w:t>
            </w:r>
          </w:p>
        </w:tc>
        <w:tc>
          <w:tcPr>
            <w:tcW w:w="1158" w:type="dxa"/>
            <w:vAlign w:val="center"/>
          </w:tcPr>
          <w:p w14:paraId="0DAE44B2"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0.02</w:t>
            </w:r>
            <w:r>
              <w:rPr>
                <w:rFonts w:ascii="Times New Roman" w:hAnsi="Times New Roman" w:cs="Times New Roman"/>
                <w:sz w:val="20"/>
                <w:szCs w:val="20"/>
              </w:rPr>
              <w:t>2</w:t>
            </w:r>
          </w:p>
        </w:tc>
        <w:tc>
          <w:tcPr>
            <w:tcW w:w="1276" w:type="dxa"/>
            <w:vAlign w:val="center"/>
          </w:tcPr>
          <w:p w14:paraId="718E2A5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0.92</w:t>
            </w:r>
          </w:p>
        </w:tc>
        <w:tc>
          <w:tcPr>
            <w:tcW w:w="992" w:type="dxa"/>
            <w:vAlign w:val="center"/>
          </w:tcPr>
          <w:p w14:paraId="75FA547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83" w:type="dxa"/>
            <w:vAlign w:val="center"/>
          </w:tcPr>
          <w:p w14:paraId="1F8760EE"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0.054</w:t>
            </w:r>
          </w:p>
        </w:tc>
      </w:tr>
      <w:tr w:rsidR="00CB58A1" w14:paraId="5430F375" w14:textId="77777777" w:rsidTr="00AF5703">
        <w:trPr>
          <w:trHeight w:val="903"/>
        </w:trPr>
        <w:tc>
          <w:tcPr>
            <w:tcW w:w="3397" w:type="dxa"/>
            <w:vAlign w:val="center"/>
          </w:tcPr>
          <w:p w14:paraId="7C75F4F6"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herds with a confirmed </w:t>
            </w:r>
            <w:proofErr w:type="spellStart"/>
            <w:r>
              <w:rPr>
                <w:rFonts w:ascii="Times New Roman" w:hAnsi="Times New Roman" w:cs="Times New Roman"/>
                <w:b/>
                <w:sz w:val="20"/>
                <w:szCs w:val="20"/>
              </w:rPr>
              <w:t>bTB</w:t>
            </w:r>
            <w:proofErr w:type="spellEnd"/>
            <w:r>
              <w:rPr>
                <w:rFonts w:ascii="Times New Roman" w:hAnsi="Times New Roman" w:cs="Times New Roman"/>
                <w:b/>
                <w:sz w:val="20"/>
                <w:szCs w:val="20"/>
              </w:rPr>
              <w:t xml:space="preserve"> herd breakdown in the previous 2 years</w:t>
            </w:r>
          </w:p>
        </w:tc>
        <w:tc>
          <w:tcPr>
            <w:tcW w:w="1110" w:type="dxa"/>
            <w:vAlign w:val="center"/>
          </w:tcPr>
          <w:p w14:paraId="544370E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1158" w:type="dxa"/>
            <w:vAlign w:val="center"/>
          </w:tcPr>
          <w:p w14:paraId="3A506C7F"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0.02</w:t>
            </w:r>
            <w:r>
              <w:rPr>
                <w:rFonts w:ascii="Times New Roman" w:hAnsi="Times New Roman" w:cs="Times New Roman"/>
                <w:sz w:val="20"/>
                <w:szCs w:val="20"/>
              </w:rPr>
              <w:t>5</w:t>
            </w:r>
          </w:p>
        </w:tc>
        <w:tc>
          <w:tcPr>
            <w:tcW w:w="1276" w:type="dxa"/>
            <w:vAlign w:val="center"/>
          </w:tcPr>
          <w:p w14:paraId="3A5F1EA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992" w:type="dxa"/>
            <w:vAlign w:val="center"/>
          </w:tcPr>
          <w:p w14:paraId="6E27B053"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083" w:type="dxa"/>
            <w:vAlign w:val="center"/>
          </w:tcPr>
          <w:p w14:paraId="03A4612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171936CC" w14:textId="77777777" w:rsidTr="00AF5703">
        <w:trPr>
          <w:trHeight w:val="903"/>
        </w:trPr>
        <w:tc>
          <w:tcPr>
            <w:tcW w:w="3397" w:type="dxa"/>
            <w:vAlign w:val="center"/>
          </w:tcPr>
          <w:p w14:paraId="74F8AFDC"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herds that had purchased cattle during the previous years</w:t>
            </w:r>
          </w:p>
        </w:tc>
        <w:tc>
          <w:tcPr>
            <w:tcW w:w="1110" w:type="dxa"/>
            <w:vAlign w:val="center"/>
          </w:tcPr>
          <w:p w14:paraId="037F7B6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0.98</w:t>
            </w:r>
          </w:p>
        </w:tc>
        <w:tc>
          <w:tcPr>
            <w:tcW w:w="1158" w:type="dxa"/>
            <w:vAlign w:val="center"/>
          </w:tcPr>
          <w:p w14:paraId="4CAD7788" w14:textId="77777777" w:rsidR="00CB58A1" w:rsidRDefault="00CB58A1" w:rsidP="00AF5703">
            <w:pPr>
              <w:spacing w:line="360" w:lineRule="auto"/>
              <w:jc w:val="center"/>
              <w:rPr>
                <w:rFonts w:ascii="Times New Roman" w:hAnsi="Times New Roman" w:cs="Times New Roman"/>
                <w:sz w:val="20"/>
                <w:szCs w:val="20"/>
              </w:rPr>
            </w:pPr>
            <w:r w:rsidRPr="00651853">
              <w:rPr>
                <w:rFonts w:ascii="Times New Roman" w:hAnsi="Times New Roman" w:cs="Times New Roman"/>
                <w:sz w:val="20"/>
                <w:szCs w:val="20"/>
              </w:rPr>
              <w:t>0.012</w:t>
            </w:r>
          </w:p>
        </w:tc>
        <w:tc>
          <w:tcPr>
            <w:tcW w:w="1276" w:type="dxa"/>
            <w:vAlign w:val="center"/>
          </w:tcPr>
          <w:p w14:paraId="35CF6BD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0.96</w:t>
            </w:r>
          </w:p>
        </w:tc>
        <w:tc>
          <w:tcPr>
            <w:tcW w:w="992" w:type="dxa"/>
            <w:vAlign w:val="center"/>
          </w:tcPr>
          <w:p w14:paraId="71689288"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83" w:type="dxa"/>
            <w:vAlign w:val="center"/>
          </w:tcPr>
          <w:p w14:paraId="53CA6889" w14:textId="77777777" w:rsidR="00CB58A1" w:rsidRDefault="00CB58A1" w:rsidP="00AF5703">
            <w:pPr>
              <w:spacing w:line="360" w:lineRule="auto"/>
              <w:jc w:val="center"/>
              <w:rPr>
                <w:rFonts w:ascii="Times New Roman" w:hAnsi="Times New Roman" w:cs="Times New Roman"/>
                <w:sz w:val="20"/>
                <w:szCs w:val="20"/>
              </w:rPr>
            </w:pPr>
            <w:r w:rsidRPr="00651853">
              <w:rPr>
                <w:rFonts w:ascii="Times New Roman" w:hAnsi="Times New Roman" w:cs="Times New Roman"/>
                <w:sz w:val="20"/>
                <w:szCs w:val="20"/>
              </w:rPr>
              <w:t>0.07</w:t>
            </w:r>
            <w:r>
              <w:rPr>
                <w:rFonts w:ascii="Times New Roman" w:hAnsi="Times New Roman" w:cs="Times New Roman"/>
                <w:sz w:val="20"/>
                <w:szCs w:val="20"/>
              </w:rPr>
              <w:t>5</w:t>
            </w:r>
          </w:p>
        </w:tc>
      </w:tr>
      <w:tr w:rsidR="00CB58A1" w14:paraId="679E9DAB" w14:textId="77777777" w:rsidTr="00AF5703">
        <w:trPr>
          <w:trHeight w:val="903"/>
        </w:trPr>
        <w:tc>
          <w:tcPr>
            <w:tcW w:w="3397" w:type="dxa"/>
            <w:vAlign w:val="center"/>
          </w:tcPr>
          <w:p w14:paraId="3D580095"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farms/herds with all their land within their associated 100km</w:t>
            </w:r>
            <w:r w:rsidRPr="00276447">
              <w:rPr>
                <w:rFonts w:ascii="Times New Roman" w:hAnsi="Times New Roman" w:cs="Times New Roman"/>
                <w:b/>
                <w:sz w:val="20"/>
                <w:szCs w:val="20"/>
                <w:vertAlign w:val="superscript"/>
              </w:rPr>
              <w:t>2</w:t>
            </w:r>
            <w:r>
              <w:rPr>
                <w:rFonts w:ascii="Times New Roman" w:hAnsi="Times New Roman" w:cs="Times New Roman"/>
                <w:b/>
                <w:sz w:val="20"/>
                <w:szCs w:val="20"/>
              </w:rPr>
              <w:t xml:space="preserve"> area</w:t>
            </w:r>
          </w:p>
        </w:tc>
        <w:tc>
          <w:tcPr>
            <w:tcW w:w="1110" w:type="dxa"/>
            <w:vAlign w:val="center"/>
          </w:tcPr>
          <w:p w14:paraId="741B311D"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1158" w:type="dxa"/>
            <w:vAlign w:val="center"/>
          </w:tcPr>
          <w:p w14:paraId="52380F55" w14:textId="77777777" w:rsidR="00CB58A1" w:rsidRDefault="00CB58A1" w:rsidP="00AF5703">
            <w:pPr>
              <w:spacing w:line="360" w:lineRule="auto"/>
              <w:jc w:val="center"/>
              <w:rPr>
                <w:rFonts w:ascii="Times New Roman" w:hAnsi="Times New Roman" w:cs="Times New Roman"/>
                <w:sz w:val="20"/>
                <w:szCs w:val="20"/>
              </w:rPr>
            </w:pPr>
            <w:r w:rsidRPr="00276447">
              <w:rPr>
                <w:rFonts w:ascii="Times New Roman" w:hAnsi="Times New Roman" w:cs="Times New Roman"/>
                <w:sz w:val="20"/>
                <w:szCs w:val="20"/>
              </w:rPr>
              <w:t>0.003</w:t>
            </w:r>
          </w:p>
        </w:tc>
        <w:tc>
          <w:tcPr>
            <w:tcW w:w="1276" w:type="dxa"/>
            <w:vAlign w:val="center"/>
          </w:tcPr>
          <w:p w14:paraId="4BB11C00"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992" w:type="dxa"/>
            <w:vAlign w:val="center"/>
          </w:tcPr>
          <w:p w14:paraId="648C09F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83" w:type="dxa"/>
            <w:vAlign w:val="center"/>
          </w:tcPr>
          <w:p w14:paraId="6B66F3A9" w14:textId="77777777" w:rsidR="00CB58A1" w:rsidRDefault="00CB58A1" w:rsidP="00AF5703">
            <w:pPr>
              <w:spacing w:line="360" w:lineRule="auto"/>
              <w:jc w:val="center"/>
              <w:rPr>
                <w:rFonts w:ascii="Times New Roman" w:hAnsi="Times New Roman" w:cs="Times New Roman"/>
                <w:sz w:val="20"/>
                <w:szCs w:val="20"/>
              </w:rPr>
            </w:pPr>
            <w:r w:rsidRPr="00276447">
              <w:rPr>
                <w:rFonts w:ascii="Times New Roman" w:hAnsi="Times New Roman" w:cs="Times New Roman"/>
                <w:sz w:val="20"/>
                <w:szCs w:val="20"/>
              </w:rPr>
              <w:t>0.061</w:t>
            </w:r>
          </w:p>
        </w:tc>
      </w:tr>
      <w:tr w:rsidR="00CB58A1" w14:paraId="1EAAC4CE" w14:textId="77777777" w:rsidTr="00AF5703">
        <w:trPr>
          <w:trHeight w:val="903"/>
        </w:trPr>
        <w:tc>
          <w:tcPr>
            <w:tcW w:w="3397" w:type="dxa"/>
            <w:tcBorders>
              <w:bottom w:val="single" w:sz="4" w:space="0" w:color="auto"/>
            </w:tcBorders>
            <w:vAlign w:val="center"/>
          </w:tcPr>
          <w:p w14:paraId="4B138BF3"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Average number of active main badger setts per km</w:t>
            </w:r>
            <w:r w:rsidRPr="00276447">
              <w:rPr>
                <w:rFonts w:ascii="Times New Roman" w:hAnsi="Times New Roman" w:cs="Times New Roman"/>
                <w:b/>
                <w:sz w:val="20"/>
                <w:szCs w:val="20"/>
                <w:vertAlign w:val="superscript"/>
              </w:rPr>
              <w:t>2</w:t>
            </w:r>
          </w:p>
        </w:tc>
        <w:tc>
          <w:tcPr>
            <w:tcW w:w="1110" w:type="dxa"/>
            <w:tcBorders>
              <w:bottom w:val="single" w:sz="4" w:space="0" w:color="auto"/>
            </w:tcBorders>
            <w:vAlign w:val="center"/>
          </w:tcPr>
          <w:p w14:paraId="47ECD98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w:t>
            </w:r>
          </w:p>
        </w:tc>
        <w:tc>
          <w:tcPr>
            <w:tcW w:w="1158" w:type="dxa"/>
            <w:tcBorders>
              <w:bottom w:val="single" w:sz="4" w:space="0" w:color="auto"/>
            </w:tcBorders>
            <w:vAlign w:val="center"/>
          </w:tcPr>
          <w:p w14:paraId="6461A0E6" w14:textId="77777777" w:rsidR="00CB58A1" w:rsidRDefault="00CB58A1" w:rsidP="00AF5703">
            <w:pPr>
              <w:spacing w:line="360" w:lineRule="auto"/>
              <w:jc w:val="center"/>
              <w:rPr>
                <w:rFonts w:ascii="Times New Roman" w:hAnsi="Times New Roman" w:cs="Times New Roman"/>
                <w:sz w:val="20"/>
                <w:szCs w:val="20"/>
              </w:rPr>
            </w:pPr>
            <w:r w:rsidRPr="00181A11">
              <w:rPr>
                <w:rFonts w:ascii="Times New Roman" w:hAnsi="Times New Roman" w:cs="Times New Roman"/>
                <w:sz w:val="20"/>
                <w:szCs w:val="20"/>
              </w:rPr>
              <w:t>2.926</w:t>
            </w:r>
          </w:p>
        </w:tc>
        <w:tc>
          <w:tcPr>
            <w:tcW w:w="1276" w:type="dxa"/>
            <w:tcBorders>
              <w:bottom w:val="single" w:sz="4" w:space="0" w:color="auto"/>
            </w:tcBorders>
            <w:vAlign w:val="center"/>
          </w:tcPr>
          <w:p w14:paraId="106692BD"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bottom w:val="single" w:sz="4" w:space="0" w:color="auto"/>
            </w:tcBorders>
            <w:vAlign w:val="center"/>
          </w:tcPr>
          <w:p w14:paraId="4A1827D0"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2.52</w:t>
            </w:r>
          </w:p>
        </w:tc>
        <w:tc>
          <w:tcPr>
            <w:tcW w:w="1083" w:type="dxa"/>
            <w:tcBorders>
              <w:bottom w:val="single" w:sz="4" w:space="0" w:color="auto"/>
            </w:tcBorders>
            <w:vAlign w:val="center"/>
          </w:tcPr>
          <w:p w14:paraId="1BBC3786" w14:textId="77777777" w:rsidR="00CB58A1" w:rsidRDefault="00CB58A1" w:rsidP="00AF5703">
            <w:pPr>
              <w:spacing w:line="360" w:lineRule="auto"/>
              <w:jc w:val="center"/>
              <w:rPr>
                <w:rFonts w:ascii="Times New Roman" w:hAnsi="Times New Roman" w:cs="Times New Roman"/>
                <w:sz w:val="20"/>
                <w:szCs w:val="20"/>
              </w:rPr>
            </w:pPr>
            <w:r w:rsidRPr="00181A11">
              <w:rPr>
                <w:rFonts w:ascii="Times New Roman" w:hAnsi="Times New Roman" w:cs="Times New Roman"/>
                <w:sz w:val="20"/>
                <w:szCs w:val="20"/>
              </w:rPr>
              <w:t>0.1</w:t>
            </w:r>
            <w:r>
              <w:rPr>
                <w:rFonts w:ascii="Times New Roman" w:hAnsi="Times New Roman" w:cs="Times New Roman"/>
                <w:sz w:val="20"/>
                <w:szCs w:val="20"/>
              </w:rPr>
              <w:t>00</w:t>
            </w:r>
          </w:p>
        </w:tc>
      </w:tr>
    </w:tbl>
    <w:p w14:paraId="184CE45C" w14:textId="77777777" w:rsidR="00CB58A1" w:rsidRDefault="00CB58A1" w:rsidP="00CB58A1"/>
    <w:p w14:paraId="58E168E0" w14:textId="77777777" w:rsidR="00CB58A1"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t>CITT = Comparative intradermal tuberculin test</w:t>
      </w:r>
    </w:p>
    <w:p w14:paraId="5A812FD7" w14:textId="77777777" w:rsidR="00CB58A1"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t>LRS = lesion at routine slaughter (where bovine tuberculosis infection is confirmed).</w:t>
      </w:r>
    </w:p>
    <w:p w14:paraId="29153C79" w14:textId="77777777" w:rsidR="00CB58A1" w:rsidRDefault="00CB58A1" w:rsidP="00CB58A1">
      <w:pPr>
        <w:spacing w:line="360" w:lineRule="auto"/>
        <w:rPr>
          <w:rFonts w:ascii="Times New Roman" w:hAnsi="Times New Roman" w:cs="Times New Roman"/>
          <w:sz w:val="20"/>
          <w:szCs w:val="20"/>
        </w:rPr>
      </w:pPr>
    </w:p>
    <w:p w14:paraId="2EBDC0FB" w14:textId="77777777" w:rsidR="00CB58A1" w:rsidRDefault="00CB58A1" w:rsidP="00CB58A1">
      <w:pPr>
        <w:spacing w:line="360" w:lineRule="auto"/>
        <w:rPr>
          <w:rFonts w:ascii="Times New Roman" w:hAnsi="Times New Roman" w:cs="Times New Roman"/>
          <w:sz w:val="20"/>
          <w:szCs w:val="20"/>
        </w:rPr>
      </w:pPr>
    </w:p>
    <w:p w14:paraId="40A11A8D" w14:textId="77777777" w:rsidR="00CB58A1" w:rsidRDefault="00CB58A1" w:rsidP="00CB58A1">
      <w:pPr>
        <w:spacing w:line="360" w:lineRule="auto"/>
        <w:rPr>
          <w:rFonts w:ascii="Times New Roman" w:hAnsi="Times New Roman" w:cs="Times New Roman"/>
          <w:sz w:val="20"/>
          <w:szCs w:val="20"/>
        </w:rPr>
      </w:pPr>
    </w:p>
    <w:p w14:paraId="7F8463FE" w14:textId="7CF9D6CA" w:rsidR="00CB58A1" w:rsidRPr="00F143BC"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Supplementary Table 3. Univariate analysis for the 11 potential explanatory variables comparing the Banbridge TVR area with the combined comparison areas Dromore, Ballynahinch and Castlewellan in the years 2011 to 2019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10"/>
        <w:gridCol w:w="1158"/>
        <w:gridCol w:w="1276"/>
        <w:gridCol w:w="992"/>
        <w:gridCol w:w="1083"/>
      </w:tblGrid>
      <w:tr w:rsidR="00CB58A1" w14:paraId="7B80B3A2" w14:textId="77777777" w:rsidTr="00AF5703">
        <w:trPr>
          <w:trHeight w:val="699"/>
        </w:trPr>
        <w:tc>
          <w:tcPr>
            <w:tcW w:w="3397" w:type="dxa"/>
            <w:vMerge w:val="restart"/>
            <w:tcBorders>
              <w:top w:val="single" w:sz="4" w:space="0" w:color="auto"/>
              <w:bottom w:val="single" w:sz="4" w:space="0" w:color="auto"/>
            </w:tcBorders>
            <w:vAlign w:val="bottom"/>
          </w:tcPr>
          <w:p w14:paraId="14FD0023" w14:textId="77777777" w:rsidR="00CB58A1" w:rsidRPr="00FF5237"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Explanatory Variable</w:t>
            </w:r>
          </w:p>
        </w:tc>
        <w:tc>
          <w:tcPr>
            <w:tcW w:w="1110" w:type="dxa"/>
            <w:vMerge w:val="restart"/>
            <w:tcBorders>
              <w:top w:val="single" w:sz="4" w:space="0" w:color="auto"/>
              <w:bottom w:val="single" w:sz="4" w:space="0" w:color="auto"/>
            </w:tcBorders>
            <w:vAlign w:val="bottom"/>
          </w:tcPr>
          <w:p w14:paraId="48FAF1BE"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IRR</w:t>
            </w:r>
          </w:p>
        </w:tc>
        <w:tc>
          <w:tcPr>
            <w:tcW w:w="1158" w:type="dxa"/>
            <w:vMerge w:val="restart"/>
            <w:tcBorders>
              <w:top w:val="single" w:sz="4" w:space="0" w:color="auto"/>
              <w:bottom w:val="single" w:sz="4" w:space="0" w:color="auto"/>
            </w:tcBorders>
            <w:vAlign w:val="bottom"/>
          </w:tcPr>
          <w:p w14:paraId="5E18D43F" w14:textId="77777777" w:rsidR="00CB58A1" w:rsidRPr="00FF5237" w:rsidRDefault="00CB58A1" w:rsidP="00AF570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Standard Error</w:t>
            </w:r>
          </w:p>
        </w:tc>
        <w:tc>
          <w:tcPr>
            <w:tcW w:w="2268" w:type="dxa"/>
            <w:gridSpan w:val="2"/>
            <w:tcBorders>
              <w:top w:val="single" w:sz="4" w:space="0" w:color="auto"/>
              <w:bottom w:val="single" w:sz="4" w:space="0" w:color="auto"/>
            </w:tcBorders>
            <w:vAlign w:val="bottom"/>
          </w:tcPr>
          <w:p w14:paraId="79936700"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95% CI for IRR</w:t>
            </w:r>
          </w:p>
        </w:tc>
        <w:tc>
          <w:tcPr>
            <w:tcW w:w="1083" w:type="dxa"/>
            <w:vMerge w:val="restart"/>
            <w:tcBorders>
              <w:top w:val="single" w:sz="4" w:space="0" w:color="auto"/>
              <w:bottom w:val="single" w:sz="4" w:space="0" w:color="auto"/>
            </w:tcBorders>
            <w:vAlign w:val="bottom"/>
          </w:tcPr>
          <w:p w14:paraId="26E35D58"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P-Value</w:t>
            </w:r>
          </w:p>
        </w:tc>
      </w:tr>
      <w:tr w:rsidR="00CB58A1" w14:paraId="50A94914" w14:textId="77777777" w:rsidTr="00AF5703">
        <w:trPr>
          <w:trHeight w:val="557"/>
        </w:trPr>
        <w:tc>
          <w:tcPr>
            <w:tcW w:w="3397" w:type="dxa"/>
            <w:vMerge/>
            <w:tcBorders>
              <w:top w:val="single" w:sz="4" w:space="0" w:color="auto"/>
              <w:bottom w:val="single" w:sz="4" w:space="0" w:color="auto"/>
            </w:tcBorders>
          </w:tcPr>
          <w:p w14:paraId="137856AC" w14:textId="77777777" w:rsidR="00CB58A1" w:rsidRDefault="00CB58A1" w:rsidP="00AF5703">
            <w:pPr>
              <w:spacing w:line="360" w:lineRule="auto"/>
              <w:rPr>
                <w:rFonts w:ascii="Times New Roman" w:hAnsi="Times New Roman" w:cs="Times New Roman"/>
                <w:sz w:val="20"/>
                <w:szCs w:val="20"/>
              </w:rPr>
            </w:pPr>
          </w:p>
        </w:tc>
        <w:tc>
          <w:tcPr>
            <w:tcW w:w="1110" w:type="dxa"/>
            <w:vMerge/>
            <w:tcBorders>
              <w:top w:val="single" w:sz="4" w:space="0" w:color="auto"/>
              <w:bottom w:val="single" w:sz="4" w:space="0" w:color="auto"/>
            </w:tcBorders>
          </w:tcPr>
          <w:p w14:paraId="0AA1D20A" w14:textId="77777777" w:rsidR="00CB58A1" w:rsidRDefault="00CB58A1" w:rsidP="00AF5703">
            <w:pPr>
              <w:spacing w:line="360" w:lineRule="auto"/>
              <w:rPr>
                <w:rFonts w:ascii="Times New Roman" w:hAnsi="Times New Roman" w:cs="Times New Roman"/>
                <w:sz w:val="20"/>
                <w:szCs w:val="20"/>
              </w:rPr>
            </w:pPr>
          </w:p>
        </w:tc>
        <w:tc>
          <w:tcPr>
            <w:tcW w:w="1158" w:type="dxa"/>
            <w:vMerge/>
            <w:tcBorders>
              <w:top w:val="single" w:sz="4" w:space="0" w:color="auto"/>
              <w:bottom w:val="single" w:sz="4" w:space="0" w:color="auto"/>
            </w:tcBorders>
          </w:tcPr>
          <w:p w14:paraId="7D037D08" w14:textId="77777777" w:rsidR="00CB58A1" w:rsidRPr="00FF5237" w:rsidRDefault="00CB58A1" w:rsidP="00AF5703">
            <w:pPr>
              <w:spacing w:line="360" w:lineRule="auto"/>
              <w:jc w:val="center"/>
              <w:rPr>
                <w:rFonts w:ascii="Times New Roman" w:hAnsi="Times New Roman" w:cs="Times New Roman"/>
                <w:b/>
                <w:sz w:val="20"/>
                <w:szCs w:val="20"/>
              </w:rPr>
            </w:pPr>
          </w:p>
        </w:tc>
        <w:tc>
          <w:tcPr>
            <w:tcW w:w="1276" w:type="dxa"/>
            <w:tcBorders>
              <w:top w:val="single" w:sz="4" w:space="0" w:color="auto"/>
              <w:bottom w:val="single" w:sz="4" w:space="0" w:color="auto"/>
            </w:tcBorders>
            <w:vAlign w:val="bottom"/>
          </w:tcPr>
          <w:p w14:paraId="09E08CFA"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Lower</w:t>
            </w:r>
          </w:p>
        </w:tc>
        <w:tc>
          <w:tcPr>
            <w:tcW w:w="992" w:type="dxa"/>
            <w:tcBorders>
              <w:top w:val="single" w:sz="4" w:space="0" w:color="auto"/>
              <w:bottom w:val="single" w:sz="4" w:space="0" w:color="auto"/>
            </w:tcBorders>
            <w:vAlign w:val="bottom"/>
          </w:tcPr>
          <w:p w14:paraId="068D0A0C" w14:textId="77777777" w:rsidR="00CB58A1" w:rsidRPr="00FF5237" w:rsidRDefault="00CB58A1" w:rsidP="00AF5703">
            <w:pPr>
              <w:spacing w:line="360" w:lineRule="auto"/>
              <w:jc w:val="center"/>
              <w:rPr>
                <w:rFonts w:ascii="Times New Roman" w:hAnsi="Times New Roman" w:cs="Times New Roman"/>
                <w:b/>
                <w:sz w:val="20"/>
                <w:szCs w:val="20"/>
              </w:rPr>
            </w:pPr>
            <w:r w:rsidRPr="00FF5237">
              <w:rPr>
                <w:rFonts w:ascii="Times New Roman" w:hAnsi="Times New Roman" w:cs="Times New Roman"/>
                <w:b/>
                <w:sz w:val="20"/>
                <w:szCs w:val="20"/>
              </w:rPr>
              <w:t>Upper</w:t>
            </w:r>
          </w:p>
        </w:tc>
        <w:tc>
          <w:tcPr>
            <w:tcW w:w="1083" w:type="dxa"/>
            <w:vMerge/>
            <w:tcBorders>
              <w:top w:val="single" w:sz="4" w:space="0" w:color="auto"/>
              <w:bottom w:val="single" w:sz="4" w:space="0" w:color="auto"/>
            </w:tcBorders>
          </w:tcPr>
          <w:p w14:paraId="6BC71CD0" w14:textId="77777777" w:rsidR="00CB58A1" w:rsidRDefault="00CB58A1" w:rsidP="00AF5703">
            <w:pPr>
              <w:spacing w:line="360" w:lineRule="auto"/>
              <w:rPr>
                <w:rFonts w:ascii="Times New Roman" w:hAnsi="Times New Roman" w:cs="Times New Roman"/>
                <w:sz w:val="20"/>
                <w:szCs w:val="20"/>
              </w:rPr>
            </w:pPr>
          </w:p>
        </w:tc>
      </w:tr>
      <w:tr w:rsidR="00CB58A1" w14:paraId="02FE37B7" w14:textId="77777777" w:rsidTr="00AF5703">
        <w:trPr>
          <w:trHeight w:val="581"/>
        </w:trPr>
        <w:tc>
          <w:tcPr>
            <w:tcW w:w="3397" w:type="dxa"/>
            <w:tcBorders>
              <w:top w:val="single" w:sz="4" w:space="0" w:color="auto"/>
            </w:tcBorders>
            <w:vAlign w:val="center"/>
          </w:tcPr>
          <w:p w14:paraId="0965654D" w14:textId="77777777" w:rsidR="00CB58A1" w:rsidRPr="00FF5237"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Area </w:t>
            </w:r>
          </w:p>
        </w:tc>
        <w:tc>
          <w:tcPr>
            <w:tcW w:w="1110" w:type="dxa"/>
            <w:tcBorders>
              <w:top w:val="single" w:sz="4" w:space="0" w:color="auto"/>
            </w:tcBorders>
            <w:vAlign w:val="center"/>
          </w:tcPr>
          <w:p w14:paraId="11EBF71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158" w:type="dxa"/>
            <w:tcBorders>
              <w:top w:val="single" w:sz="4" w:space="0" w:color="auto"/>
            </w:tcBorders>
            <w:vAlign w:val="center"/>
          </w:tcPr>
          <w:p w14:paraId="2472149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0.072</w:t>
            </w:r>
          </w:p>
        </w:tc>
        <w:tc>
          <w:tcPr>
            <w:tcW w:w="1276" w:type="dxa"/>
            <w:tcBorders>
              <w:top w:val="single" w:sz="4" w:space="0" w:color="auto"/>
            </w:tcBorders>
            <w:vAlign w:val="center"/>
          </w:tcPr>
          <w:p w14:paraId="478C3D98"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992" w:type="dxa"/>
            <w:tcBorders>
              <w:top w:val="single" w:sz="4" w:space="0" w:color="auto"/>
            </w:tcBorders>
            <w:vAlign w:val="center"/>
          </w:tcPr>
          <w:p w14:paraId="6A23C32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1083" w:type="dxa"/>
            <w:tcBorders>
              <w:top w:val="single" w:sz="4" w:space="0" w:color="auto"/>
            </w:tcBorders>
            <w:vAlign w:val="center"/>
          </w:tcPr>
          <w:p w14:paraId="7902FF0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0.011</w:t>
            </w:r>
          </w:p>
        </w:tc>
      </w:tr>
      <w:tr w:rsidR="00CB58A1" w14:paraId="55A30229" w14:textId="77777777" w:rsidTr="00AF5703">
        <w:trPr>
          <w:trHeight w:val="689"/>
        </w:trPr>
        <w:tc>
          <w:tcPr>
            <w:tcW w:w="3397" w:type="dxa"/>
            <w:vAlign w:val="center"/>
          </w:tcPr>
          <w:p w14:paraId="6DAC1350"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Year</w:t>
            </w:r>
          </w:p>
        </w:tc>
        <w:tc>
          <w:tcPr>
            <w:tcW w:w="1110" w:type="dxa"/>
            <w:vAlign w:val="center"/>
          </w:tcPr>
          <w:p w14:paraId="7D6DC7DE"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158" w:type="dxa"/>
            <w:vAlign w:val="center"/>
          </w:tcPr>
          <w:p w14:paraId="77997E77"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0.012</w:t>
            </w:r>
          </w:p>
        </w:tc>
        <w:tc>
          <w:tcPr>
            <w:tcW w:w="1276" w:type="dxa"/>
            <w:vAlign w:val="center"/>
          </w:tcPr>
          <w:p w14:paraId="56958DF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992" w:type="dxa"/>
            <w:vAlign w:val="center"/>
          </w:tcPr>
          <w:p w14:paraId="42735A5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083" w:type="dxa"/>
            <w:vAlign w:val="center"/>
          </w:tcPr>
          <w:p w14:paraId="5E5DF593" w14:textId="77777777" w:rsidR="00CB58A1" w:rsidRDefault="00CB58A1" w:rsidP="00AF5703">
            <w:pPr>
              <w:spacing w:line="360" w:lineRule="auto"/>
              <w:jc w:val="center"/>
              <w:rPr>
                <w:rFonts w:ascii="Times New Roman" w:hAnsi="Times New Roman" w:cs="Times New Roman"/>
                <w:sz w:val="20"/>
                <w:szCs w:val="20"/>
              </w:rPr>
            </w:pPr>
            <w:r w:rsidRPr="00181A11">
              <w:rPr>
                <w:rFonts w:ascii="Times New Roman" w:hAnsi="Times New Roman" w:cs="Times New Roman"/>
                <w:sz w:val="20"/>
                <w:szCs w:val="20"/>
              </w:rPr>
              <w:t>0.</w:t>
            </w:r>
            <w:r>
              <w:rPr>
                <w:rFonts w:ascii="Times New Roman" w:hAnsi="Times New Roman" w:cs="Times New Roman"/>
                <w:sz w:val="20"/>
                <w:szCs w:val="20"/>
              </w:rPr>
              <w:t>158</w:t>
            </w:r>
          </w:p>
        </w:tc>
      </w:tr>
      <w:tr w:rsidR="00CB58A1" w14:paraId="19339FBD" w14:textId="77777777" w:rsidTr="00AF5703">
        <w:trPr>
          <w:trHeight w:val="698"/>
        </w:trPr>
        <w:tc>
          <w:tcPr>
            <w:tcW w:w="3397" w:type="dxa"/>
            <w:vAlign w:val="center"/>
          </w:tcPr>
          <w:p w14:paraId="6996BF1A"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Number of farm businesses/herds</w:t>
            </w:r>
          </w:p>
        </w:tc>
        <w:tc>
          <w:tcPr>
            <w:tcW w:w="1110" w:type="dxa"/>
            <w:vAlign w:val="center"/>
          </w:tcPr>
          <w:p w14:paraId="572E2AF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1158" w:type="dxa"/>
            <w:vAlign w:val="center"/>
          </w:tcPr>
          <w:p w14:paraId="21338D3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0.002</w:t>
            </w:r>
          </w:p>
        </w:tc>
        <w:tc>
          <w:tcPr>
            <w:tcW w:w="1276" w:type="dxa"/>
            <w:vAlign w:val="center"/>
          </w:tcPr>
          <w:p w14:paraId="51BC588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992" w:type="dxa"/>
            <w:vAlign w:val="center"/>
          </w:tcPr>
          <w:p w14:paraId="419C468C"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83" w:type="dxa"/>
            <w:vAlign w:val="center"/>
          </w:tcPr>
          <w:p w14:paraId="234B421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17876466" w14:textId="77777777" w:rsidTr="00AF5703">
        <w:trPr>
          <w:trHeight w:val="694"/>
        </w:trPr>
        <w:tc>
          <w:tcPr>
            <w:tcW w:w="3397" w:type="dxa"/>
            <w:vAlign w:val="center"/>
          </w:tcPr>
          <w:p w14:paraId="6C83C34A"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Total CITT herd tests</w:t>
            </w:r>
          </w:p>
        </w:tc>
        <w:tc>
          <w:tcPr>
            <w:tcW w:w="1110" w:type="dxa"/>
            <w:vAlign w:val="center"/>
          </w:tcPr>
          <w:p w14:paraId="15E7DF7A"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58" w:type="dxa"/>
            <w:vAlign w:val="center"/>
          </w:tcPr>
          <w:p w14:paraId="7B750CE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276" w:type="dxa"/>
            <w:vAlign w:val="center"/>
          </w:tcPr>
          <w:p w14:paraId="547C1178"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14:paraId="36B6FAA4"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83" w:type="dxa"/>
            <w:vAlign w:val="center"/>
          </w:tcPr>
          <w:p w14:paraId="24BA3B73"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22A65B6F" w14:textId="77777777" w:rsidTr="00AF5703">
        <w:trPr>
          <w:trHeight w:val="903"/>
        </w:trPr>
        <w:tc>
          <w:tcPr>
            <w:tcW w:w="3397" w:type="dxa"/>
            <w:vAlign w:val="center"/>
          </w:tcPr>
          <w:p w14:paraId="40236AAE"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Total number of CITT reactors &amp; confirmed LRS animals (per 50 animals)</w:t>
            </w:r>
          </w:p>
        </w:tc>
        <w:tc>
          <w:tcPr>
            <w:tcW w:w="1110" w:type="dxa"/>
            <w:vAlign w:val="center"/>
          </w:tcPr>
          <w:p w14:paraId="29C075F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158" w:type="dxa"/>
            <w:vAlign w:val="center"/>
          </w:tcPr>
          <w:p w14:paraId="57798B7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1276" w:type="dxa"/>
            <w:vAlign w:val="center"/>
          </w:tcPr>
          <w:p w14:paraId="6CE9650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1.06</w:t>
            </w:r>
          </w:p>
        </w:tc>
        <w:tc>
          <w:tcPr>
            <w:tcW w:w="992" w:type="dxa"/>
            <w:vAlign w:val="center"/>
          </w:tcPr>
          <w:p w14:paraId="50D5618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083" w:type="dxa"/>
            <w:vAlign w:val="center"/>
          </w:tcPr>
          <w:p w14:paraId="250A9943"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7B3AF9A3" w14:textId="77777777" w:rsidTr="00AF5703">
        <w:trPr>
          <w:trHeight w:val="648"/>
        </w:trPr>
        <w:tc>
          <w:tcPr>
            <w:tcW w:w="3397" w:type="dxa"/>
            <w:vAlign w:val="center"/>
          </w:tcPr>
          <w:p w14:paraId="630E7EB9"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Median herd size</w:t>
            </w:r>
          </w:p>
        </w:tc>
        <w:tc>
          <w:tcPr>
            <w:tcW w:w="1110" w:type="dxa"/>
            <w:vAlign w:val="center"/>
          </w:tcPr>
          <w:p w14:paraId="3E207166"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158" w:type="dxa"/>
            <w:vAlign w:val="center"/>
          </w:tcPr>
          <w:p w14:paraId="7DAB28F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276" w:type="dxa"/>
            <w:vAlign w:val="center"/>
          </w:tcPr>
          <w:p w14:paraId="2A50C1C3"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992" w:type="dxa"/>
            <w:vAlign w:val="center"/>
          </w:tcPr>
          <w:p w14:paraId="77262AE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1083" w:type="dxa"/>
            <w:vAlign w:val="center"/>
          </w:tcPr>
          <w:p w14:paraId="0E48002A" w14:textId="77777777" w:rsidR="00CB58A1" w:rsidRDefault="00CB58A1" w:rsidP="00AF5703">
            <w:pPr>
              <w:spacing w:line="360" w:lineRule="auto"/>
              <w:jc w:val="center"/>
              <w:rPr>
                <w:rFonts w:ascii="Times New Roman" w:hAnsi="Times New Roman" w:cs="Times New Roman"/>
                <w:sz w:val="20"/>
                <w:szCs w:val="20"/>
              </w:rPr>
            </w:pPr>
            <w:r w:rsidRPr="00A63256">
              <w:rPr>
                <w:rFonts w:ascii="Times New Roman" w:hAnsi="Times New Roman" w:cs="Times New Roman"/>
                <w:sz w:val="20"/>
                <w:szCs w:val="20"/>
              </w:rPr>
              <w:t>0.0</w:t>
            </w:r>
            <w:r>
              <w:rPr>
                <w:rFonts w:ascii="Times New Roman" w:hAnsi="Times New Roman" w:cs="Times New Roman"/>
                <w:sz w:val="20"/>
                <w:szCs w:val="20"/>
              </w:rPr>
              <w:t>02</w:t>
            </w:r>
          </w:p>
        </w:tc>
      </w:tr>
      <w:tr w:rsidR="00CB58A1" w14:paraId="4505ADF2" w14:textId="77777777" w:rsidTr="00AF5703">
        <w:trPr>
          <w:trHeight w:val="936"/>
        </w:trPr>
        <w:tc>
          <w:tcPr>
            <w:tcW w:w="3397" w:type="dxa"/>
            <w:vAlign w:val="center"/>
          </w:tcPr>
          <w:p w14:paraId="2087CCC4"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herds that were registered as dairy herds</w:t>
            </w:r>
          </w:p>
        </w:tc>
        <w:tc>
          <w:tcPr>
            <w:tcW w:w="1110" w:type="dxa"/>
            <w:vAlign w:val="center"/>
          </w:tcPr>
          <w:p w14:paraId="14C73A1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158" w:type="dxa"/>
            <w:vAlign w:val="center"/>
          </w:tcPr>
          <w:p w14:paraId="3A0B873A"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0.0</w:t>
            </w:r>
            <w:r>
              <w:rPr>
                <w:rFonts w:ascii="Times New Roman" w:hAnsi="Times New Roman" w:cs="Times New Roman"/>
                <w:sz w:val="20"/>
                <w:szCs w:val="20"/>
              </w:rPr>
              <w:t>05</w:t>
            </w:r>
          </w:p>
        </w:tc>
        <w:tc>
          <w:tcPr>
            <w:tcW w:w="1276" w:type="dxa"/>
            <w:vAlign w:val="center"/>
          </w:tcPr>
          <w:p w14:paraId="674F88DF"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14:paraId="7142B3D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083" w:type="dxa"/>
            <w:vAlign w:val="center"/>
          </w:tcPr>
          <w:p w14:paraId="26F94CD7"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w:t>
            </w:r>
            <w:r>
              <w:rPr>
                <w:rFonts w:ascii="Times New Roman" w:hAnsi="Times New Roman" w:cs="Times New Roman"/>
                <w:sz w:val="20"/>
                <w:szCs w:val="20"/>
              </w:rPr>
              <w:t>157</w:t>
            </w:r>
          </w:p>
        </w:tc>
      </w:tr>
      <w:tr w:rsidR="00CB58A1" w14:paraId="7F152041" w14:textId="77777777" w:rsidTr="00AF5703">
        <w:trPr>
          <w:trHeight w:val="903"/>
        </w:trPr>
        <w:tc>
          <w:tcPr>
            <w:tcW w:w="3397" w:type="dxa"/>
            <w:vAlign w:val="center"/>
          </w:tcPr>
          <w:p w14:paraId="05EEEE97"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 herds with a confirmed </w:t>
            </w:r>
            <w:proofErr w:type="spellStart"/>
            <w:r>
              <w:rPr>
                <w:rFonts w:ascii="Times New Roman" w:hAnsi="Times New Roman" w:cs="Times New Roman"/>
                <w:b/>
                <w:sz w:val="20"/>
                <w:szCs w:val="20"/>
              </w:rPr>
              <w:t>bTB</w:t>
            </w:r>
            <w:proofErr w:type="spellEnd"/>
            <w:r>
              <w:rPr>
                <w:rFonts w:ascii="Times New Roman" w:hAnsi="Times New Roman" w:cs="Times New Roman"/>
                <w:b/>
                <w:sz w:val="20"/>
                <w:szCs w:val="20"/>
              </w:rPr>
              <w:t xml:space="preserve"> herd breakdown in the previous 2 years</w:t>
            </w:r>
          </w:p>
        </w:tc>
        <w:tc>
          <w:tcPr>
            <w:tcW w:w="1110" w:type="dxa"/>
            <w:vAlign w:val="center"/>
          </w:tcPr>
          <w:p w14:paraId="3A43C9E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158" w:type="dxa"/>
            <w:vAlign w:val="center"/>
          </w:tcPr>
          <w:p w14:paraId="55A4B153" w14:textId="77777777" w:rsidR="00CB58A1" w:rsidRDefault="00CB58A1" w:rsidP="00AF5703">
            <w:pPr>
              <w:spacing w:line="360" w:lineRule="auto"/>
              <w:jc w:val="center"/>
              <w:rPr>
                <w:rFonts w:ascii="Times New Roman" w:hAnsi="Times New Roman" w:cs="Times New Roman"/>
                <w:sz w:val="20"/>
                <w:szCs w:val="20"/>
              </w:rPr>
            </w:pPr>
            <w:r w:rsidRPr="003C6FC6">
              <w:rPr>
                <w:rFonts w:ascii="Times New Roman" w:hAnsi="Times New Roman" w:cs="Times New Roman"/>
                <w:sz w:val="20"/>
                <w:szCs w:val="20"/>
              </w:rPr>
              <w:t>0.0</w:t>
            </w:r>
            <w:r>
              <w:rPr>
                <w:rFonts w:ascii="Times New Roman" w:hAnsi="Times New Roman" w:cs="Times New Roman"/>
                <w:sz w:val="20"/>
                <w:szCs w:val="20"/>
              </w:rPr>
              <w:t>11</w:t>
            </w:r>
          </w:p>
        </w:tc>
        <w:tc>
          <w:tcPr>
            <w:tcW w:w="1276" w:type="dxa"/>
            <w:vAlign w:val="center"/>
          </w:tcPr>
          <w:p w14:paraId="2A33AF45"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1.07</w:t>
            </w:r>
          </w:p>
        </w:tc>
        <w:tc>
          <w:tcPr>
            <w:tcW w:w="992" w:type="dxa"/>
            <w:vAlign w:val="center"/>
          </w:tcPr>
          <w:p w14:paraId="1BD7B60C"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1083" w:type="dxa"/>
            <w:vAlign w:val="center"/>
          </w:tcPr>
          <w:p w14:paraId="3D6FA4E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&lt;0.001</w:t>
            </w:r>
          </w:p>
        </w:tc>
      </w:tr>
      <w:tr w:rsidR="00CB58A1" w14:paraId="42523BEA" w14:textId="77777777" w:rsidTr="00AF5703">
        <w:trPr>
          <w:trHeight w:val="903"/>
        </w:trPr>
        <w:tc>
          <w:tcPr>
            <w:tcW w:w="3397" w:type="dxa"/>
            <w:vAlign w:val="center"/>
          </w:tcPr>
          <w:p w14:paraId="6883599E"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herds that had purchased cattle during the previous years</w:t>
            </w:r>
          </w:p>
        </w:tc>
        <w:tc>
          <w:tcPr>
            <w:tcW w:w="1110" w:type="dxa"/>
            <w:vAlign w:val="center"/>
          </w:tcPr>
          <w:p w14:paraId="1211F3EB"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0.99</w:t>
            </w:r>
          </w:p>
        </w:tc>
        <w:tc>
          <w:tcPr>
            <w:tcW w:w="1158" w:type="dxa"/>
            <w:vAlign w:val="center"/>
          </w:tcPr>
          <w:p w14:paraId="55C738F7" w14:textId="77777777" w:rsidR="00CB58A1" w:rsidRDefault="00CB58A1" w:rsidP="00AF5703">
            <w:pPr>
              <w:spacing w:line="360" w:lineRule="auto"/>
              <w:jc w:val="center"/>
              <w:rPr>
                <w:rFonts w:ascii="Times New Roman" w:hAnsi="Times New Roman" w:cs="Times New Roman"/>
                <w:sz w:val="20"/>
                <w:szCs w:val="20"/>
              </w:rPr>
            </w:pPr>
            <w:r w:rsidRPr="00651853">
              <w:rPr>
                <w:rFonts w:ascii="Times New Roman" w:hAnsi="Times New Roman" w:cs="Times New Roman"/>
                <w:sz w:val="20"/>
                <w:szCs w:val="20"/>
              </w:rPr>
              <w:t>0.0</w:t>
            </w:r>
            <w:r>
              <w:rPr>
                <w:rFonts w:ascii="Times New Roman" w:hAnsi="Times New Roman" w:cs="Times New Roman"/>
                <w:sz w:val="20"/>
                <w:szCs w:val="20"/>
              </w:rPr>
              <w:t>07</w:t>
            </w:r>
          </w:p>
        </w:tc>
        <w:tc>
          <w:tcPr>
            <w:tcW w:w="1276" w:type="dxa"/>
            <w:vAlign w:val="center"/>
          </w:tcPr>
          <w:p w14:paraId="56E13738"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0.98</w:t>
            </w:r>
          </w:p>
        </w:tc>
        <w:tc>
          <w:tcPr>
            <w:tcW w:w="992" w:type="dxa"/>
            <w:vAlign w:val="center"/>
          </w:tcPr>
          <w:p w14:paraId="191030DE"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1083" w:type="dxa"/>
            <w:vAlign w:val="center"/>
          </w:tcPr>
          <w:p w14:paraId="1D2F801B" w14:textId="77777777" w:rsidR="00CB58A1" w:rsidRDefault="00CB58A1" w:rsidP="00AF5703">
            <w:pPr>
              <w:spacing w:line="360" w:lineRule="auto"/>
              <w:jc w:val="center"/>
              <w:rPr>
                <w:rFonts w:ascii="Times New Roman" w:hAnsi="Times New Roman" w:cs="Times New Roman"/>
                <w:sz w:val="20"/>
                <w:szCs w:val="20"/>
              </w:rPr>
            </w:pPr>
            <w:r w:rsidRPr="00651853">
              <w:rPr>
                <w:rFonts w:ascii="Times New Roman" w:hAnsi="Times New Roman" w:cs="Times New Roman"/>
                <w:sz w:val="20"/>
                <w:szCs w:val="20"/>
              </w:rPr>
              <w:t>0.</w:t>
            </w:r>
            <w:r>
              <w:rPr>
                <w:rFonts w:ascii="Times New Roman" w:hAnsi="Times New Roman" w:cs="Times New Roman"/>
                <w:sz w:val="20"/>
                <w:szCs w:val="20"/>
              </w:rPr>
              <w:t>243</w:t>
            </w:r>
          </w:p>
        </w:tc>
      </w:tr>
      <w:tr w:rsidR="00CB58A1" w14:paraId="4FF57FDB" w14:textId="77777777" w:rsidTr="00AF5703">
        <w:trPr>
          <w:trHeight w:val="903"/>
        </w:trPr>
        <w:tc>
          <w:tcPr>
            <w:tcW w:w="3397" w:type="dxa"/>
            <w:vAlign w:val="center"/>
          </w:tcPr>
          <w:p w14:paraId="67D14B02"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 farms/herds with all their land within their associated 100km</w:t>
            </w:r>
            <w:r w:rsidRPr="00276447">
              <w:rPr>
                <w:rFonts w:ascii="Times New Roman" w:hAnsi="Times New Roman" w:cs="Times New Roman"/>
                <w:b/>
                <w:sz w:val="20"/>
                <w:szCs w:val="20"/>
                <w:vertAlign w:val="superscript"/>
              </w:rPr>
              <w:t>2</w:t>
            </w:r>
            <w:r>
              <w:rPr>
                <w:rFonts w:ascii="Times New Roman" w:hAnsi="Times New Roman" w:cs="Times New Roman"/>
                <w:b/>
                <w:sz w:val="20"/>
                <w:szCs w:val="20"/>
              </w:rPr>
              <w:t xml:space="preserve"> area</w:t>
            </w:r>
          </w:p>
        </w:tc>
        <w:tc>
          <w:tcPr>
            <w:tcW w:w="1110" w:type="dxa"/>
            <w:vAlign w:val="center"/>
          </w:tcPr>
          <w:p w14:paraId="6337851C"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1158" w:type="dxa"/>
            <w:vAlign w:val="center"/>
          </w:tcPr>
          <w:p w14:paraId="63FA66E6" w14:textId="77777777" w:rsidR="00CB58A1" w:rsidRDefault="00CB58A1" w:rsidP="00AF5703">
            <w:pPr>
              <w:spacing w:line="360" w:lineRule="auto"/>
              <w:jc w:val="center"/>
              <w:rPr>
                <w:rFonts w:ascii="Times New Roman" w:hAnsi="Times New Roman" w:cs="Times New Roman"/>
                <w:sz w:val="20"/>
                <w:szCs w:val="20"/>
              </w:rPr>
            </w:pPr>
            <w:r w:rsidRPr="00276447">
              <w:rPr>
                <w:rFonts w:ascii="Times New Roman" w:hAnsi="Times New Roman" w:cs="Times New Roman"/>
                <w:sz w:val="20"/>
                <w:szCs w:val="20"/>
              </w:rPr>
              <w:t>0.00</w:t>
            </w:r>
            <w:r>
              <w:rPr>
                <w:rFonts w:ascii="Times New Roman" w:hAnsi="Times New Roman" w:cs="Times New Roman"/>
                <w:sz w:val="20"/>
                <w:szCs w:val="20"/>
              </w:rPr>
              <w:t>9</w:t>
            </w:r>
          </w:p>
        </w:tc>
        <w:tc>
          <w:tcPr>
            <w:tcW w:w="1276" w:type="dxa"/>
            <w:vAlign w:val="center"/>
          </w:tcPr>
          <w:p w14:paraId="184A7CB2"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vAlign w:val="center"/>
          </w:tcPr>
          <w:p w14:paraId="7C9E64CB"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083" w:type="dxa"/>
            <w:vAlign w:val="center"/>
          </w:tcPr>
          <w:p w14:paraId="638DBF6C" w14:textId="77777777" w:rsidR="00CB58A1" w:rsidRDefault="00CB58A1" w:rsidP="00AF5703">
            <w:pPr>
              <w:spacing w:line="360" w:lineRule="auto"/>
              <w:jc w:val="center"/>
              <w:rPr>
                <w:rFonts w:ascii="Times New Roman" w:hAnsi="Times New Roman" w:cs="Times New Roman"/>
                <w:sz w:val="20"/>
                <w:szCs w:val="20"/>
              </w:rPr>
            </w:pPr>
            <w:r w:rsidRPr="00276447">
              <w:rPr>
                <w:rFonts w:ascii="Times New Roman" w:hAnsi="Times New Roman" w:cs="Times New Roman"/>
                <w:sz w:val="20"/>
                <w:szCs w:val="20"/>
              </w:rPr>
              <w:t>0.0</w:t>
            </w:r>
            <w:r>
              <w:rPr>
                <w:rFonts w:ascii="Times New Roman" w:hAnsi="Times New Roman" w:cs="Times New Roman"/>
                <w:sz w:val="20"/>
                <w:szCs w:val="20"/>
              </w:rPr>
              <w:t>16</w:t>
            </w:r>
          </w:p>
        </w:tc>
      </w:tr>
      <w:tr w:rsidR="00CB58A1" w14:paraId="23CE07E1" w14:textId="77777777" w:rsidTr="00AF5703">
        <w:trPr>
          <w:trHeight w:val="903"/>
        </w:trPr>
        <w:tc>
          <w:tcPr>
            <w:tcW w:w="3397" w:type="dxa"/>
            <w:tcBorders>
              <w:bottom w:val="single" w:sz="4" w:space="0" w:color="auto"/>
            </w:tcBorders>
            <w:vAlign w:val="center"/>
          </w:tcPr>
          <w:p w14:paraId="1836C46F" w14:textId="77777777" w:rsidR="00CB58A1" w:rsidRDefault="00CB58A1" w:rsidP="00AF5703">
            <w:pPr>
              <w:spacing w:line="360" w:lineRule="auto"/>
              <w:rPr>
                <w:rFonts w:ascii="Times New Roman" w:hAnsi="Times New Roman" w:cs="Times New Roman"/>
                <w:b/>
                <w:sz w:val="20"/>
                <w:szCs w:val="20"/>
              </w:rPr>
            </w:pPr>
            <w:r>
              <w:rPr>
                <w:rFonts w:ascii="Times New Roman" w:hAnsi="Times New Roman" w:cs="Times New Roman"/>
                <w:b/>
                <w:sz w:val="20"/>
                <w:szCs w:val="20"/>
              </w:rPr>
              <w:t>Average number of active main badger setts per km</w:t>
            </w:r>
            <w:r w:rsidRPr="00276447">
              <w:rPr>
                <w:rFonts w:ascii="Times New Roman" w:hAnsi="Times New Roman" w:cs="Times New Roman"/>
                <w:b/>
                <w:sz w:val="20"/>
                <w:szCs w:val="20"/>
                <w:vertAlign w:val="superscript"/>
              </w:rPr>
              <w:t>2</w:t>
            </w:r>
          </w:p>
        </w:tc>
        <w:tc>
          <w:tcPr>
            <w:tcW w:w="1110" w:type="dxa"/>
            <w:tcBorders>
              <w:bottom w:val="single" w:sz="4" w:space="0" w:color="auto"/>
            </w:tcBorders>
            <w:vAlign w:val="center"/>
          </w:tcPr>
          <w:p w14:paraId="081AA1EE"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1158" w:type="dxa"/>
            <w:tcBorders>
              <w:bottom w:val="single" w:sz="4" w:space="0" w:color="auto"/>
            </w:tcBorders>
            <w:vAlign w:val="center"/>
          </w:tcPr>
          <w:p w14:paraId="00C2E581"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0.487</w:t>
            </w:r>
          </w:p>
        </w:tc>
        <w:tc>
          <w:tcPr>
            <w:tcW w:w="1276" w:type="dxa"/>
            <w:tcBorders>
              <w:bottom w:val="single" w:sz="4" w:space="0" w:color="auto"/>
            </w:tcBorders>
            <w:vAlign w:val="center"/>
          </w:tcPr>
          <w:p w14:paraId="4FEB48A0"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0.53</w:t>
            </w:r>
          </w:p>
        </w:tc>
        <w:tc>
          <w:tcPr>
            <w:tcW w:w="992" w:type="dxa"/>
            <w:tcBorders>
              <w:bottom w:val="single" w:sz="4" w:space="0" w:color="auto"/>
            </w:tcBorders>
            <w:vAlign w:val="center"/>
          </w:tcPr>
          <w:p w14:paraId="104DF5E6" w14:textId="77777777" w:rsidR="00CB58A1" w:rsidRDefault="00CB58A1" w:rsidP="00AF5703">
            <w:pPr>
              <w:spacing w:line="360" w:lineRule="auto"/>
              <w:jc w:val="center"/>
              <w:rPr>
                <w:rFonts w:ascii="Times New Roman" w:hAnsi="Times New Roman" w:cs="Times New Roman"/>
                <w:sz w:val="20"/>
                <w:szCs w:val="20"/>
              </w:rPr>
            </w:pPr>
            <w:r>
              <w:rPr>
                <w:rFonts w:ascii="Times New Roman" w:hAnsi="Times New Roman" w:cs="Times New Roman"/>
                <w:sz w:val="20"/>
                <w:szCs w:val="20"/>
              </w:rPr>
              <w:t>3.54</w:t>
            </w:r>
          </w:p>
        </w:tc>
        <w:tc>
          <w:tcPr>
            <w:tcW w:w="1083" w:type="dxa"/>
            <w:tcBorders>
              <w:bottom w:val="single" w:sz="4" w:space="0" w:color="auto"/>
            </w:tcBorders>
            <w:vAlign w:val="center"/>
          </w:tcPr>
          <w:p w14:paraId="19DF3A58" w14:textId="77777777" w:rsidR="00CB58A1" w:rsidRDefault="00CB58A1" w:rsidP="00AF5703">
            <w:pPr>
              <w:spacing w:line="360" w:lineRule="auto"/>
              <w:jc w:val="center"/>
              <w:rPr>
                <w:rFonts w:ascii="Times New Roman" w:hAnsi="Times New Roman" w:cs="Times New Roman"/>
                <w:sz w:val="20"/>
                <w:szCs w:val="20"/>
              </w:rPr>
            </w:pPr>
            <w:r w:rsidRPr="00181A11">
              <w:rPr>
                <w:rFonts w:ascii="Times New Roman" w:hAnsi="Times New Roman" w:cs="Times New Roman"/>
                <w:sz w:val="20"/>
                <w:szCs w:val="20"/>
              </w:rPr>
              <w:t>0.</w:t>
            </w:r>
            <w:r>
              <w:rPr>
                <w:rFonts w:ascii="Times New Roman" w:hAnsi="Times New Roman" w:cs="Times New Roman"/>
                <w:sz w:val="20"/>
                <w:szCs w:val="20"/>
              </w:rPr>
              <w:t>523</w:t>
            </w:r>
          </w:p>
        </w:tc>
      </w:tr>
    </w:tbl>
    <w:p w14:paraId="32110846" w14:textId="77777777" w:rsidR="00CB58A1" w:rsidRDefault="00CB58A1" w:rsidP="00CB58A1"/>
    <w:p w14:paraId="52772E7C" w14:textId="77777777" w:rsidR="00CB58A1"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t>CITT = Comparative intradermal tuberculin test</w:t>
      </w:r>
    </w:p>
    <w:p w14:paraId="413F28B5" w14:textId="77777777" w:rsidR="00CB58A1" w:rsidRDefault="00CB58A1" w:rsidP="00CB58A1">
      <w:pPr>
        <w:spacing w:line="360" w:lineRule="auto"/>
        <w:rPr>
          <w:rFonts w:ascii="Times New Roman" w:hAnsi="Times New Roman" w:cs="Times New Roman"/>
          <w:sz w:val="20"/>
          <w:szCs w:val="20"/>
        </w:rPr>
      </w:pPr>
      <w:r>
        <w:rPr>
          <w:rFonts w:ascii="Times New Roman" w:hAnsi="Times New Roman" w:cs="Times New Roman"/>
          <w:sz w:val="20"/>
          <w:szCs w:val="20"/>
        </w:rPr>
        <w:t>LRS = lesion at routine slaughter (where bovine tuberculosis infection is confirmed).</w:t>
      </w:r>
    </w:p>
    <w:p w14:paraId="7682E612" w14:textId="77777777" w:rsidR="00CB58A1" w:rsidRDefault="00CB58A1" w:rsidP="000D4C2A">
      <w:pPr>
        <w:autoSpaceDE w:val="0"/>
        <w:autoSpaceDN w:val="0"/>
        <w:adjustRightInd w:val="0"/>
        <w:spacing w:after="0" w:line="240" w:lineRule="auto"/>
        <w:rPr>
          <w:rFonts w:ascii="Times New Roman" w:hAnsi="Times New Roman" w:cs="Times New Roman"/>
          <w:sz w:val="20"/>
          <w:szCs w:val="20"/>
        </w:rPr>
        <w:sectPr w:rsidR="00CB58A1" w:rsidSect="00CB58A1">
          <w:pgSz w:w="11906" w:h="16838"/>
          <w:pgMar w:top="1440" w:right="1440" w:bottom="1440" w:left="1440" w:header="709" w:footer="709" w:gutter="0"/>
          <w:cols w:space="708"/>
          <w:docGrid w:linePitch="360"/>
        </w:sectPr>
      </w:pPr>
    </w:p>
    <w:p w14:paraId="4858174E" w14:textId="77777777" w:rsidR="00CB58A1" w:rsidRDefault="00CB58A1" w:rsidP="000D4C2A">
      <w:pPr>
        <w:autoSpaceDE w:val="0"/>
        <w:autoSpaceDN w:val="0"/>
        <w:adjustRightInd w:val="0"/>
        <w:spacing w:after="0" w:line="240" w:lineRule="auto"/>
        <w:rPr>
          <w:rFonts w:ascii="Times New Roman" w:hAnsi="Times New Roman" w:cs="Times New Roman"/>
          <w:sz w:val="20"/>
          <w:szCs w:val="20"/>
        </w:rPr>
      </w:pPr>
    </w:p>
    <w:p w14:paraId="4EB7A73C" w14:textId="16C13F78" w:rsidR="000D4C2A" w:rsidRPr="00CB58A1" w:rsidRDefault="000D4C2A" w:rsidP="000D4C2A">
      <w:pPr>
        <w:autoSpaceDE w:val="0"/>
        <w:autoSpaceDN w:val="0"/>
        <w:adjustRightInd w:val="0"/>
        <w:spacing w:after="0" w:line="240" w:lineRule="auto"/>
        <w:rPr>
          <w:rFonts w:ascii="Times New Roman" w:hAnsi="Times New Roman" w:cs="Times New Roman"/>
          <w:sz w:val="20"/>
          <w:szCs w:val="20"/>
        </w:rPr>
      </w:pPr>
      <w:r w:rsidRPr="00E56D68">
        <w:rPr>
          <w:rFonts w:ascii="Times New Roman" w:hAnsi="Times New Roman" w:cs="Times New Roman"/>
          <w:sz w:val="20"/>
          <w:szCs w:val="20"/>
        </w:rPr>
        <w:t>Supplementary</w:t>
      </w:r>
      <w:r w:rsidR="0086210F">
        <w:rPr>
          <w:rFonts w:ascii="Times New Roman" w:hAnsi="Times New Roman" w:cs="Times New Roman"/>
          <w:sz w:val="20"/>
          <w:szCs w:val="20"/>
        </w:rPr>
        <w:t xml:space="preserve"> Figure</w:t>
      </w:r>
      <w:r w:rsidRPr="00E56D68">
        <w:rPr>
          <w:rFonts w:ascii="Times New Roman" w:hAnsi="Times New Roman" w:cs="Times New Roman"/>
          <w:sz w:val="20"/>
          <w:szCs w:val="20"/>
        </w:rPr>
        <w:t xml:space="preserve"> 1: Percentage incidence of newly applied and removed confirmed restrictions along with percentage of confirmed restriction which span the entire calendar year for each of the years 2011 to 2019 inclusive</w:t>
      </w:r>
      <w:r w:rsidR="00E56D68" w:rsidRPr="00E56D68">
        <w:rPr>
          <w:rFonts w:ascii="Times New Roman" w:hAnsi="Times New Roman" w:cs="Times New Roman"/>
          <w:sz w:val="20"/>
          <w:szCs w:val="20"/>
        </w:rPr>
        <w:t>. (BB-Banbridge, BH-Ballynahinch, CW-Castlewellan, DR-Dromore)</w:t>
      </w:r>
      <w:r w:rsidRPr="00E56D68">
        <w:rPr>
          <w:rFonts w:ascii="Times New Roman" w:hAnsi="Times New Roman" w:cs="Times New Roman"/>
          <w:sz w:val="20"/>
          <w:szCs w:val="20"/>
        </w:rPr>
        <w:t>.</w:t>
      </w:r>
    </w:p>
    <w:p w14:paraId="76978B2D" w14:textId="77777777" w:rsidR="000D4C2A" w:rsidRDefault="000D4C2A" w:rsidP="000D4C2A">
      <w:pPr>
        <w:autoSpaceDE w:val="0"/>
        <w:autoSpaceDN w:val="0"/>
        <w:adjustRightInd w:val="0"/>
        <w:spacing w:after="0" w:line="240" w:lineRule="auto"/>
        <w:rPr>
          <w:rFonts w:ascii="Calibri" w:hAnsi="Calibri" w:cs="Calibri"/>
          <w:sz w:val="24"/>
          <w:szCs w:val="24"/>
        </w:rPr>
      </w:pPr>
      <w:r>
        <w:rPr>
          <w:noProof/>
        </w:rPr>
        <w:drawing>
          <wp:inline distT="0" distB="0" distL="0" distR="0" wp14:anchorId="56E3653D" wp14:editId="6CAFCBC5">
            <wp:extent cx="9098280" cy="5207000"/>
            <wp:effectExtent l="0" t="0" r="7620" b="0"/>
            <wp:docPr id="67834227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342271" name="Picture 1" descr="Graphical user interface, application&#10;&#10;Description automatically generated"/>
                    <pic:cNvPicPr/>
                  </pic:nvPicPr>
                  <pic:blipFill rotWithShape="1">
                    <a:blip r:embed="rId5"/>
                    <a:srcRect l="50079" t="3057" b="4738"/>
                    <a:stretch/>
                  </pic:blipFill>
                  <pic:spPr bwMode="auto">
                    <a:xfrm>
                      <a:off x="0" y="0"/>
                      <a:ext cx="9130630" cy="5225514"/>
                    </a:xfrm>
                    <a:prstGeom prst="rect">
                      <a:avLst/>
                    </a:prstGeom>
                    <a:ln>
                      <a:noFill/>
                    </a:ln>
                    <a:extLst>
                      <a:ext uri="{53640926-AAD7-44D8-BBD7-CCE9431645EC}">
                        <a14:shadowObscured xmlns:a14="http://schemas.microsoft.com/office/drawing/2010/main"/>
                      </a:ext>
                    </a:extLst>
                  </pic:spPr>
                </pic:pic>
              </a:graphicData>
            </a:graphic>
          </wp:inline>
        </w:drawing>
      </w:r>
    </w:p>
    <w:p w14:paraId="2EC32A25" w14:textId="59DCC221" w:rsidR="000D4C2A" w:rsidRPr="00E56D68" w:rsidRDefault="000D4C2A" w:rsidP="000D4C2A">
      <w:pPr>
        <w:autoSpaceDE w:val="0"/>
        <w:autoSpaceDN w:val="0"/>
        <w:adjustRightInd w:val="0"/>
        <w:spacing w:after="0" w:line="240" w:lineRule="auto"/>
        <w:rPr>
          <w:rFonts w:ascii="Times New Roman" w:hAnsi="Times New Roman" w:cs="Times New Roman"/>
          <w:sz w:val="20"/>
          <w:szCs w:val="20"/>
        </w:rPr>
      </w:pPr>
      <w:r w:rsidRPr="00E56D68">
        <w:rPr>
          <w:rFonts w:ascii="Times New Roman" w:hAnsi="Times New Roman" w:cs="Times New Roman"/>
          <w:sz w:val="20"/>
          <w:szCs w:val="20"/>
        </w:rPr>
        <w:lastRenderedPageBreak/>
        <w:t>Supplementary</w:t>
      </w:r>
      <w:r w:rsidR="0086210F">
        <w:rPr>
          <w:rFonts w:ascii="Times New Roman" w:hAnsi="Times New Roman" w:cs="Times New Roman"/>
          <w:sz w:val="20"/>
          <w:szCs w:val="20"/>
        </w:rPr>
        <w:t xml:space="preserve"> Figure</w:t>
      </w:r>
      <w:r w:rsidRPr="00E56D68">
        <w:rPr>
          <w:rFonts w:ascii="Times New Roman" w:hAnsi="Times New Roman" w:cs="Times New Roman"/>
          <w:sz w:val="20"/>
          <w:szCs w:val="20"/>
        </w:rPr>
        <w:t xml:space="preserve"> 2: Percentage incidence of newly applied and removed unconfirmed restrictions along with percentage of unconfirmed restriction which span the entire calendar year for each of the years 2011 to 2019 inclusive.</w:t>
      </w:r>
      <w:r w:rsidR="00E56D68" w:rsidRPr="00E56D68">
        <w:rPr>
          <w:rFonts w:ascii="Times New Roman" w:hAnsi="Times New Roman" w:cs="Times New Roman"/>
          <w:sz w:val="20"/>
          <w:szCs w:val="20"/>
        </w:rPr>
        <w:t xml:space="preserve"> (BB-Banbridge, BH-Ballynahinch, CW-Castlewellan, DR-Dromore).</w:t>
      </w:r>
    </w:p>
    <w:p w14:paraId="10349D65" w14:textId="77777777" w:rsidR="000D4C2A" w:rsidRDefault="000D4C2A" w:rsidP="000D4C2A">
      <w:pPr>
        <w:autoSpaceDE w:val="0"/>
        <w:autoSpaceDN w:val="0"/>
        <w:adjustRightInd w:val="0"/>
        <w:spacing w:after="0" w:line="240" w:lineRule="auto"/>
      </w:pPr>
    </w:p>
    <w:p w14:paraId="5AC875B1" w14:textId="34A0D815" w:rsidR="007F3374" w:rsidRDefault="000D4C2A" w:rsidP="000D4C2A">
      <w:pPr>
        <w:autoSpaceDE w:val="0"/>
        <w:autoSpaceDN w:val="0"/>
        <w:adjustRightInd w:val="0"/>
        <w:spacing w:after="0" w:line="240" w:lineRule="auto"/>
        <w:rPr>
          <w:rFonts w:ascii="Calibri" w:hAnsi="Calibri" w:cs="Calibri"/>
          <w:sz w:val="24"/>
          <w:szCs w:val="24"/>
        </w:rPr>
      </w:pPr>
      <w:r>
        <w:rPr>
          <w:noProof/>
        </w:rPr>
        <w:drawing>
          <wp:inline distT="0" distB="0" distL="0" distR="0" wp14:anchorId="2F293303" wp14:editId="5A96CA09">
            <wp:extent cx="9159240" cy="5130760"/>
            <wp:effectExtent l="0" t="0" r="3810" b="0"/>
            <wp:docPr id="1950879815" name="Picture 19508798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311307" name="Picture 1" descr="Graphical user interface, application&#10;&#10;Description automatically generated"/>
                    <pic:cNvPicPr/>
                  </pic:nvPicPr>
                  <pic:blipFill rotWithShape="1">
                    <a:blip r:embed="rId6"/>
                    <a:srcRect l="50090" t="2802" b="4738"/>
                    <a:stretch/>
                  </pic:blipFill>
                  <pic:spPr bwMode="auto">
                    <a:xfrm>
                      <a:off x="0" y="0"/>
                      <a:ext cx="9191404" cy="5148778"/>
                    </a:xfrm>
                    <a:prstGeom prst="rect">
                      <a:avLst/>
                    </a:prstGeom>
                    <a:ln>
                      <a:noFill/>
                    </a:ln>
                    <a:extLst>
                      <a:ext uri="{53640926-AAD7-44D8-BBD7-CCE9431645EC}">
                        <a14:shadowObscured xmlns:a14="http://schemas.microsoft.com/office/drawing/2010/main"/>
                      </a:ext>
                    </a:extLst>
                  </pic:spPr>
                </pic:pic>
              </a:graphicData>
            </a:graphic>
          </wp:inline>
        </w:drawing>
      </w:r>
    </w:p>
    <w:p w14:paraId="263371C4" w14:textId="66308A20" w:rsidR="00E56D68" w:rsidRPr="00E56D68" w:rsidRDefault="00E56D68" w:rsidP="00E56D68">
      <w:pPr>
        <w:spacing w:line="360" w:lineRule="auto"/>
        <w:rPr>
          <w:rFonts w:ascii="Times New Roman" w:hAnsi="Times New Roman" w:cs="Times New Roman"/>
          <w:sz w:val="20"/>
          <w:szCs w:val="20"/>
        </w:rPr>
      </w:pPr>
      <w:r w:rsidRPr="00E56D68">
        <w:rPr>
          <w:rFonts w:ascii="Times New Roman" w:hAnsi="Times New Roman" w:cs="Times New Roman"/>
          <w:sz w:val="20"/>
          <w:szCs w:val="20"/>
        </w:rPr>
        <w:lastRenderedPageBreak/>
        <w:t xml:space="preserve">Supplementary </w:t>
      </w:r>
      <w:r w:rsidR="000F5965">
        <w:rPr>
          <w:rFonts w:ascii="Times New Roman" w:hAnsi="Times New Roman" w:cs="Times New Roman"/>
          <w:sz w:val="20"/>
          <w:szCs w:val="20"/>
        </w:rPr>
        <w:t xml:space="preserve">Figure </w:t>
      </w:r>
      <w:r w:rsidRPr="00E56D68">
        <w:rPr>
          <w:rFonts w:ascii="Times New Roman" w:hAnsi="Times New Roman" w:cs="Times New Roman"/>
          <w:sz w:val="20"/>
          <w:szCs w:val="20"/>
        </w:rPr>
        <w:t>1 and</w:t>
      </w:r>
      <w:r w:rsidR="000F5965">
        <w:rPr>
          <w:rFonts w:ascii="Times New Roman" w:hAnsi="Times New Roman" w:cs="Times New Roman"/>
          <w:sz w:val="20"/>
          <w:szCs w:val="20"/>
        </w:rPr>
        <w:t xml:space="preserve"> </w:t>
      </w:r>
      <w:r w:rsidR="000F5965" w:rsidRPr="00E56D68">
        <w:rPr>
          <w:rFonts w:ascii="Times New Roman" w:hAnsi="Times New Roman" w:cs="Times New Roman"/>
          <w:sz w:val="20"/>
          <w:szCs w:val="20"/>
        </w:rPr>
        <w:t xml:space="preserve">Supplementary </w:t>
      </w:r>
      <w:r w:rsidR="000F5965">
        <w:rPr>
          <w:rFonts w:ascii="Times New Roman" w:hAnsi="Times New Roman" w:cs="Times New Roman"/>
          <w:sz w:val="20"/>
          <w:szCs w:val="20"/>
        </w:rPr>
        <w:t>Figure</w:t>
      </w:r>
      <w:r w:rsidRPr="00E56D68">
        <w:rPr>
          <w:rFonts w:ascii="Times New Roman" w:hAnsi="Times New Roman" w:cs="Times New Roman"/>
          <w:sz w:val="20"/>
          <w:szCs w:val="20"/>
        </w:rPr>
        <w:t xml:space="preserve"> 2 show the percentage incidence of newly applied and removed restrictions along with percentage of restrictions which span the entire calendar year for each of the years 2011 to 2019 inclusive, in confirmed and unconfirmed </w:t>
      </w:r>
      <w:proofErr w:type="spellStart"/>
      <w:r w:rsidRPr="00E56D68">
        <w:rPr>
          <w:rFonts w:ascii="Times New Roman" w:hAnsi="Times New Roman" w:cs="Times New Roman"/>
          <w:sz w:val="20"/>
          <w:szCs w:val="20"/>
        </w:rPr>
        <w:t>bTB</w:t>
      </w:r>
      <w:proofErr w:type="spellEnd"/>
      <w:r w:rsidRPr="00E56D68">
        <w:rPr>
          <w:rFonts w:ascii="Times New Roman" w:hAnsi="Times New Roman" w:cs="Times New Roman"/>
          <w:sz w:val="20"/>
          <w:szCs w:val="20"/>
        </w:rPr>
        <w:t xml:space="preserve"> breakdowns. The bar charts show how percentages of restrictions applied, removed and those spanning the year change on yearly basis. The bars tend to show that in years with a high percentage of restrictions being applied there is also a high percentage of restriction removal. It is also a feature of Supplementary 1 with confirmed restrictions that consistent high incidence levels tend to raise the percentage of restrictions which span an entire year. With unconfirmed restrictions (Supplementary 2) there are fewer of these which span entire year periods reflecting the fact that these generally are shorter duration in nature.</w:t>
      </w:r>
    </w:p>
    <w:p w14:paraId="32CE0F73" w14:textId="77777777" w:rsidR="00E56D68" w:rsidRPr="000D4C2A" w:rsidRDefault="00E56D68" w:rsidP="000D4C2A">
      <w:pPr>
        <w:autoSpaceDE w:val="0"/>
        <w:autoSpaceDN w:val="0"/>
        <w:adjustRightInd w:val="0"/>
        <w:spacing w:after="0" w:line="240" w:lineRule="auto"/>
        <w:rPr>
          <w:rFonts w:ascii="Calibri" w:hAnsi="Calibri" w:cs="Calibri"/>
          <w:sz w:val="24"/>
          <w:szCs w:val="24"/>
        </w:rPr>
      </w:pPr>
    </w:p>
    <w:sectPr w:rsidR="00E56D68" w:rsidRPr="000D4C2A" w:rsidSect="00CB58A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0D"/>
    <w:rsid w:val="000D4C2A"/>
    <w:rsid w:val="000F5965"/>
    <w:rsid w:val="0057660D"/>
    <w:rsid w:val="007F3374"/>
    <w:rsid w:val="0086210F"/>
    <w:rsid w:val="00917828"/>
    <w:rsid w:val="00CB58A1"/>
    <w:rsid w:val="00E5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70B1"/>
  <w15:chartTrackingRefBased/>
  <w15:docId w15:val="{9A43CA01-E931-473D-8231-E8F8D20C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2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8A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4F68-341B-4686-A00A-CC97C7C8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Doyle | Animal Health Ireland</dc:creator>
  <cp:keywords/>
  <dc:description/>
  <cp:lastModifiedBy>Liam Doyle | Animal Health Ireland</cp:lastModifiedBy>
  <cp:revision>6</cp:revision>
  <dcterms:created xsi:type="dcterms:W3CDTF">2023-04-26T22:39:00Z</dcterms:created>
  <dcterms:modified xsi:type="dcterms:W3CDTF">2023-05-08T22:51:00Z</dcterms:modified>
</cp:coreProperties>
</file>