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93" w:rsidRPr="00E12436" w:rsidRDefault="00C45B93" w:rsidP="008F548C">
      <w:pPr>
        <w:pStyle w:val="1"/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0" w:name="_Toc101777452"/>
      <w:bookmarkStart w:id="1" w:name="_Toc101778302"/>
      <w:bookmarkStart w:id="2" w:name="_Toc101880942"/>
      <w:bookmarkStart w:id="3" w:name="_Toc101880999"/>
      <w:bookmarkStart w:id="4" w:name="_Toc101963359"/>
      <w:bookmarkStart w:id="5" w:name="_Toc102051301"/>
      <w:bookmarkStart w:id="6" w:name="_Toc102051783"/>
      <w:bookmarkStart w:id="7" w:name="_Toc102051841"/>
      <w:bookmarkStart w:id="8" w:name="_Toc102405519"/>
      <w:bookmarkStart w:id="9" w:name="_Toc102405718"/>
      <w:bookmarkStart w:id="10" w:name="_Toc106199931"/>
      <w:bookmarkStart w:id="11" w:name="_Toc106710572"/>
      <w:bookmarkStart w:id="12" w:name="_Toc106723238"/>
      <w:r w:rsidRPr="00E12436">
        <w:rPr>
          <w:rFonts w:ascii="Times New Roman" w:hAnsi="Times New Roman" w:cs="Times New Roman"/>
          <w:color w:val="000000" w:themeColor="text1"/>
        </w:rPr>
        <w:t>Supplem</w:t>
      </w:r>
      <w:bookmarkStart w:id="13" w:name="_GoBack"/>
      <w:bookmarkEnd w:id="13"/>
      <w:r w:rsidRPr="00E12436">
        <w:rPr>
          <w:rFonts w:ascii="Times New Roman" w:hAnsi="Times New Roman" w:cs="Times New Roman"/>
          <w:color w:val="000000" w:themeColor="text1"/>
        </w:rPr>
        <w:t>entary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45B93" w:rsidRPr="00E12436" w:rsidRDefault="00C45B93" w:rsidP="008F548C">
      <w:pPr>
        <w:pStyle w:val="a3"/>
        <w:spacing w:line="480" w:lineRule="auto"/>
        <w:jc w:val="center"/>
        <w:outlineLvl w:val="1"/>
        <w:rPr>
          <w:rFonts w:ascii="Times New Roman" w:eastAsia="DFKai-SB" w:hAnsi="Times New Roman" w:cs="Times New Roman"/>
          <w:color w:val="000000" w:themeColor="text1"/>
        </w:rPr>
      </w:pPr>
      <w:bookmarkStart w:id="14" w:name="_Toc101778297"/>
      <w:bookmarkStart w:id="15" w:name="_Toc101798970"/>
      <w:bookmarkStart w:id="16" w:name="_Toc101799218"/>
      <w:bookmarkStart w:id="17" w:name="_Toc101880993"/>
      <w:bookmarkStart w:id="18" w:name="_Toc101881169"/>
      <w:bookmarkStart w:id="19" w:name="_Toc102051188"/>
      <w:bookmarkStart w:id="20" w:name="_Toc102051295"/>
      <w:bookmarkStart w:id="21" w:name="_Toc102051719"/>
      <w:bookmarkStart w:id="22" w:name="_Toc102051835"/>
      <w:bookmarkStart w:id="23" w:name="_Toc102405513"/>
      <w:bookmarkStart w:id="24" w:name="_Toc106199925"/>
      <w:bookmarkStart w:id="25" w:name="_Toc106710566"/>
      <w:bookmarkStart w:id="26" w:name="_Toc106723232"/>
      <w:r w:rsidRPr="00E12436">
        <w:rPr>
          <w:rFonts w:ascii="Times New Roman" w:eastAsia="DFKai-SB" w:hAnsi="Times New Roman" w:cs="Times New Roman"/>
          <w:color w:val="000000" w:themeColor="text1"/>
        </w:rPr>
        <w:t xml:space="preserve">Table 1. Distribution of antifungal susceptibility of 344 </w:t>
      </w:r>
      <w:r w:rsidRPr="00E12436">
        <w:rPr>
          <w:rFonts w:ascii="Times New Roman" w:eastAsia="DFKai-SB" w:hAnsi="Times New Roman" w:cs="Times New Roman"/>
          <w:i/>
          <w:color w:val="000000" w:themeColor="text1"/>
        </w:rPr>
        <w:t>Candida</w:t>
      </w:r>
      <w:r w:rsidRPr="00E12436">
        <w:rPr>
          <w:rFonts w:ascii="Times New Roman" w:eastAsia="DFKai-SB" w:hAnsi="Times New Roman" w:cs="Times New Roman"/>
          <w:color w:val="000000" w:themeColor="text1"/>
        </w:rPr>
        <w:t xml:space="preserve"> species among 339 patients with candidemia during the study period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15244" w:type="dxa"/>
        <w:tblInd w:w="-572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940"/>
        <w:gridCol w:w="908"/>
        <w:gridCol w:w="849"/>
        <w:gridCol w:w="1152"/>
        <w:gridCol w:w="1207"/>
        <w:gridCol w:w="1004"/>
        <w:gridCol w:w="990"/>
        <w:gridCol w:w="1158"/>
        <w:gridCol w:w="6"/>
        <w:gridCol w:w="1271"/>
        <w:gridCol w:w="1067"/>
        <w:gridCol w:w="1054"/>
        <w:gridCol w:w="1080"/>
        <w:gridCol w:w="6"/>
      </w:tblGrid>
      <w:tr w:rsidR="00C45B93" w:rsidRPr="00E12436" w:rsidTr="003D7A43">
        <w:trPr>
          <w:trHeight w:val="320"/>
        </w:trPr>
        <w:tc>
          <w:tcPr>
            <w:tcW w:w="255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isolates, n=344 (%) 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87E89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Caspofungin </w:t>
            </w:r>
            <w:r w:rsidRPr="00087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87E89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Fluconazole</w:t>
            </w:r>
            <w:r w:rsidRPr="00087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87E89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Voriconazole</w:t>
            </w:r>
            <w:r w:rsidRPr="00087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C45B93" w:rsidRPr="00E12436" w:rsidTr="003D7A43">
        <w:trPr>
          <w:gridAfter w:val="1"/>
          <w:wAfter w:w="6" w:type="dxa"/>
          <w:trHeight w:val="320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missing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C. albicans,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 (52.91)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181(99.45)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(0.55)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 (94.51)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(2.75)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(0.55)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(2.20)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(98.90)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(0.55)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(0.55)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C. glabrata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 (16.57)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29(50.88)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(3.51)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(1.75)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53(92.98)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(1.75)</w:t>
            </w:r>
          </w:p>
        </w:tc>
        <w:tc>
          <w:tcPr>
            <w:tcW w:w="11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(5.26)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(59.65)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C. krusei,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n=0 (0)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C. parapsilosis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8.72)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30(100)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(96.67)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(3.33)</w:t>
            </w: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(100)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C. tropicalis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59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17.15)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59(100)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(88.14)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(5.08)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(6.78)</w:t>
            </w: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 (89.83)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(3.39)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(6.78)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C. guilliermondii,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0.29)</w:t>
            </w: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(100)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C. lusitaniae,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0.29)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C. pelliculosa,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3.49)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(8.33)</w:t>
            </w:r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(50%)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(8.33)</w:t>
            </w:r>
          </w:p>
        </w:tc>
      </w:tr>
      <w:tr w:rsidR="00C45B93" w:rsidRPr="00E12436" w:rsidTr="003D7A43">
        <w:trPr>
          <w:gridAfter w:val="1"/>
          <w:wAfter w:w="6" w:type="dxa"/>
          <w:trHeight w:val="340"/>
        </w:trPr>
        <w:tc>
          <w:tcPr>
            <w:tcW w:w="255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C. famata,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0.29)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C45B93" w:rsidRPr="00E12436" w:rsidTr="003D7A43">
        <w:trPr>
          <w:gridAfter w:val="1"/>
          <w:wAfter w:w="6" w:type="dxa"/>
          <w:trHeight w:val="64"/>
        </w:trPr>
        <w:tc>
          <w:tcPr>
            <w:tcW w:w="255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93" w:rsidRPr="00032304" w:rsidRDefault="00C45B93" w:rsidP="008F548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C. rugosa, 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n=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23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0.29)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93" w:rsidRPr="00032304" w:rsidRDefault="00C45B93" w:rsidP="008F548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</w:tbl>
    <w:p w:rsidR="00C45B93" w:rsidRPr="00032304" w:rsidRDefault="00C45B93" w:rsidP="008F548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32304">
        <w:rPr>
          <w:rFonts w:ascii="Times New Roman" w:hAnsi="Times New Roman" w:cs="Times New Roman"/>
          <w:color w:val="000000" w:themeColor="text1"/>
        </w:rPr>
        <w:t>Note: Data are presented as no. (%).</w:t>
      </w:r>
    </w:p>
    <w:p w:rsidR="00C45B93" w:rsidRPr="00032304" w:rsidRDefault="00C45B93" w:rsidP="008F548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32304">
        <w:rPr>
          <w:rFonts w:ascii="Times New Roman" w:hAnsi="Times New Roman" w:cs="Times New Roman"/>
          <w:color w:val="000000" w:themeColor="text1"/>
        </w:rPr>
        <w:t xml:space="preserve">The MIC breakpoint for </w:t>
      </w:r>
      <w:r w:rsidRPr="00032304">
        <w:rPr>
          <w:rFonts w:ascii="Times New Roman" w:hAnsi="Times New Roman" w:cs="Times New Roman"/>
          <w:i/>
          <w:color w:val="000000" w:themeColor="text1"/>
        </w:rPr>
        <w:t>in vitro</w:t>
      </w:r>
      <w:r w:rsidRPr="00032304">
        <w:rPr>
          <w:rFonts w:ascii="Times New Roman" w:hAnsi="Times New Roman" w:cs="Times New Roman"/>
          <w:color w:val="000000" w:themeColor="text1"/>
        </w:rPr>
        <w:t xml:space="preserve"> broth dilution susceptibility testing of </w:t>
      </w:r>
      <w:r w:rsidRPr="00032304">
        <w:rPr>
          <w:rFonts w:ascii="Times New Roman" w:hAnsi="Times New Roman" w:cs="Times New Roman"/>
          <w:i/>
          <w:color w:val="000000" w:themeColor="text1"/>
        </w:rPr>
        <w:t>Candida</w:t>
      </w:r>
      <w:r w:rsidRPr="00032304">
        <w:rPr>
          <w:rFonts w:ascii="Times New Roman" w:hAnsi="Times New Roman" w:cs="Times New Roman"/>
          <w:color w:val="000000" w:themeColor="text1"/>
        </w:rPr>
        <w:t xml:space="preserve"> species to selected antifungal therapy after 24-hour incubation was based on CLSI M60-ED2:2020 Performance Standards for Antifungal Susceptibility Testing of Yeasts, 2</w:t>
      </w:r>
      <w:r w:rsidRPr="00032304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032304">
        <w:rPr>
          <w:rFonts w:ascii="Times New Roman" w:hAnsi="Times New Roman" w:cs="Times New Roman"/>
          <w:color w:val="000000" w:themeColor="text1"/>
        </w:rPr>
        <w:t xml:space="preserve"> Edition</w:t>
      </w:r>
    </w:p>
    <w:p w:rsidR="00C45B93" w:rsidRPr="00032304" w:rsidRDefault="00C45B93" w:rsidP="008F548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32304">
        <w:rPr>
          <w:rFonts w:ascii="Times New Roman" w:hAnsi="Times New Roman" w:cs="Times New Roman"/>
          <w:color w:val="000000" w:themeColor="text1"/>
        </w:rPr>
        <w:t>Abbreviations: S, susceptible; I, intermediate; SDD, susceptible dose-dependent (or D); R. resistant r NA, not available</w:t>
      </w:r>
    </w:p>
    <w:p w:rsidR="00C45B93" w:rsidRPr="00032304" w:rsidRDefault="00C45B93" w:rsidP="008F548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32304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032304">
        <w:rPr>
          <w:rFonts w:ascii="Times New Roman" w:hAnsi="Times New Roman" w:cs="Times New Roman"/>
          <w:color w:val="000000" w:themeColor="text1"/>
        </w:rPr>
        <w:t xml:space="preserve"> the percentage of total isolates </w:t>
      </w:r>
    </w:p>
    <w:p w:rsidR="00C45B93" w:rsidRPr="00032304" w:rsidRDefault="00C45B93" w:rsidP="008F548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32304">
        <w:rPr>
          <w:rFonts w:ascii="Times New Roman" w:hAnsi="Times New Roman" w:cs="Times New Roman"/>
          <w:color w:val="000000" w:themeColor="text1"/>
          <w:vertAlign w:val="superscript"/>
        </w:rPr>
        <w:t>b</w:t>
      </w:r>
      <w:r w:rsidRPr="00032304">
        <w:rPr>
          <w:rFonts w:ascii="Times New Roman" w:hAnsi="Times New Roman" w:cs="Times New Roman"/>
          <w:color w:val="000000" w:themeColor="text1"/>
        </w:rPr>
        <w:t xml:space="preserve"> the percentage of each specific species</w:t>
      </w:r>
    </w:p>
    <w:p w:rsidR="00C45B93" w:rsidRPr="00C70F0E" w:rsidRDefault="00C45B93" w:rsidP="008F548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32304">
        <w:rPr>
          <w:rFonts w:ascii="Times New Roman" w:hAnsi="Times New Roman" w:cs="Times New Roman"/>
          <w:color w:val="000000" w:themeColor="text1"/>
          <w:vertAlign w:val="superscript"/>
        </w:rPr>
        <w:lastRenderedPageBreak/>
        <w:t xml:space="preserve">c </w:t>
      </w:r>
      <w:r w:rsidRPr="00032304">
        <w:rPr>
          <w:rFonts w:ascii="Times New Roman" w:hAnsi="Times New Roman" w:cs="Times New Roman"/>
          <w:color w:val="000000" w:themeColor="text1"/>
        </w:rPr>
        <w:t xml:space="preserve">MIC of caspofungin on </w:t>
      </w:r>
      <w:r w:rsidRPr="00032304">
        <w:rPr>
          <w:rFonts w:ascii="Times New Roman" w:hAnsi="Times New Roman" w:cs="Times New Roman"/>
          <w:i/>
          <w:color w:val="000000" w:themeColor="text1"/>
        </w:rPr>
        <w:t>C. glabrata</w:t>
      </w:r>
      <w:r w:rsidRPr="00032304">
        <w:rPr>
          <w:rFonts w:ascii="Times New Roman" w:hAnsi="Times New Roman" w:cs="Times New Roman"/>
          <w:color w:val="000000" w:themeColor="text1"/>
        </w:rPr>
        <w:t xml:space="preserve">: 2 strains reported MIC=0.25, but 25 strains reported S </w:t>
      </w:r>
      <w:r w:rsidRPr="00C70F0E">
        <w:rPr>
          <w:rFonts w:ascii="Cambria Math" w:hAnsi="Cambria Math" w:cs="Cambria Math"/>
          <w:color w:val="000000" w:themeColor="text1"/>
        </w:rPr>
        <w:t>≤</w:t>
      </w:r>
      <w:r w:rsidRPr="00C70F0E">
        <w:rPr>
          <w:rFonts w:ascii="Times New Roman" w:hAnsi="Times New Roman" w:cs="Times New Roman"/>
          <w:color w:val="000000" w:themeColor="text1"/>
        </w:rPr>
        <w:t xml:space="preserve"> 0.25. According to the medical chart, 3 strains reported no AST results to caspofungin, 13 strains to fluconazole and 36 strains to voriconazole</w:t>
      </w:r>
    </w:p>
    <w:p w:rsidR="00F675FC" w:rsidRDefault="00C45B93" w:rsidP="008F548C">
      <w:pPr>
        <w:spacing w:line="480" w:lineRule="auto"/>
      </w:pPr>
      <w:r w:rsidRPr="00E12436">
        <w:rPr>
          <w:rFonts w:ascii="Times New Roman" w:eastAsia="DFKai-SB" w:hAnsi="Times New Roman" w:cs="Times New Roman"/>
          <w:color w:val="000000" w:themeColor="text1"/>
        </w:rPr>
        <w:br w:type="page"/>
      </w:r>
    </w:p>
    <w:sectPr w:rsidR="00F675FC" w:rsidSect="00C45B93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EE3"/>
    <w:rsid w:val="00087E89"/>
    <w:rsid w:val="003427A4"/>
    <w:rsid w:val="003D7A43"/>
    <w:rsid w:val="008F548C"/>
    <w:rsid w:val="00BD4C3B"/>
    <w:rsid w:val="00C45B93"/>
    <w:rsid w:val="00E91EE3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556AFDAC-3E8B-DC49-9A92-C906E89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45B93"/>
    <w:pPr>
      <w:keepNext/>
      <w:jc w:val="center"/>
      <w:outlineLvl w:val="0"/>
    </w:pPr>
    <w:rPr>
      <w:rFonts w:ascii="Times" w:eastAsia="DFKai-SB" w:hAnsi="Times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5B93"/>
    <w:rPr>
      <w:rFonts w:ascii="Times" w:eastAsia="DFKai-SB" w:hAnsi="Times" w:cstheme="majorBidi"/>
      <w:b/>
      <w:bCs/>
      <w:kern w:val="52"/>
      <w:sz w:val="32"/>
      <w:szCs w:val="52"/>
    </w:rPr>
  </w:style>
  <w:style w:type="paragraph" w:styleId="a3">
    <w:name w:val="No Spacing"/>
    <w:uiPriority w:val="1"/>
    <w:qFormat/>
    <w:rsid w:val="00C45B93"/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45B93"/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5B93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1658</Characters>
  <Application>Microsoft Office Word</Application>
  <DocSecurity>0</DocSecurity>
  <Lines>13</Lines>
  <Paragraphs>3</Paragraphs>
  <ScaleCrop>false</ScaleCrop>
  <Company>zerg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永峻 陳</dc:creator>
  <cp:keywords/>
  <dc:description/>
  <cp:lastModifiedBy>Microsoft Office User</cp:lastModifiedBy>
  <cp:revision>6</cp:revision>
  <dcterms:created xsi:type="dcterms:W3CDTF">2021-10-31T10:24:00Z</dcterms:created>
  <dcterms:modified xsi:type="dcterms:W3CDTF">2022-07-28T04:18:00Z</dcterms:modified>
</cp:coreProperties>
</file>