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FD09" w14:textId="77777777" w:rsidR="009754AE" w:rsidRPr="00E940EA" w:rsidRDefault="009754AE" w:rsidP="009754AE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E940EA">
        <w:rPr>
          <w:rFonts w:cstheme="minorHAnsi"/>
          <w:b/>
          <w:bCs/>
          <w:sz w:val="28"/>
          <w:szCs w:val="28"/>
          <w:shd w:val="clear" w:color="auto" w:fill="FFFFFF"/>
        </w:rPr>
        <w:t>Supplementary Material</w:t>
      </w:r>
    </w:p>
    <w:p w14:paraId="4FE83D14" w14:textId="77777777" w:rsidR="009754AE" w:rsidRPr="00E940EA" w:rsidRDefault="009754AE" w:rsidP="009754AE">
      <w:pPr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 w:rsidRPr="00E940EA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Journal: Epidemiology and Infection</w:t>
      </w:r>
    </w:p>
    <w:p w14:paraId="1B7BF705" w14:textId="77777777" w:rsidR="009754AE" w:rsidRPr="003C34D3" w:rsidRDefault="009754AE" w:rsidP="009754AE">
      <w:pPr>
        <w:pStyle w:val="NoSpacing"/>
        <w:spacing w:line="480" w:lineRule="auto"/>
        <w:rPr>
          <w:rFonts w:cstheme="minorHAnsi"/>
        </w:rPr>
      </w:pPr>
      <w:r w:rsidRPr="003C34D3">
        <w:rPr>
          <w:rFonts w:cstheme="minorHAnsi"/>
        </w:rPr>
        <w:t>Title: Time-to-hepatitis C treatment initiation among people who inject drugs in Melbourne, Australia</w:t>
      </w:r>
    </w:p>
    <w:p w14:paraId="7DC02A9E" w14:textId="4257116E" w:rsidR="009754AE" w:rsidRDefault="009754AE" w:rsidP="009754AE">
      <w:pPr>
        <w:spacing w:line="480" w:lineRule="auto"/>
        <w:rPr>
          <w:rFonts w:cstheme="minorHAnsi"/>
        </w:rPr>
      </w:pPr>
      <w:r w:rsidRPr="003C34D3">
        <w:rPr>
          <w:rFonts w:cstheme="minorHAnsi"/>
        </w:rPr>
        <w:t>Authors: Phyo TZ. Aung, Tim Spelman, Anna L. Wilkinson, Paul M. Dietze, Mark A. Stoové, Margaret E. Hellard</w:t>
      </w:r>
    </w:p>
    <w:p w14:paraId="78ED1573" w14:textId="77777777" w:rsidR="00C661FA" w:rsidRDefault="00C661FA" w:rsidP="009754AE">
      <w:pPr>
        <w:spacing w:line="480" w:lineRule="auto"/>
        <w:rPr>
          <w:rFonts w:cstheme="minorHAnsi"/>
        </w:rPr>
      </w:pPr>
    </w:p>
    <w:p w14:paraId="333A8643" w14:textId="750FC45D" w:rsidR="007C2EC0" w:rsidRPr="003C34D3" w:rsidRDefault="007C2EC0" w:rsidP="009754AE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The table below represents </w:t>
      </w:r>
      <w:r w:rsidRPr="007C2EC0">
        <w:rPr>
          <w:rFonts w:cstheme="minorHAnsi"/>
        </w:rPr>
        <w:t>a sensitivity analysis that include</w:t>
      </w:r>
      <w:r w:rsidR="008E7E25">
        <w:rPr>
          <w:rFonts w:cstheme="minorHAnsi"/>
        </w:rPr>
        <w:t>s</w:t>
      </w:r>
      <w:r w:rsidRPr="007C2EC0">
        <w:rPr>
          <w:rFonts w:cstheme="minorHAnsi"/>
        </w:rPr>
        <w:t xml:space="preserve"> the year of diagnosis as a covariate. </w:t>
      </w:r>
      <w:r w:rsidR="008E7E25">
        <w:rPr>
          <w:rFonts w:cstheme="minorHAnsi"/>
        </w:rPr>
        <w:t>In this analysis,</w:t>
      </w:r>
      <w:r w:rsidRPr="007C2EC0">
        <w:rPr>
          <w:rFonts w:cstheme="minorHAnsi"/>
        </w:rPr>
        <w:t xml:space="preserve"> every additional year of </w:t>
      </w:r>
      <w:r w:rsidR="008E7E25">
        <w:rPr>
          <w:rFonts w:cstheme="minorHAnsi"/>
        </w:rPr>
        <w:t xml:space="preserve">diagnosis </w:t>
      </w:r>
      <w:r w:rsidRPr="007C2EC0">
        <w:rPr>
          <w:rFonts w:cstheme="minorHAnsi"/>
        </w:rPr>
        <w:t xml:space="preserve">was associated with a 20% reduction (TR 0.8) in the rate of treatment uptake. </w:t>
      </w:r>
      <w:r w:rsidR="008E7E25">
        <w:rPr>
          <w:rFonts w:cstheme="minorHAnsi"/>
        </w:rPr>
        <w:t xml:space="preserve">On </w:t>
      </w:r>
      <w:r w:rsidRPr="007C2EC0">
        <w:rPr>
          <w:rFonts w:cstheme="minorHAnsi"/>
        </w:rPr>
        <w:t>average, participants who had a longer disease duration were more likely to be treated during the study period, regardless of whether they were diagnosed before or after 2016.</w:t>
      </w:r>
    </w:p>
    <w:p w14:paraId="744BAFD3" w14:textId="79FECDD1" w:rsidR="006F2532" w:rsidRDefault="006F2532"/>
    <w:p w14:paraId="6538BFE8" w14:textId="79447C27" w:rsidR="009754AE" w:rsidRPr="0085532D" w:rsidRDefault="009754AE" w:rsidP="009754AE">
      <w:pPr>
        <w:spacing w:line="48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Supplementary Table S1</w:t>
      </w:r>
      <w:r w:rsidRPr="0085532D">
        <w:rPr>
          <w:b/>
          <w:bCs/>
          <w:sz w:val="24"/>
          <w:szCs w:val="24"/>
          <w:lang w:val="en-US"/>
        </w:rPr>
        <w:t>: Multivariate Weibull accelerated regression analysis for time-to-treatment initiation</w:t>
      </w:r>
      <w:r w:rsidR="00344A21">
        <w:rPr>
          <w:b/>
          <w:bCs/>
          <w:sz w:val="24"/>
          <w:szCs w:val="24"/>
          <w:lang w:val="en-US"/>
        </w:rPr>
        <w:t>, including year of diagnosis as a covariate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1582"/>
        <w:gridCol w:w="1472"/>
        <w:gridCol w:w="2709"/>
      </w:tblGrid>
      <w:tr w:rsidR="009754AE" w14:paraId="53C05187" w14:textId="77777777" w:rsidTr="00D46366">
        <w:trPr>
          <w:trHeight w:val="387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4D271520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Variables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6F625167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 ratio (TR)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14:paraId="29D9C206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95% CI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14:paraId="21F51F59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p-value</w:t>
            </w:r>
          </w:p>
        </w:tc>
      </w:tr>
      <w:tr w:rsidR="009754AE" w14:paraId="33A78BC0" w14:textId="77777777" w:rsidTr="00D46366">
        <w:trPr>
          <w:trHeight w:val="396"/>
        </w:trPr>
        <w:tc>
          <w:tcPr>
            <w:tcW w:w="3701" w:type="dxa"/>
            <w:tcBorders>
              <w:top w:val="single" w:sz="4" w:space="0" w:color="auto"/>
            </w:tcBorders>
          </w:tcPr>
          <w:p w14:paraId="14048ABA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 w:rsidRPr="004F5675">
              <w:rPr>
                <w:rFonts w:cstheme="minorHAnsi"/>
                <w:b/>
                <w:bCs/>
              </w:rPr>
              <w:t>Age</w:t>
            </w:r>
            <w:r>
              <w:rPr>
                <w:rFonts w:cstheme="minorHAnsi"/>
                <w:b/>
                <w:bCs/>
              </w:rPr>
              <w:t xml:space="preserve"> at treatment</w:t>
            </w:r>
            <w:r w:rsidRPr="004F5675">
              <w:rPr>
                <w:rFonts w:cstheme="minorHAnsi"/>
                <w:b/>
                <w:bCs/>
              </w:rPr>
              <w:t xml:space="preserve"> (years)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0D4ABD84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0755306C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6A2F4CF0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78F6301F" w14:textId="77777777" w:rsidTr="00D46366">
        <w:trPr>
          <w:trHeight w:val="396"/>
        </w:trPr>
        <w:tc>
          <w:tcPr>
            <w:tcW w:w="3701" w:type="dxa"/>
          </w:tcPr>
          <w:p w14:paraId="3DA90231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rFonts w:cstheme="minorHAnsi"/>
              </w:rPr>
              <w:t>20 – 30</w:t>
            </w:r>
          </w:p>
        </w:tc>
        <w:tc>
          <w:tcPr>
            <w:tcW w:w="1582" w:type="dxa"/>
          </w:tcPr>
          <w:p w14:paraId="17C5E98B" w14:textId="77777777" w:rsidR="009754AE" w:rsidRPr="007E3DB8" w:rsidRDefault="009754AE" w:rsidP="00D46366">
            <w:pPr>
              <w:spacing w:line="480" w:lineRule="auto"/>
              <w:rPr>
                <w:lang w:val="en-US"/>
              </w:rPr>
            </w:pPr>
            <w:r w:rsidRPr="007E3DB8">
              <w:rPr>
                <w:lang w:val="en-US"/>
              </w:rPr>
              <w:t>Ref</w:t>
            </w:r>
          </w:p>
        </w:tc>
        <w:tc>
          <w:tcPr>
            <w:tcW w:w="1472" w:type="dxa"/>
          </w:tcPr>
          <w:p w14:paraId="1E9D47E0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12DB0FB4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017D8482" w14:textId="77777777" w:rsidTr="00D46366">
        <w:trPr>
          <w:trHeight w:val="396"/>
        </w:trPr>
        <w:tc>
          <w:tcPr>
            <w:tcW w:w="3701" w:type="dxa"/>
          </w:tcPr>
          <w:p w14:paraId="17A11D42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rFonts w:cstheme="minorHAnsi"/>
              </w:rPr>
              <w:t>31 – 40</w:t>
            </w:r>
          </w:p>
        </w:tc>
        <w:tc>
          <w:tcPr>
            <w:tcW w:w="1582" w:type="dxa"/>
          </w:tcPr>
          <w:p w14:paraId="1AEC3A88" w14:textId="77777777" w:rsidR="009754AE" w:rsidRPr="007F001E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472" w:type="dxa"/>
          </w:tcPr>
          <w:p w14:paraId="738E26CE" w14:textId="77777777" w:rsidR="009754AE" w:rsidRPr="007F001E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0.8 – 1.5 </w:t>
            </w:r>
            <w:r w:rsidRPr="00E52C25">
              <w:rPr>
                <w:lang w:val="en-US"/>
              </w:rPr>
              <w:t xml:space="preserve">   </w:t>
            </w:r>
          </w:p>
        </w:tc>
        <w:tc>
          <w:tcPr>
            <w:tcW w:w="2709" w:type="dxa"/>
          </w:tcPr>
          <w:p w14:paraId="2F739DE7" w14:textId="0F3AFC11" w:rsidR="009754AE" w:rsidRPr="007F001E" w:rsidRDefault="009754AE" w:rsidP="00D46366">
            <w:pPr>
              <w:spacing w:line="480" w:lineRule="auto"/>
              <w:rPr>
                <w:lang w:val="en-US"/>
              </w:rPr>
            </w:pPr>
            <w:r w:rsidRPr="00E52C25">
              <w:rPr>
                <w:lang w:val="en-US"/>
              </w:rPr>
              <w:t>0.</w:t>
            </w:r>
            <w:r>
              <w:rPr>
                <w:lang w:val="en-US"/>
              </w:rPr>
              <w:t>457</w:t>
            </w:r>
          </w:p>
        </w:tc>
      </w:tr>
      <w:tr w:rsidR="009754AE" w14:paraId="3B04FB33" w14:textId="77777777" w:rsidTr="00D46366">
        <w:trPr>
          <w:trHeight w:val="396"/>
        </w:trPr>
        <w:tc>
          <w:tcPr>
            <w:tcW w:w="3701" w:type="dxa"/>
          </w:tcPr>
          <w:p w14:paraId="47511DAF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rFonts w:cstheme="minorHAnsi"/>
              </w:rPr>
              <w:t>41 – 57</w:t>
            </w:r>
          </w:p>
        </w:tc>
        <w:tc>
          <w:tcPr>
            <w:tcW w:w="1582" w:type="dxa"/>
          </w:tcPr>
          <w:p w14:paraId="0DEC8DBB" w14:textId="18CDE455" w:rsidR="009754AE" w:rsidRPr="007F001E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1472" w:type="dxa"/>
          </w:tcPr>
          <w:p w14:paraId="470604FE" w14:textId="77777777" w:rsidR="009754AE" w:rsidRPr="007F001E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0.8 – 1.7</w:t>
            </w:r>
          </w:p>
        </w:tc>
        <w:tc>
          <w:tcPr>
            <w:tcW w:w="2709" w:type="dxa"/>
          </w:tcPr>
          <w:p w14:paraId="4CFA57BE" w14:textId="34B59940" w:rsidR="009754AE" w:rsidRPr="007F001E" w:rsidRDefault="009754AE" w:rsidP="00D46366">
            <w:pPr>
              <w:spacing w:line="480" w:lineRule="auto"/>
              <w:rPr>
                <w:lang w:val="en-US"/>
              </w:rPr>
            </w:pPr>
            <w:r w:rsidRPr="00E52C25">
              <w:rPr>
                <w:lang w:val="en-US"/>
              </w:rPr>
              <w:t>0.</w:t>
            </w:r>
            <w:r>
              <w:rPr>
                <w:lang w:val="en-US"/>
              </w:rPr>
              <w:t>488</w:t>
            </w:r>
          </w:p>
        </w:tc>
      </w:tr>
      <w:tr w:rsidR="009754AE" w14:paraId="3FEAFBF3" w14:textId="77777777" w:rsidTr="00D46366">
        <w:trPr>
          <w:trHeight w:val="396"/>
        </w:trPr>
        <w:tc>
          <w:tcPr>
            <w:tcW w:w="3701" w:type="dxa"/>
          </w:tcPr>
          <w:p w14:paraId="4925B1F0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582" w:type="dxa"/>
          </w:tcPr>
          <w:p w14:paraId="462818EE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0B514D03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49042ACE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375D8493" w14:textId="77777777" w:rsidTr="00D46366">
        <w:trPr>
          <w:trHeight w:val="396"/>
        </w:trPr>
        <w:tc>
          <w:tcPr>
            <w:tcW w:w="3701" w:type="dxa"/>
          </w:tcPr>
          <w:p w14:paraId="34D06E52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Sex</w:t>
            </w:r>
          </w:p>
        </w:tc>
        <w:tc>
          <w:tcPr>
            <w:tcW w:w="1582" w:type="dxa"/>
          </w:tcPr>
          <w:p w14:paraId="3B251FD9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1A439C6E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2ED4DE36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3C173BE6" w14:textId="77777777" w:rsidTr="00D46366">
        <w:trPr>
          <w:trHeight w:val="396"/>
        </w:trPr>
        <w:tc>
          <w:tcPr>
            <w:tcW w:w="3701" w:type="dxa"/>
          </w:tcPr>
          <w:p w14:paraId="19B3D5C5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 w:rsidRPr="0086583C">
              <w:rPr>
                <w:rFonts w:cstheme="minorHAnsi"/>
              </w:rPr>
              <w:t>Male</w:t>
            </w:r>
          </w:p>
        </w:tc>
        <w:tc>
          <w:tcPr>
            <w:tcW w:w="1582" w:type="dxa"/>
          </w:tcPr>
          <w:p w14:paraId="231C9C4B" w14:textId="77777777" w:rsidR="009754AE" w:rsidRPr="007E3DB8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Ref</w:t>
            </w:r>
          </w:p>
        </w:tc>
        <w:tc>
          <w:tcPr>
            <w:tcW w:w="1472" w:type="dxa"/>
          </w:tcPr>
          <w:p w14:paraId="1BA4A5CA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1679073C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62B6DB46" w14:textId="77777777" w:rsidTr="00D46366">
        <w:trPr>
          <w:trHeight w:val="396"/>
        </w:trPr>
        <w:tc>
          <w:tcPr>
            <w:tcW w:w="3701" w:type="dxa"/>
          </w:tcPr>
          <w:p w14:paraId="6261BBBF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582" w:type="dxa"/>
          </w:tcPr>
          <w:p w14:paraId="5A6C7C61" w14:textId="77777777" w:rsidR="009754AE" w:rsidRPr="007E3DB8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472" w:type="dxa"/>
          </w:tcPr>
          <w:p w14:paraId="0EEC87F5" w14:textId="19E7E251" w:rsidR="009754AE" w:rsidRPr="007E3DB8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1.0 – 1.</w:t>
            </w:r>
            <w:r>
              <w:rPr>
                <w:lang w:val="en-US"/>
              </w:rPr>
              <w:t>4</w:t>
            </w:r>
          </w:p>
        </w:tc>
        <w:tc>
          <w:tcPr>
            <w:tcW w:w="2709" w:type="dxa"/>
          </w:tcPr>
          <w:p w14:paraId="23287901" w14:textId="7161D2D7" w:rsidR="009754AE" w:rsidRPr="007E3DB8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0.1</w:t>
            </w:r>
            <w:r>
              <w:rPr>
                <w:lang w:val="en-US"/>
              </w:rPr>
              <w:t>37</w:t>
            </w:r>
          </w:p>
        </w:tc>
      </w:tr>
      <w:tr w:rsidR="009754AE" w14:paraId="1FF0B885" w14:textId="77777777" w:rsidTr="00D46366">
        <w:trPr>
          <w:trHeight w:val="396"/>
        </w:trPr>
        <w:tc>
          <w:tcPr>
            <w:tcW w:w="3701" w:type="dxa"/>
          </w:tcPr>
          <w:p w14:paraId="1C070A50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582" w:type="dxa"/>
          </w:tcPr>
          <w:p w14:paraId="55235888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48083F75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7F77547A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2874C0F9" w14:textId="77777777" w:rsidTr="00D46366">
        <w:trPr>
          <w:trHeight w:val="396"/>
        </w:trPr>
        <w:tc>
          <w:tcPr>
            <w:tcW w:w="3701" w:type="dxa"/>
          </w:tcPr>
          <w:p w14:paraId="70E384E1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Employment </w:t>
            </w:r>
          </w:p>
        </w:tc>
        <w:tc>
          <w:tcPr>
            <w:tcW w:w="1582" w:type="dxa"/>
          </w:tcPr>
          <w:p w14:paraId="636D9F47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7F84443A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103A5252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06786AD2" w14:textId="77777777" w:rsidTr="00D46366">
        <w:trPr>
          <w:trHeight w:val="387"/>
        </w:trPr>
        <w:tc>
          <w:tcPr>
            <w:tcW w:w="3701" w:type="dxa"/>
          </w:tcPr>
          <w:p w14:paraId="221BD83E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 w:rsidRPr="0086583C">
              <w:rPr>
                <w:rFonts w:cstheme="minorHAnsi"/>
              </w:rPr>
              <w:t>Unemployed</w:t>
            </w:r>
          </w:p>
        </w:tc>
        <w:tc>
          <w:tcPr>
            <w:tcW w:w="1582" w:type="dxa"/>
          </w:tcPr>
          <w:p w14:paraId="21437673" w14:textId="77777777" w:rsidR="009754AE" w:rsidRPr="009365B4" w:rsidRDefault="009754AE" w:rsidP="00D46366">
            <w:pPr>
              <w:spacing w:line="480" w:lineRule="auto"/>
              <w:rPr>
                <w:lang w:val="en-US"/>
              </w:rPr>
            </w:pPr>
            <w:r w:rsidRPr="009365B4">
              <w:rPr>
                <w:lang w:val="en-US"/>
              </w:rPr>
              <w:t>Ref</w:t>
            </w:r>
          </w:p>
        </w:tc>
        <w:tc>
          <w:tcPr>
            <w:tcW w:w="1472" w:type="dxa"/>
          </w:tcPr>
          <w:p w14:paraId="3423EEE6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6190AE37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5D355D5C" w14:textId="77777777" w:rsidTr="00D46366">
        <w:trPr>
          <w:trHeight w:val="387"/>
        </w:trPr>
        <w:tc>
          <w:tcPr>
            <w:tcW w:w="3701" w:type="dxa"/>
          </w:tcPr>
          <w:p w14:paraId="54A6B0E9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 w:rsidRPr="0086583C">
              <w:rPr>
                <w:rFonts w:cstheme="minorHAnsi"/>
              </w:rPr>
              <w:t xml:space="preserve">Employed </w:t>
            </w:r>
          </w:p>
        </w:tc>
        <w:tc>
          <w:tcPr>
            <w:tcW w:w="1582" w:type="dxa"/>
          </w:tcPr>
          <w:p w14:paraId="19DDC472" w14:textId="4CE31D0F" w:rsidR="009754AE" w:rsidRPr="009365B4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</w:t>
            </w:r>
            <w:r>
              <w:rPr>
                <w:lang w:val="en-US"/>
              </w:rPr>
              <w:t>8</w:t>
            </w:r>
          </w:p>
        </w:tc>
        <w:tc>
          <w:tcPr>
            <w:tcW w:w="1472" w:type="dxa"/>
          </w:tcPr>
          <w:p w14:paraId="6BC60F2C" w14:textId="5CCAEE1F" w:rsidR="009754AE" w:rsidRPr="00DB5390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0.7 – 1.</w:t>
            </w:r>
            <w:r>
              <w:rPr>
                <w:lang w:val="en-US"/>
              </w:rPr>
              <w:t>0</w:t>
            </w:r>
          </w:p>
        </w:tc>
        <w:tc>
          <w:tcPr>
            <w:tcW w:w="2709" w:type="dxa"/>
          </w:tcPr>
          <w:p w14:paraId="2840E8F2" w14:textId="248DADBC" w:rsidR="009754AE" w:rsidRPr="004F717D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</w:t>
            </w:r>
            <w:r>
              <w:rPr>
                <w:lang w:val="en-US"/>
              </w:rPr>
              <w:t>104</w:t>
            </w:r>
          </w:p>
        </w:tc>
      </w:tr>
      <w:tr w:rsidR="009754AE" w14:paraId="5BF59F28" w14:textId="77777777" w:rsidTr="00D46366">
        <w:trPr>
          <w:trHeight w:val="387"/>
        </w:trPr>
        <w:tc>
          <w:tcPr>
            <w:tcW w:w="3701" w:type="dxa"/>
          </w:tcPr>
          <w:p w14:paraId="634B7D45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82" w:type="dxa"/>
          </w:tcPr>
          <w:p w14:paraId="62119AA7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5866E9A9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7F1ECEEF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6C12ABB2" w14:textId="77777777" w:rsidTr="00D46366">
        <w:trPr>
          <w:trHeight w:val="387"/>
        </w:trPr>
        <w:tc>
          <w:tcPr>
            <w:tcW w:w="3701" w:type="dxa"/>
          </w:tcPr>
          <w:p w14:paraId="78E7B6F1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 w:rsidRPr="004F5675">
              <w:rPr>
                <w:rFonts w:cstheme="minorHAnsi"/>
                <w:b/>
                <w:bCs/>
              </w:rPr>
              <w:t>Accommodation</w:t>
            </w:r>
          </w:p>
        </w:tc>
        <w:tc>
          <w:tcPr>
            <w:tcW w:w="1582" w:type="dxa"/>
          </w:tcPr>
          <w:p w14:paraId="6C622D97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0D7BE562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651B86E3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3740F338" w14:textId="77777777" w:rsidTr="00D46366">
        <w:trPr>
          <w:trHeight w:val="387"/>
        </w:trPr>
        <w:tc>
          <w:tcPr>
            <w:tcW w:w="3701" w:type="dxa"/>
          </w:tcPr>
          <w:p w14:paraId="2351C7D3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 w:rsidRPr="0086583C">
              <w:rPr>
                <w:rFonts w:cstheme="minorHAnsi"/>
              </w:rPr>
              <w:t>Stable</w:t>
            </w:r>
          </w:p>
        </w:tc>
        <w:tc>
          <w:tcPr>
            <w:tcW w:w="1582" w:type="dxa"/>
          </w:tcPr>
          <w:p w14:paraId="136B9C62" w14:textId="77777777" w:rsidR="009754AE" w:rsidRPr="00317EB3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472" w:type="dxa"/>
          </w:tcPr>
          <w:p w14:paraId="225B0DF5" w14:textId="77777777" w:rsidR="009754AE" w:rsidRPr="00317EB3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0.9 – 1.3</w:t>
            </w:r>
          </w:p>
        </w:tc>
        <w:tc>
          <w:tcPr>
            <w:tcW w:w="2709" w:type="dxa"/>
          </w:tcPr>
          <w:p w14:paraId="1A3325E1" w14:textId="10E23019" w:rsidR="009754AE" w:rsidRPr="00317EB3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0.5</w:t>
            </w:r>
            <w:r>
              <w:rPr>
                <w:lang w:val="en-US"/>
              </w:rPr>
              <w:t>03</w:t>
            </w:r>
          </w:p>
        </w:tc>
      </w:tr>
      <w:tr w:rsidR="009754AE" w14:paraId="1D247434" w14:textId="77777777" w:rsidTr="00D46366">
        <w:trPr>
          <w:trHeight w:val="387"/>
        </w:trPr>
        <w:tc>
          <w:tcPr>
            <w:tcW w:w="3701" w:type="dxa"/>
          </w:tcPr>
          <w:p w14:paraId="51BF73F3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 w:rsidRPr="0086583C">
              <w:rPr>
                <w:rFonts w:cstheme="minorHAnsi"/>
              </w:rPr>
              <w:t>Unstable</w:t>
            </w:r>
          </w:p>
        </w:tc>
        <w:tc>
          <w:tcPr>
            <w:tcW w:w="1582" w:type="dxa"/>
          </w:tcPr>
          <w:p w14:paraId="38D00B7E" w14:textId="77777777" w:rsidR="009754AE" w:rsidRPr="00317EB3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Ref</w:t>
            </w:r>
          </w:p>
        </w:tc>
        <w:tc>
          <w:tcPr>
            <w:tcW w:w="1472" w:type="dxa"/>
          </w:tcPr>
          <w:p w14:paraId="2055AEED" w14:textId="77777777" w:rsidR="009754AE" w:rsidRPr="00317EB3" w:rsidRDefault="009754AE" w:rsidP="00D4636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709" w:type="dxa"/>
          </w:tcPr>
          <w:p w14:paraId="12247EE3" w14:textId="77777777" w:rsidR="009754AE" w:rsidRPr="00317EB3" w:rsidRDefault="009754AE" w:rsidP="00D46366">
            <w:pPr>
              <w:spacing w:line="480" w:lineRule="auto"/>
              <w:rPr>
                <w:lang w:val="en-US"/>
              </w:rPr>
            </w:pPr>
          </w:p>
        </w:tc>
      </w:tr>
      <w:tr w:rsidR="009754AE" w14:paraId="2B818F48" w14:textId="77777777" w:rsidTr="00D46366">
        <w:trPr>
          <w:trHeight w:val="387"/>
        </w:trPr>
        <w:tc>
          <w:tcPr>
            <w:tcW w:w="3701" w:type="dxa"/>
          </w:tcPr>
          <w:p w14:paraId="1A8AA90A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82" w:type="dxa"/>
          </w:tcPr>
          <w:p w14:paraId="5483964F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572A3EF2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0ABDB97C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1A2E62C2" w14:textId="77777777" w:rsidTr="00D46366">
        <w:trPr>
          <w:trHeight w:val="387"/>
        </w:trPr>
        <w:tc>
          <w:tcPr>
            <w:tcW w:w="3701" w:type="dxa"/>
          </w:tcPr>
          <w:p w14:paraId="246290B4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  <w:r w:rsidRPr="009D591E">
              <w:rPr>
                <w:rFonts w:cstheme="minorHAnsi"/>
                <w:b/>
                <w:bCs/>
              </w:rPr>
              <w:t>Social support</w:t>
            </w:r>
          </w:p>
        </w:tc>
        <w:tc>
          <w:tcPr>
            <w:tcW w:w="1582" w:type="dxa"/>
          </w:tcPr>
          <w:p w14:paraId="7456112B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24DD9F46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6534159F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37CD5B98" w14:textId="77777777" w:rsidTr="00D46366">
        <w:trPr>
          <w:trHeight w:val="387"/>
        </w:trPr>
        <w:tc>
          <w:tcPr>
            <w:tcW w:w="3701" w:type="dxa"/>
          </w:tcPr>
          <w:p w14:paraId="008F78D5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  <w:r w:rsidRPr="0086583C">
              <w:rPr>
                <w:rFonts w:cstheme="minorHAnsi"/>
              </w:rPr>
              <w:t>Yes</w:t>
            </w:r>
          </w:p>
        </w:tc>
        <w:tc>
          <w:tcPr>
            <w:tcW w:w="1582" w:type="dxa"/>
          </w:tcPr>
          <w:p w14:paraId="1B1B3A61" w14:textId="72AD1B7C" w:rsidR="009754AE" w:rsidRPr="002970FC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1472" w:type="dxa"/>
          </w:tcPr>
          <w:p w14:paraId="7E9B5B26" w14:textId="334AFA76" w:rsidR="009754AE" w:rsidRPr="002970FC" w:rsidRDefault="009754AE" w:rsidP="00D46366">
            <w:pPr>
              <w:spacing w:line="480" w:lineRule="auto"/>
              <w:rPr>
                <w:lang w:val="en-US"/>
              </w:rPr>
            </w:pPr>
            <w:r w:rsidRPr="002970FC">
              <w:rPr>
                <w:lang w:val="en-US"/>
              </w:rPr>
              <w:t>0.</w:t>
            </w:r>
            <w:r>
              <w:rPr>
                <w:lang w:val="en-US"/>
              </w:rPr>
              <w:t>8</w:t>
            </w:r>
            <w:r w:rsidRPr="002970FC">
              <w:rPr>
                <w:lang w:val="en-US"/>
              </w:rPr>
              <w:t xml:space="preserve"> – 1.</w:t>
            </w:r>
            <w:r>
              <w:rPr>
                <w:lang w:val="en-US"/>
              </w:rPr>
              <w:t>4</w:t>
            </w:r>
          </w:p>
        </w:tc>
        <w:tc>
          <w:tcPr>
            <w:tcW w:w="2709" w:type="dxa"/>
          </w:tcPr>
          <w:p w14:paraId="2904CA30" w14:textId="5CB64629" w:rsidR="009754AE" w:rsidRPr="002970FC" w:rsidRDefault="009754AE" w:rsidP="00D46366">
            <w:pPr>
              <w:spacing w:line="480" w:lineRule="auto"/>
              <w:rPr>
                <w:lang w:val="en-US"/>
              </w:rPr>
            </w:pPr>
            <w:r w:rsidRPr="002970FC">
              <w:rPr>
                <w:lang w:val="en-US"/>
              </w:rPr>
              <w:t>0.</w:t>
            </w:r>
            <w:r>
              <w:rPr>
                <w:lang w:val="en-US"/>
              </w:rPr>
              <w:t>560</w:t>
            </w:r>
          </w:p>
        </w:tc>
      </w:tr>
      <w:tr w:rsidR="009754AE" w14:paraId="71C695D0" w14:textId="77777777" w:rsidTr="00D46366">
        <w:trPr>
          <w:trHeight w:val="387"/>
        </w:trPr>
        <w:tc>
          <w:tcPr>
            <w:tcW w:w="3701" w:type="dxa"/>
          </w:tcPr>
          <w:p w14:paraId="5C3FACFC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  <w:r w:rsidRPr="0086583C">
              <w:rPr>
                <w:rFonts w:cstheme="minorHAnsi"/>
              </w:rPr>
              <w:t>No</w:t>
            </w:r>
          </w:p>
        </w:tc>
        <w:tc>
          <w:tcPr>
            <w:tcW w:w="1582" w:type="dxa"/>
          </w:tcPr>
          <w:p w14:paraId="11DC266D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Ref</w:t>
            </w:r>
          </w:p>
        </w:tc>
        <w:tc>
          <w:tcPr>
            <w:tcW w:w="1472" w:type="dxa"/>
          </w:tcPr>
          <w:p w14:paraId="45BAE622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2E1B8B95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41BDC4C9" w14:textId="77777777" w:rsidTr="00D46366">
        <w:trPr>
          <w:trHeight w:val="387"/>
        </w:trPr>
        <w:tc>
          <w:tcPr>
            <w:tcW w:w="3701" w:type="dxa"/>
          </w:tcPr>
          <w:p w14:paraId="6A6E3FBA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82" w:type="dxa"/>
          </w:tcPr>
          <w:p w14:paraId="228FA374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7B7E6DA8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3C41C20A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28585E5D" w14:textId="77777777" w:rsidTr="00D46366">
        <w:trPr>
          <w:trHeight w:val="387"/>
        </w:trPr>
        <w:tc>
          <w:tcPr>
            <w:tcW w:w="3701" w:type="dxa"/>
          </w:tcPr>
          <w:p w14:paraId="283333FB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  <w:r w:rsidRPr="004F5675">
              <w:rPr>
                <w:rFonts w:cstheme="minorHAnsi"/>
                <w:b/>
                <w:bCs/>
              </w:rPr>
              <w:t>Duration of injecting drug use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F5675">
              <w:rPr>
                <w:rFonts w:cstheme="minorHAnsi"/>
                <w:b/>
                <w:bCs/>
              </w:rPr>
              <w:t>(years)</w:t>
            </w:r>
          </w:p>
        </w:tc>
        <w:tc>
          <w:tcPr>
            <w:tcW w:w="1582" w:type="dxa"/>
          </w:tcPr>
          <w:p w14:paraId="4F5DD94F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5E667D38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1CDEBF2A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0EC59D36" w14:textId="77777777" w:rsidTr="00D46366">
        <w:trPr>
          <w:trHeight w:val="387"/>
        </w:trPr>
        <w:tc>
          <w:tcPr>
            <w:tcW w:w="3701" w:type="dxa"/>
          </w:tcPr>
          <w:p w14:paraId="6128E0C9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  <w:r w:rsidRPr="00503E74">
              <w:rPr>
                <w:rFonts w:cstheme="minorHAnsi"/>
              </w:rPr>
              <w:t>&lt;1</w:t>
            </w:r>
            <w:r>
              <w:rPr>
                <w:rFonts w:cstheme="minorHAnsi"/>
              </w:rPr>
              <w:t>8</w:t>
            </w:r>
          </w:p>
        </w:tc>
        <w:tc>
          <w:tcPr>
            <w:tcW w:w="1582" w:type="dxa"/>
          </w:tcPr>
          <w:p w14:paraId="78447866" w14:textId="77777777" w:rsidR="009754AE" w:rsidRPr="00593609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Ref</w:t>
            </w:r>
          </w:p>
        </w:tc>
        <w:tc>
          <w:tcPr>
            <w:tcW w:w="1472" w:type="dxa"/>
          </w:tcPr>
          <w:p w14:paraId="75CBEB25" w14:textId="77777777" w:rsidR="009754AE" w:rsidRPr="00593609" w:rsidRDefault="009754AE" w:rsidP="00D4636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709" w:type="dxa"/>
          </w:tcPr>
          <w:p w14:paraId="2B08E1A7" w14:textId="77777777" w:rsidR="009754AE" w:rsidRPr="00593609" w:rsidRDefault="009754AE" w:rsidP="00D46366">
            <w:pPr>
              <w:spacing w:line="480" w:lineRule="auto"/>
              <w:rPr>
                <w:lang w:val="en-US"/>
              </w:rPr>
            </w:pPr>
          </w:p>
        </w:tc>
      </w:tr>
      <w:tr w:rsidR="009754AE" w14:paraId="18BD32BC" w14:textId="77777777" w:rsidTr="00D46366">
        <w:trPr>
          <w:trHeight w:val="387"/>
        </w:trPr>
        <w:tc>
          <w:tcPr>
            <w:tcW w:w="3701" w:type="dxa"/>
          </w:tcPr>
          <w:p w14:paraId="4E2CD66A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  <w:r w:rsidRPr="00503E74">
              <w:rPr>
                <w:rFonts w:cstheme="minorHAnsi"/>
              </w:rPr>
              <w:t>&gt;=</w:t>
            </w:r>
            <w:r>
              <w:rPr>
                <w:rFonts w:cstheme="minorHAnsi"/>
              </w:rPr>
              <w:t>18</w:t>
            </w:r>
          </w:p>
        </w:tc>
        <w:tc>
          <w:tcPr>
            <w:tcW w:w="1582" w:type="dxa"/>
          </w:tcPr>
          <w:p w14:paraId="292A8A62" w14:textId="77777777" w:rsidR="009754AE" w:rsidRPr="00593609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472" w:type="dxa"/>
          </w:tcPr>
          <w:p w14:paraId="600B9E54" w14:textId="77777777" w:rsidR="009754AE" w:rsidRPr="00593609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0.9 – 1.4</w:t>
            </w:r>
          </w:p>
        </w:tc>
        <w:tc>
          <w:tcPr>
            <w:tcW w:w="2709" w:type="dxa"/>
          </w:tcPr>
          <w:p w14:paraId="38C5D65B" w14:textId="36324D5F" w:rsidR="009754AE" w:rsidRPr="00593609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C2C8E">
              <w:rPr>
                <w:lang w:val="en-US"/>
              </w:rPr>
              <w:t>252</w:t>
            </w:r>
          </w:p>
        </w:tc>
      </w:tr>
      <w:tr w:rsidR="009754AE" w14:paraId="5698C700" w14:textId="77777777" w:rsidTr="00D46366">
        <w:trPr>
          <w:trHeight w:val="387"/>
        </w:trPr>
        <w:tc>
          <w:tcPr>
            <w:tcW w:w="3701" w:type="dxa"/>
          </w:tcPr>
          <w:p w14:paraId="2D500953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82" w:type="dxa"/>
          </w:tcPr>
          <w:p w14:paraId="72828360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13F6EBFE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02C83B54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4274CDE8" w14:textId="77777777" w:rsidTr="00D46366">
        <w:trPr>
          <w:trHeight w:val="387"/>
        </w:trPr>
        <w:tc>
          <w:tcPr>
            <w:tcW w:w="3701" w:type="dxa"/>
          </w:tcPr>
          <w:p w14:paraId="3E1741C4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OAT</w:t>
            </w:r>
            <w:r w:rsidRPr="004F567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in the last one month</w:t>
            </w:r>
          </w:p>
        </w:tc>
        <w:tc>
          <w:tcPr>
            <w:tcW w:w="1582" w:type="dxa"/>
          </w:tcPr>
          <w:p w14:paraId="1D42C2DD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253A56C7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4A1FD680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1B99DD1A" w14:textId="77777777" w:rsidTr="00D46366">
        <w:trPr>
          <w:trHeight w:val="387"/>
        </w:trPr>
        <w:tc>
          <w:tcPr>
            <w:tcW w:w="3701" w:type="dxa"/>
          </w:tcPr>
          <w:p w14:paraId="160C1C38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  <w:r w:rsidRPr="0086583C">
              <w:rPr>
                <w:rFonts w:cstheme="minorHAnsi"/>
              </w:rPr>
              <w:t>Yes</w:t>
            </w:r>
          </w:p>
        </w:tc>
        <w:tc>
          <w:tcPr>
            <w:tcW w:w="1582" w:type="dxa"/>
          </w:tcPr>
          <w:p w14:paraId="69A34923" w14:textId="1D0E1B8D" w:rsidR="009754AE" w:rsidRPr="009365B4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</w:t>
            </w:r>
            <w:r w:rsidR="008C2C8E">
              <w:rPr>
                <w:b/>
                <w:bCs/>
                <w:lang w:val="en-US"/>
              </w:rPr>
              <w:t>8</w:t>
            </w:r>
          </w:p>
        </w:tc>
        <w:tc>
          <w:tcPr>
            <w:tcW w:w="1472" w:type="dxa"/>
          </w:tcPr>
          <w:p w14:paraId="3839B7C8" w14:textId="5BCEF17B" w:rsidR="009754AE" w:rsidRPr="009365B4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</w:t>
            </w:r>
            <w:r w:rsidR="008C2C8E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 xml:space="preserve"> – 0.9</w:t>
            </w:r>
          </w:p>
        </w:tc>
        <w:tc>
          <w:tcPr>
            <w:tcW w:w="2709" w:type="dxa"/>
          </w:tcPr>
          <w:p w14:paraId="194C34FF" w14:textId="036A9B55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  <w:r w:rsidR="008C2C8E">
              <w:rPr>
                <w:b/>
                <w:bCs/>
                <w:lang w:val="en-US"/>
              </w:rPr>
              <w:t>36</w:t>
            </w:r>
          </w:p>
        </w:tc>
      </w:tr>
      <w:tr w:rsidR="009754AE" w14:paraId="50FDC108" w14:textId="77777777" w:rsidTr="00D46366">
        <w:trPr>
          <w:trHeight w:val="387"/>
        </w:trPr>
        <w:tc>
          <w:tcPr>
            <w:tcW w:w="3701" w:type="dxa"/>
          </w:tcPr>
          <w:p w14:paraId="78C3E657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  <w:r w:rsidRPr="0086583C">
              <w:rPr>
                <w:rFonts w:cstheme="minorHAnsi"/>
              </w:rPr>
              <w:t>No</w:t>
            </w:r>
          </w:p>
        </w:tc>
        <w:tc>
          <w:tcPr>
            <w:tcW w:w="1582" w:type="dxa"/>
          </w:tcPr>
          <w:p w14:paraId="0E6884C8" w14:textId="77777777" w:rsidR="009754AE" w:rsidRPr="009365B4" w:rsidRDefault="009754AE" w:rsidP="00D46366">
            <w:pPr>
              <w:spacing w:line="480" w:lineRule="auto"/>
              <w:rPr>
                <w:lang w:val="en-US"/>
              </w:rPr>
            </w:pPr>
            <w:r w:rsidRPr="009365B4">
              <w:rPr>
                <w:lang w:val="en-US"/>
              </w:rPr>
              <w:t>Ref</w:t>
            </w:r>
          </w:p>
        </w:tc>
        <w:tc>
          <w:tcPr>
            <w:tcW w:w="1472" w:type="dxa"/>
          </w:tcPr>
          <w:p w14:paraId="5ABA92CB" w14:textId="77777777" w:rsidR="009754AE" w:rsidRPr="009365B4" w:rsidRDefault="009754AE" w:rsidP="00D4636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709" w:type="dxa"/>
          </w:tcPr>
          <w:p w14:paraId="429E610B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34C391E2" w14:textId="77777777" w:rsidTr="00D46366">
        <w:trPr>
          <w:trHeight w:val="387"/>
        </w:trPr>
        <w:tc>
          <w:tcPr>
            <w:tcW w:w="3701" w:type="dxa"/>
          </w:tcPr>
          <w:p w14:paraId="31E3282C" w14:textId="77777777" w:rsidR="009754AE" w:rsidRDefault="009754AE" w:rsidP="00D4636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82" w:type="dxa"/>
          </w:tcPr>
          <w:p w14:paraId="7288F8C6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0BBCA723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5F64B012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1B4058F5" w14:textId="77777777" w:rsidTr="00D46366">
        <w:trPr>
          <w:trHeight w:val="387"/>
        </w:trPr>
        <w:tc>
          <w:tcPr>
            <w:tcW w:w="3701" w:type="dxa"/>
          </w:tcPr>
          <w:p w14:paraId="4DC061CB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Health or social service attendance in the last one month</w:t>
            </w:r>
          </w:p>
        </w:tc>
        <w:tc>
          <w:tcPr>
            <w:tcW w:w="1582" w:type="dxa"/>
          </w:tcPr>
          <w:p w14:paraId="687488A7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59AB5BB0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1DE953CB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330A2A63" w14:textId="77777777" w:rsidTr="00D46366">
        <w:trPr>
          <w:trHeight w:val="387"/>
        </w:trPr>
        <w:tc>
          <w:tcPr>
            <w:tcW w:w="3701" w:type="dxa"/>
          </w:tcPr>
          <w:p w14:paraId="0EA16A0D" w14:textId="77777777" w:rsidR="009754AE" w:rsidRPr="00DE6C38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582" w:type="dxa"/>
          </w:tcPr>
          <w:p w14:paraId="616E2D4B" w14:textId="77777777" w:rsidR="009754AE" w:rsidRPr="009365B4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0.7</w:t>
            </w:r>
          </w:p>
        </w:tc>
        <w:tc>
          <w:tcPr>
            <w:tcW w:w="1472" w:type="dxa"/>
          </w:tcPr>
          <w:p w14:paraId="5ACC7567" w14:textId="77777777" w:rsidR="009754AE" w:rsidRPr="009365B4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0.6</w:t>
            </w:r>
            <w:r w:rsidRPr="009365B4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0.9</w:t>
            </w:r>
          </w:p>
        </w:tc>
        <w:tc>
          <w:tcPr>
            <w:tcW w:w="2709" w:type="dxa"/>
          </w:tcPr>
          <w:p w14:paraId="70C0E47B" w14:textId="42573504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0.00</w:t>
            </w:r>
            <w:r w:rsidR="008C2C8E">
              <w:rPr>
                <w:b/>
                <w:bCs/>
                <w:lang w:val="en-US"/>
              </w:rPr>
              <w:t>5</w:t>
            </w:r>
          </w:p>
        </w:tc>
      </w:tr>
      <w:tr w:rsidR="009754AE" w14:paraId="45A7FE9F" w14:textId="77777777" w:rsidTr="00D46366">
        <w:trPr>
          <w:trHeight w:val="387"/>
        </w:trPr>
        <w:tc>
          <w:tcPr>
            <w:tcW w:w="3701" w:type="dxa"/>
          </w:tcPr>
          <w:p w14:paraId="2808DA6E" w14:textId="77777777" w:rsidR="009754AE" w:rsidRPr="00DE6C38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582" w:type="dxa"/>
          </w:tcPr>
          <w:p w14:paraId="76B065DB" w14:textId="77777777" w:rsidR="009754AE" w:rsidRPr="00DE6C38" w:rsidRDefault="009754A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Ref</w:t>
            </w:r>
          </w:p>
        </w:tc>
        <w:tc>
          <w:tcPr>
            <w:tcW w:w="1472" w:type="dxa"/>
          </w:tcPr>
          <w:p w14:paraId="68406FBA" w14:textId="77777777" w:rsidR="009754AE" w:rsidRPr="00DE6C38" w:rsidRDefault="009754AE" w:rsidP="00D4636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709" w:type="dxa"/>
          </w:tcPr>
          <w:p w14:paraId="0B0B2570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6D9C4216" w14:textId="77777777" w:rsidTr="00D46366">
        <w:trPr>
          <w:trHeight w:val="387"/>
        </w:trPr>
        <w:tc>
          <w:tcPr>
            <w:tcW w:w="3701" w:type="dxa"/>
          </w:tcPr>
          <w:p w14:paraId="58DFF7CC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582" w:type="dxa"/>
          </w:tcPr>
          <w:p w14:paraId="23322561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1472" w:type="dxa"/>
          </w:tcPr>
          <w:p w14:paraId="55D0ACAA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2709" w:type="dxa"/>
          </w:tcPr>
          <w:p w14:paraId="417CD8F7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5FE728E7" w14:textId="77777777" w:rsidTr="00D46366">
        <w:trPr>
          <w:trHeight w:val="387"/>
        </w:trPr>
        <w:tc>
          <w:tcPr>
            <w:tcW w:w="3701" w:type="dxa"/>
          </w:tcPr>
          <w:p w14:paraId="1EA03557" w14:textId="7D0AA7BC" w:rsidR="009754AE" w:rsidRPr="009920B3" w:rsidRDefault="00344A21" w:rsidP="00D46366">
            <w:pPr>
              <w:spacing w:line="480" w:lineRule="auto"/>
              <w:rPr>
                <w:lang w:val="en-US"/>
              </w:rPr>
            </w:pPr>
            <w:r>
              <w:rPr>
                <w:rFonts w:cstheme="minorHAnsi"/>
                <w:b/>
                <w:bCs/>
              </w:rPr>
              <w:t>Year of diagnosis</w:t>
            </w:r>
          </w:p>
        </w:tc>
        <w:tc>
          <w:tcPr>
            <w:tcW w:w="1582" w:type="dxa"/>
          </w:tcPr>
          <w:p w14:paraId="032AFB17" w14:textId="77777777" w:rsidR="009754AE" w:rsidRPr="005021ED" w:rsidRDefault="009754AE" w:rsidP="00D4636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472" w:type="dxa"/>
          </w:tcPr>
          <w:p w14:paraId="22EF427A" w14:textId="77777777" w:rsidR="009754AE" w:rsidRPr="0054355B" w:rsidRDefault="009754AE" w:rsidP="00D4636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709" w:type="dxa"/>
          </w:tcPr>
          <w:p w14:paraId="4FD600BD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9754AE" w14:paraId="37303D39" w14:textId="77777777" w:rsidTr="00D46366">
        <w:trPr>
          <w:trHeight w:val="387"/>
        </w:trPr>
        <w:tc>
          <w:tcPr>
            <w:tcW w:w="3701" w:type="dxa"/>
          </w:tcPr>
          <w:p w14:paraId="682A5955" w14:textId="2BD4853D" w:rsidR="009754AE" w:rsidRDefault="008C2C8E" w:rsidP="00D4636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Year of diagnosis</w:t>
            </w:r>
          </w:p>
        </w:tc>
        <w:tc>
          <w:tcPr>
            <w:tcW w:w="1582" w:type="dxa"/>
          </w:tcPr>
          <w:p w14:paraId="3BB1F319" w14:textId="3FA651DD" w:rsidR="009754AE" w:rsidRPr="009365B4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</w:t>
            </w:r>
            <w:r w:rsidR="008C2C8E">
              <w:rPr>
                <w:b/>
                <w:bCs/>
                <w:lang w:val="en-US"/>
              </w:rPr>
              <w:t>8</w:t>
            </w:r>
          </w:p>
        </w:tc>
        <w:tc>
          <w:tcPr>
            <w:tcW w:w="1472" w:type="dxa"/>
          </w:tcPr>
          <w:p w14:paraId="34C7E6BE" w14:textId="6F526F9F" w:rsidR="009754AE" w:rsidRPr="009365B4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</w:t>
            </w:r>
            <w:r w:rsidR="008C2C8E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 </w:t>
            </w:r>
            <w:r w:rsidRPr="009365B4">
              <w:rPr>
                <w:b/>
                <w:bCs/>
                <w:lang w:val="en-US"/>
              </w:rPr>
              <w:t xml:space="preserve">– </w:t>
            </w:r>
            <w:r>
              <w:rPr>
                <w:b/>
                <w:bCs/>
                <w:lang w:val="en-US"/>
              </w:rPr>
              <w:t>0.</w:t>
            </w:r>
            <w:r w:rsidR="008C2C8E">
              <w:rPr>
                <w:b/>
                <w:bCs/>
                <w:lang w:val="en-US"/>
              </w:rPr>
              <w:t>9</w:t>
            </w:r>
          </w:p>
        </w:tc>
        <w:tc>
          <w:tcPr>
            <w:tcW w:w="2709" w:type="dxa"/>
          </w:tcPr>
          <w:p w14:paraId="73EBC6A2" w14:textId="77777777" w:rsidR="009754AE" w:rsidRDefault="009754AE" w:rsidP="00D46366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&lt;0.001</w:t>
            </w:r>
          </w:p>
        </w:tc>
      </w:tr>
    </w:tbl>
    <w:p w14:paraId="50A97DA9" w14:textId="77777777" w:rsidR="009754AE" w:rsidRDefault="009754AE" w:rsidP="009754AE">
      <w:pPr>
        <w:spacing w:line="480" w:lineRule="auto"/>
        <w:rPr>
          <w:b/>
          <w:bCs/>
          <w:sz w:val="20"/>
          <w:szCs w:val="20"/>
        </w:rPr>
      </w:pPr>
    </w:p>
    <w:p w14:paraId="1146A0F4" w14:textId="77777777" w:rsidR="009754AE" w:rsidRDefault="009754AE" w:rsidP="009754AE">
      <w:pPr>
        <w:spacing w:line="480" w:lineRule="auto"/>
        <w:rPr>
          <w:b/>
          <w:bCs/>
          <w:sz w:val="20"/>
          <w:szCs w:val="20"/>
        </w:rPr>
      </w:pPr>
    </w:p>
    <w:p w14:paraId="5D995AF9" w14:textId="77777777" w:rsidR="009754AE" w:rsidRDefault="009754AE" w:rsidP="009754AE">
      <w:pPr>
        <w:spacing w:line="480" w:lineRule="auto"/>
        <w:rPr>
          <w:b/>
          <w:bCs/>
          <w:sz w:val="20"/>
          <w:szCs w:val="20"/>
        </w:rPr>
      </w:pPr>
    </w:p>
    <w:p w14:paraId="3F2ABA45" w14:textId="77777777" w:rsidR="009754AE" w:rsidRDefault="009754AE"/>
    <w:sectPr w:rsidR="00975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AE"/>
    <w:rsid w:val="00344A21"/>
    <w:rsid w:val="00534739"/>
    <w:rsid w:val="006F2532"/>
    <w:rsid w:val="007C2EC0"/>
    <w:rsid w:val="008C2C8E"/>
    <w:rsid w:val="008E7E25"/>
    <w:rsid w:val="009754AE"/>
    <w:rsid w:val="00C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8D46"/>
  <w15:chartTrackingRefBased/>
  <w15:docId w15:val="{FA5903CE-0058-4226-832D-6CD882B5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A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54AE"/>
    <w:rPr>
      <w:i/>
      <w:iCs/>
    </w:rPr>
  </w:style>
  <w:style w:type="paragraph" w:styleId="NoSpacing">
    <w:name w:val="No Spacing"/>
    <w:uiPriority w:val="1"/>
    <w:qFormat/>
    <w:rsid w:val="009754AE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9754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Phyo Aung</dc:creator>
  <cp:keywords/>
  <dc:description/>
  <cp:lastModifiedBy>Phyo Aung</cp:lastModifiedBy>
  <cp:revision>4</cp:revision>
  <dcterms:created xsi:type="dcterms:W3CDTF">2023-04-05T23:04:00Z</dcterms:created>
  <dcterms:modified xsi:type="dcterms:W3CDTF">2023-04-06T00:13:00Z</dcterms:modified>
</cp:coreProperties>
</file>